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F445DE" w:rsidRPr="00F445DE" w:rsidRDefault="00F445DE" w:rsidP="00F445DE">
      <w:pPr>
        <w:jc w:val="center"/>
        <w:rPr>
          <w:b/>
          <w:sz w:val="22"/>
          <w:szCs w:val="22"/>
        </w:rPr>
      </w:pPr>
      <w:r w:rsidRPr="00F445DE">
        <w:rPr>
          <w:b/>
          <w:sz w:val="22"/>
          <w:szCs w:val="22"/>
        </w:rPr>
        <w:t>TARPTAUTINIO VIEŠOJO PIRKIMO</w:t>
      </w:r>
    </w:p>
    <w:p w:rsidR="00F445DE" w:rsidRPr="00F445DE" w:rsidRDefault="00F445DE" w:rsidP="00F445DE">
      <w:pPr>
        <w:jc w:val="center"/>
        <w:rPr>
          <w:b/>
          <w:sz w:val="22"/>
          <w:szCs w:val="22"/>
        </w:rPr>
      </w:pPr>
    </w:p>
    <w:p w:rsidR="00F445DE" w:rsidRPr="00F445DE" w:rsidRDefault="00620DDD" w:rsidP="00F445DE">
      <w:pPr>
        <w:jc w:val="center"/>
        <w:rPr>
          <w:b/>
          <w:sz w:val="22"/>
          <w:szCs w:val="22"/>
        </w:rPr>
      </w:pPr>
      <w:r w:rsidRPr="00620DDD">
        <w:rPr>
          <w:b/>
          <w:bCs/>
          <w:sz w:val="22"/>
          <w:szCs w:val="22"/>
        </w:rPr>
        <w:t>Optimalūs, standartizuoti chirurginiai vienkartiniai rinkiniai su RFID chirurgijos operacinei</w:t>
      </w:r>
      <w:r w:rsidR="00F445DE" w:rsidRPr="00F445DE">
        <w:rPr>
          <w:b/>
          <w:sz w:val="22"/>
          <w:szCs w:val="22"/>
        </w:rPr>
        <w:t xml:space="preserve"> </w:t>
      </w:r>
    </w:p>
    <w:p w:rsidR="00F445DE" w:rsidRPr="00F445DE" w:rsidRDefault="00F445DE" w:rsidP="00F445DE">
      <w:pPr>
        <w:jc w:val="center"/>
        <w:rPr>
          <w:b/>
          <w:sz w:val="22"/>
          <w:szCs w:val="22"/>
        </w:rPr>
      </w:pPr>
    </w:p>
    <w:p w:rsidR="00F445DE" w:rsidRPr="00F445DE" w:rsidRDefault="00F445DE" w:rsidP="00F445DE">
      <w:pPr>
        <w:jc w:val="center"/>
        <w:rPr>
          <w:b/>
          <w:sz w:val="22"/>
          <w:szCs w:val="22"/>
        </w:rPr>
      </w:pPr>
      <w:r w:rsidRPr="00F445DE">
        <w:rPr>
          <w:b/>
          <w:sz w:val="22"/>
          <w:szCs w:val="22"/>
        </w:rPr>
        <w:t>ATVIRO KONKURSO SĄLYGOS</w:t>
      </w:r>
    </w:p>
    <w:p w:rsidR="00F445DE" w:rsidRDefault="00F445DE"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620DDD">
        <w:rPr>
          <w:bCs/>
          <w:sz w:val="22"/>
          <w:szCs w:val="22"/>
        </w:rPr>
        <w:t>Chirurginiai rinkiniai su RFID</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086D61">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Default="008B46BF" w:rsidP="006C16A2">
      <w:pPr>
        <w:ind w:left="-907" w:firstLine="907"/>
        <w:rPr>
          <w:sz w:val="22"/>
          <w:szCs w:val="22"/>
          <w:lang w:eastAsia="lt-LT"/>
        </w:rPr>
      </w:pPr>
      <w:r>
        <w:rPr>
          <w:sz w:val="22"/>
          <w:szCs w:val="22"/>
          <w:lang w:eastAsia="lt-LT"/>
        </w:rPr>
        <w:t xml:space="preserve">8. Prekių </w:t>
      </w:r>
      <w:r w:rsidR="004473B7">
        <w:rPr>
          <w:sz w:val="22"/>
          <w:szCs w:val="22"/>
          <w:lang w:eastAsia="lt-LT"/>
        </w:rPr>
        <w:t>pirkimo–pardavimo sutarties</w:t>
      </w:r>
      <w:r w:rsidR="00883631">
        <w:rPr>
          <w:sz w:val="22"/>
          <w:szCs w:val="22"/>
          <w:lang w:eastAsia="lt-LT"/>
        </w:rPr>
        <w:t xml:space="preserve"> bendrosios sąlygos;</w:t>
      </w:r>
    </w:p>
    <w:p w:rsidR="00883631" w:rsidRPr="007A7217" w:rsidRDefault="00883631" w:rsidP="006C16A2">
      <w:pPr>
        <w:ind w:left="-907" w:firstLine="907"/>
        <w:rPr>
          <w:sz w:val="22"/>
          <w:szCs w:val="22"/>
        </w:rPr>
      </w:pPr>
      <w:r>
        <w:rPr>
          <w:sz w:val="22"/>
          <w:szCs w:val="22"/>
        </w:rPr>
        <w:t xml:space="preserve">9. </w:t>
      </w:r>
      <w:r w:rsidRPr="00883631">
        <w:rPr>
          <w:sz w:val="22"/>
          <w:szCs w:val="22"/>
        </w:rPr>
        <w:t>Tiekėjo deklaracija dėl Nacionalinio saugumo reikalavimų atitikties.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9200D0">
        <w:rPr>
          <w:rFonts w:eastAsia="Calibri" w:cs="Times New Roman"/>
          <w:color w:val="00B0F0"/>
          <w:sz w:val="22"/>
          <w:szCs w:val="22"/>
          <w:bdr w:val="none" w:sz="0" w:space="0" w:color="auto"/>
          <w:lang w:val="lt-LT" w:eastAsia="en-US"/>
        </w:rPr>
        <w:t>optimalius, standartizuotus chirurginius vienkartinius rinkinius</w:t>
      </w:r>
      <w:r w:rsidR="009200D0" w:rsidRPr="009200D0">
        <w:rPr>
          <w:rFonts w:eastAsia="Calibri" w:cs="Times New Roman"/>
          <w:color w:val="00B0F0"/>
          <w:sz w:val="22"/>
          <w:szCs w:val="22"/>
          <w:bdr w:val="none" w:sz="0" w:space="0" w:color="auto"/>
          <w:lang w:val="lt-LT" w:eastAsia="en-US"/>
        </w:rPr>
        <w:t xml:space="preserve"> su RFID chirurgijos operacinei</w:t>
      </w:r>
      <w:r w:rsidR="00B40A09">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0E6176" w:rsidRDefault="00B35758" w:rsidP="000E6176">
      <w:pPr>
        <w:pStyle w:val="Body2"/>
        <w:tabs>
          <w:tab w:val="left" w:pos="851"/>
        </w:tabs>
        <w:spacing w:after="0"/>
        <w:ind w:firstLine="851"/>
        <w:rPr>
          <w:rFonts w:cs="Times New Roman"/>
          <w:sz w:val="22"/>
          <w:szCs w:val="22"/>
        </w:rPr>
      </w:pPr>
    </w:p>
    <w:p w:rsidR="00217DB5" w:rsidRPr="000E6176" w:rsidRDefault="00217DB5" w:rsidP="000E61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left="0" w:firstLine="567"/>
        <w:contextualSpacing/>
        <w:jc w:val="both"/>
        <w:rPr>
          <w:rFonts w:eastAsia="Calibri"/>
          <w:b/>
          <w:bCs/>
          <w:sz w:val="22"/>
          <w:szCs w:val="22"/>
        </w:rPr>
      </w:pPr>
      <w:r w:rsidRPr="000E6176">
        <w:rPr>
          <w:rFonts w:eastAsia="Calibri"/>
          <w:sz w:val="22"/>
          <w:szCs w:val="22"/>
        </w:rPr>
        <w:t xml:space="preserve">Pirkimo objektas – </w:t>
      </w:r>
      <w:r w:rsidR="005022EC" w:rsidRPr="000E6176">
        <w:rPr>
          <w:rFonts w:eastAsia="Calibri"/>
          <w:sz w:val="22"/>
          <w:szCs w:val="22"/>
        </w:rPr>
        <w:t>optimalūs, standartizuoti chirurginiai vienkartiniai rinkiniai su RFID chirurgijos operacinei</w:t>
      </w:r>
      <w:r w:rsidRPr="000E6176">
        <w:rPr>
          <w:rFonts w:eastAsia="Calibri"/>
          <w:b/>
          <w:bCs/>
          <w:color w:val="548DD4" w:themeColor="text2" w:themeTint="99"/>
          <w:sz w:val="22"/>
          <w:szCs w:val="22"/>
        </w:rPr>
        <w:t>.</w:t>
      </w:r>
    </w:p>
    <w:p w:rsidR="00217DB5" w:rsidRPr="000E6176" w:rsidRDefault="00217DB5" w:rsidP="000E6176">
      <w:pPr>
        <w:tabs>
          <w:tab w:val="left" w:pos="993"/>
          <w:tab w:val="left" w:pos="1134"/>
          <w:tab w:val="left" w:pos="1276"/>
          <w:tab w:val="left" w:pos="1440"/>
          <w:tab w:val="left" w:pos="1560"/>
          <w:tab w:val="left" w:pos="2127"/>
        </w:tabs>
        <w:ind w:firstLine="567"/>
        <w:jc w:val="both"/>
        <w:rPr>
          <w:sz w:val="22"/>
          <w:szCs w:val="22"/>
        </w:rPr>
      </w:pPr>
      <w:r w:rsidRPr="000E6176">
        <w:rPr>
          <w:sz w:val="22"/>
          <w:szCs w:val="22"/>
        </w:rPr>
        <w:t>2.2.</w:t>
      </w:r>
      <w:r w:rsidRPr="000E6176">
        <w:rPr>
          <w:sz w:val="22"/>
          <w:szCs w:val="22"/>
        </w:rPr>
        <w:tab/>
        <w:t>Detali informacija apie perkamas prekes pateikiama techninėje specifikacijoje. Numatomų įsigyti prekių Centrinės perkančiosios organizacijos (CPO) kataloge nėra.</w:t>
      </w:r>
    </w:p>
    <w:p w:rsidR="00217DB5" w:rsidRPr="000E6176" w:rsidRDefault="00217DB5" w:rsidP="000E6176">
      <w:pPr>
        <w:ind w:firstLine="567"/>
        <w:jc w:val="both"/>
        <w:rPr>
          <w:b/>
          <w:sz w:val="22"/>
          <w:szCs w:val="22"/>
          <w:u w:val="single"/>
          <w:lang w:eastAsia="ar-SA"/>
        </w:rPr>
      </w:pPr>
      <w:r w:rsidRPr="000E6176">
        <w:rPr>
          <w:sz w:val="22"/>
          <w:szCs w:val="22"/>
        </w:rPr>
        <w:t xml:space="preserve">2.3.  </w:t>
      </w:r>
      <w:r w:rsidRPr="000E6176">
        <w:rPr>
          <w:iCs/>
          <w:sz w:val="22"/>
          <w:szCs w:val="22"/>
        </w:rPr>
        <w:t>Vadovaujantis LR Viešųjų pirkimų įstatymo 27 stra</w:t>
      </w:r>
      <w:r w:rsidR="00C27F47" w:rsidRPr="000E6176">
        <w:rPr>
          <w:iCs/>
          <w:sz w:val="22"/>
          <w:szCs w:val="22"/>
        </w:rPr>
        <w:t xml:space="preserve">ipsnio nuostatomis CVP IS </w:t>
      </w:r>
      <w:r w:rsidR="000E6176" w:rsidRPr="000E6176">
        <w:rPr>
          <w:iCs/>
          <w:sz w:val="22"/>
          <w:szCs w:val="22"/>
        </w:rPr>
        <w:t>2025-09-29</w:t>
      </w:r>
      <w:r w:rsidR="00B91BAE" w:rsidRPr="000E6176">
        <w:rPr>
          <w:iCs/>
          <w:sz w:val="22"/>
          <w:szCs w:val="22"/>
        </w:rPr>
        <w:t xml:space="preserve"> </w:t>
      </w:r>
      <w:r w:rsidRPr="000E6176">
        <w:rPr>
          <w:iCs/>
          <w:sz w:val="22"/>
          <w:szCs w:val="22"/>
        </w:rPr>
        <w:t xml:space="preserve">buvo viešai skelbta išankstinė rinkos konsultacija „Rinkos konsultacija dėl </w:t>
      </w:r>
      <w:r w:rsidR="000E6176" w:rsidRPr="000E6176">
        <w:rPr>
          <w:iCs/>
          <w:sz w:val="22"/>
          <w:szCs w:val="22"/>
        </w:rPr>
        <w:t xml:space="preserve">optimalių, standartizuotų chirurginių vienkartinių rinkinių su RFID chirurgijos operacinei </w:t>
      </w:r>
      <w:r w:rsidRPr="000E6176">
        <w:rPr>
          <w:iCs/>
          <w:sz w:val="22"/>
          <w:szCs w:val="22"/>
        </w:rPr>
        <w:t xml:space="preserve">pirkimo“ Nr. </w:t>
      </w:r>
      <w:r w:rsidR="000E6176" w:rsidRPr="000E6176">
        <w:rPr>
          <w:iCs/>
          <w:sz w:val="22"/>
          <w:szCs w:val="22"/>
        </w:rPr>
        <w:t>4726650</w:t>
      </w:r>
      <w:r w:rsidRPr="000E6176">
        <w:rPr>
          <w:iCs/>
          <w:sz w:val="22"/>
          <w:szCs w:val="22"/>
        </w:rPr>
        <w:t>.​</w:t>
      </w:r>
    </w:p>
    <w:p w:rsidR="000E6176" w:rsidRPr="00F719B4" w:rsidRDefault="000E6176" w:rsidP="00287198">
      <w:pPr>
        <w:pStyle w:val="ListParagraph"/>
        <w:numPr>
          <w:ilvl w:val="1"/>
          <w:numId w:val="36"/>
        </w:numPr>
        <w:tabs>
          <w:tab w:val="left" w:pos="851"/>
          <w:tab w:val="left" w:pos="993"/>
          <w:tab w:val="left" w:pos="1276"/>
          <w:tab w:val="left" w:pos="1440"/>
          <w:tab w:val="left" w:pos="1560"/>
          <w:tab w:val="left" w:pos="2127"/>
        </w:tabs>
        <w:spacing w:after="0" w:line="240" w:lineRule="auto"/>
        <w:ind w:left="0" w:firstLine="567"/>
        <w:jc w:val="both"/>
        <w:rPr>
          <w:rFonts w:ascii="Times New Roman" w:hAnsi="Times New Roman"/>
          <w:lang w:eastAsia="ar-SA"/>
        </w:rPr>
      </w:pPr>
      <w:r w:rsidRPr="00F719B4">
        <w:rPr>
          <w:rFonts w:ascii="Times New Roman" w:hAnsi="Times New Roman"/>
          <w:lang w:eastAsia="lt-LT"/>
        </w:rPr>
        <w:t xml:space="preserve">Šis pirkimas nėra skirstomas į pirkimo dalis (viso viena pirkimo dalis), </w:t>
      </w:r>
      <w:r w:rsidR="008846F7" w:rsidRPr="00F719B4">
        <w:rPr>
          <w:rFonts w:ascii="Times New Roman" w:hAnsi="Times New Roman"/>
          <w:lang w:eastAsia="lt-LT"/>
        </w:rPr>
        <w:t>nes rinkiniai skirtingoms operacijoms turi bendrų techninių reikalavimų, todėl skaidymas galėtų lemti skirtingų tiekėjų plataus spektrą, kas padidintų riziką dėl nevienodų kokybės parametrų bei sud</w:t>
      </w:r>
      <w:r w:rsidR="00F719B4">
        <w:rPr>
          <w:rFonts w:ascii="Times New Roman" w:hAnsi="Times New Roman"/>
          <w:lang w:eastAsia="lt-LT"/>
        </w:rPr>
        <w:t>erinamumo problemų</w:t>
      </w:r>
      <w:r w:rsidRPr="00F719B4">
        <w:rPr>
          <w:rFonts w:ascii="Times New Roman" w:hAnsi="Times New Roman"/>
          <w:lang w:eastAsia="lt-LT"/>
        </w:rPr>
        <w:t>. Dalyvis gali pateikti tik vieną pasiūlymą visam pirkimui. Pasiūlymas tuti būti pateiktas visai pirkimo sąlygų techninėje specifikacijoje nurodytai apimčiai. Alternatyvūs pasiūlymai negalimi.</w:t>
      </w:r>
    </w:p>
    <w:p w:rsidR="00217DB5" w:rsidRPr="000E6176" w:rsidRDefault="00217DB5" w:rsidP="000E6176">
      <w:pPr>
        <w:pStyle w:val="ListParagraph"/>
        <w:numPr>
          <w:ilvl w:val="1"/>
          <w:numId w:val="36"/>
        </w:numPr>
        <w:tabs>
          <w:tab w:val="left" w:pos="851"/>
          <w:tab w:val="left" w:pos="993"/>
          <w:tab w:val="left" w:pos="1276"/>
          <w:tab w:val="left" w:pos="1440"/>
          <w:tab w:val="left" w:pos="1560"/>
          <w:tab w:val="left" w:pos="2127"/>
        </w:tabs>
        <w:spacing w:after="0" w:line="240" w:lineRule="auto"/>
        <w:ind w:left="0" w:firstLine="567"/>
        <w:jc w:val="both"/>
        <w:rPr>
          <w:rFonts w:ascii="Times New Roman" w:hAnsi="Times New Roman"/>
          <w:lang w:eastAsia="ar-SA"/>
        </w:rPr>
      </w:pPr>
      <w:r w:rsidRPr="000E6176">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0E6176" w:rsidRDefault="00217DB5" w:rsidP="000E617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contextualSpacing/>
        <w:jc w:val="both"/>
        <w:rPr>
          <w:rFonts w:eastAsia="Calibri"/>
          <w:b/>
          <w:sz w:val="22"/>
          <w:szCs w:val="22"/>
          <w:u w:val="single"/>
          <w:lang w:eastAsia="ar-SA"/>
        </w:rPr>
      </w:pPr>
      <w:r w:rsidRPr="000E6176">
        <w:rPr>
          <w:rFonts w:eastAsia="Calibri"/>
          <w:sz w:val="22"/>
          <w:szCs w:val="22"/>
        </w:rPr>
        <w:t xml:space="preserve">Prekių pristatymo vieta yra </w:t>
      </w:r>
      <w:r w:rsidRPr="000E6176">
        <w:rPr>
          <w:rFonts w:eastAsia="Calibri"/>
          <w:iCs/>
          <w:sz w:val="22"/>
          <w:szCs w:val="22"/>
        </w:rPr>
        <w:t>Lietuvos sveikatos mokslų universiteto ligoninė Kauno klinikos</w:t>
      </w:r>
      <w:r w:rsidRPr="000E6176">
        <w:rPr>
          <w:rFonts w:eastAsia="Calibri"/>
          <w:sz w:val="22"/>
          <w:szCs w:val="22"/>
          <w:shd w:val="clear" w:color="auto" w:fill="FFFFFF"/>
        </w:rPr>
        <w:t>,</w:t>
      </w:r>
      <w:r w:rsidRPr="000E6176">
        <w:rPr>
          <w:rFonts w:eastAsia="Calibri"/>
          <w:iCs/>
          <w:sz w:val="22"/>
          <w:szCs w:val="22"/>
        </w:rPr>
        <w:t xml:space="preserve"> adresas Eivenių g. 2, LT-50161 Kaunas</w:t>
      </w:r>
      <w:r w:rsidRPr="000E6176">
        <w:rPr>
          <w:rFonts w:eastAsia="Calibri"/>
          <w:sz w:val="22"/>
          <w:szCs w:val="22"/>
        </w:rPr>
        <w:t>.</w:t>
      </w:r>
    </w:p>
    <w:p w:rsidR="00217DB5" w:rsidRPr="000E6176" w:rsidRDefault="00217DB5" w:rsidP="000E617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contextualSpacing/>
        <w:jc w:val="both"/>
        <w:rPr>
          <w:rFonts w:eastAsia="Calibri"/>
          <w:b/>
          <w:sz w:val="22"/>
          <w:szCs w:val="22"/>
          <w:u w:val="single"/>
          <w:lang w:eastAsia="ar-SA"/>
        </w:rPr>
      </w:pPr>
      <w:r w:rsidRPr="000E6176">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0E617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contextualSpacing/>
        <w:jc w:val="both"/>
        <w:rPr>
          <w:rFonts w:eastAsia="Calibri"/>
          <w:b/>
          <w:sz w:val="22"/>
          <w:szCs w:val="22"/>
          <w:u w:val="single"/>
          <w:lang w:eastAsia="ar-SA"/>
        </w:rPr>
      </w:pPr>
      <w:r w:rsidRPr="000E6176">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w:t>
      </w:r>
      <w:r w:rsidRPr="00217DB5">
        <w:rPr>
          <w:rFonts w:eastAsia="Calibri"/>
          <w:sz w:val="22"/>
          <w:szCs w:val="22"/>
        </w:rPr>
        <w:t xml:space="preserve"> būtų įsigytas perkančiosios organizacijos poreikių neatitinkantis pirkimo objektas.</w:t>
      </w:r>
    </w:p>
    <w:p w:rsidR="00852B4C" w:rsidRDefault="00852B4C" w:rsidP="00852B4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76"/>
          <w:tab w:val="left" w:pos="1440"/>
          <w:tab w:val="left" w:pos="1560"/>
          <w:tab w:val="left" w:pos="2127"/>
        </w:tabs>
        <w:spacing w:after="160" w:line="259" w:lineRule="auto"/>
        <w:ind w:firstLine="567"/>
        <w:contextualSpacing/>
        <w:jc w:val="both"/>
        <w:rPr>
          <w:rFonts w:eastAsia="Calibri"/>
          <w:sz w:val="22"/>
          <w:szCs w:val="22"/>
          <w:lang w:eastAsia="lt-LT"/>
        </w:rPr>
      </w:pPr>
      <w:r>
        <w:rPr>
          <w:rFonts w:eastAsia="Calibri"/>
          <w:sz w:val="22"/>
          <w:szCs w:val="22"/>
          <w:lang w:eastAsia="lt-LT"/>
        </w:rPr>
        <w:t xml:space="preserve">2.9. </w:t>
      </w:r>
      <w:r w:rsidRPr="00852B4C">
        <w:rPr>
          <w:rFonts w:eastAsia="Calibri"/>
          <w:sz w:val="22"/>
          <w:szCs w:val="22"/>
          <w:lang w:eastAsia="lt-LT"/>
        </w:rPr>
        <w:t>Pasiūlymai vertinami pagal kainos ir kokybės santykį.</w:t>
      </w:r>
    </w:p>
    <w:p w:rsidR="00315B12" w:rsidRPr="00315B12" w:rsidRDefault="00315B12" w:rsidP="00852B4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76"/>
          <w:tab w:val="left" w:pos="1440"/>
          <w:tab w:val="left" w:pos="1560"/>
          <w:tab w:val="left" w:pos="2127"/>
        </w:tabs>
        <w:spacing w:after="160" w:line="259" w:lineRule="auto"/>
        <w:contextualSpacing/>
        <w:jc w:val="both"/>
        <w:rPr>
          <w:rFonts w:eastAsia="Calibri"/>
          <w:sz w:val="22"/>
          <w:szCs w:val="22"/>
          <w:lang w:eastAsia="ar-SA"/>
        </w:rPr>
      </w:pPr>
      <w:r w:rsidRPr="00315B12">
        <w:rPr>
          <w:rFonts w:eastAsia="Calibri"/>
          <w:sz w:val="22"/>
          <w:szCs w:val="22"/>
          <w:lang w:eastAsia="ar-SA"/>
        </w:rPr>
        <w:tab/>
        <w:t xml:space="preserve">2.10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15B12" w:rsidRPr="00315B12" w:rsidRDefault="00315B12" w:rsidP="00852B4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firstLine="567"/>
        <w:contextualSpacing/>
        <w:jc w:val="both"/>
        <w:rPr>
          <w:rFonts w:eastAsia="Calibri"/>
          <w:sz w:val="22"/>
          <w:szCs w:val="22"/>
          <w:lang w:eastAsia="ar-SA"/>
        </w:rPr>
      </w:pPr>
      <w:r w:rsidRPr="00315B12">
        <w:rPr>
          <w:rFonts w:eastAsia="Calibri"/>
          <w:sz w:val="22"/>
          <w:szCs w:val="22"/>
          <w:lang w:eastAsia="ar-SA"/>
        </w:rPr>
        <w:t xml:space="preserve">2.11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315B12">
        <w:rPr>
          <w:rFonts w:eastAsia="Calibri"/>
          <w:sz w:val="22"/>
          <w:szCs w:val="22"/>
          <w:lang w:eastAsia="ar-SA"/>
        </w:rPr>
        <w:lastRenderedPageBreak/>
        <w:t>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174E18" w:rsidRPr="00315B12" w:rsidRDefault="00174E18" w:rsidP="00174E18">
      <w:pPr>
        <w:tabs>
          <w:tab w:val="left" w:pos="993"/>
          <w:tab w:val="left" w:pos="1134"/>
          <w:tab w:val="left" w:pos="1276"/>
          <w:tab w:val="left" w:pos="1440"/>
          <w:tab w:val="left" w:pos="1560"/>
          <w:tab w:val="left" w:pos="2127"/>
        </w:tabs>
        <w:ind w:left="2552"/>
        <w:jc w:val="both"/>
        <w:rPr>
          <w:sz w:val="22"/>
          <w:szCs w:val="22"/>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 xml:space="preserve">padalinys, vadovo, kito valdymo ar priežiūros organo nario ar kito asmens, turinčio (turinčių) teisę atstovauti tiekėjui ar jį kontroliuoti, jo vardu priimti sprendimą, sudaryti </w:t>
            </w:r>
            <w:r w:rsidRPr="003B51B3">
              <w:rPr>
                <w:rFonts w:ascii="Times New Roman" w:hAnsi="Times New Roman" w:cs="Times New Roman"/>
                <w:color w:val="000000"/>
                <w:lang w:eastAsia="lt-LT"/>
              </w:rPr>
              <w:lastRenderedPageBreak/>
              <w:t>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lastRenderedPageBreak/>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w:t>
            </w:r>
            <w:r w:rsidRPr="00C54A7B">
              <w:rPr>
                <w:rFonts w:ascii="Times New Roman" w:hAnsi="Times New Roman" w:cs="Times New Roman"/>
                <w:bCs/>
                <w:color w:val="000000"/>
                <w:lang w:eastAsia="lt-LT"/>
              </w:rPr>
              <w:lastRenderedPageBreak/>
              <w:t xml:space="preserve">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287198"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C54A7B">
              <w:rPr>
                <w:rFonts w:ascii="Times New Roman" w:hAnsi="Times New Roman" w:cs="Times New Roman"/>
                <w:color w:val="000000"/>
                <w:lang w:eastAsia="lt-LT"/>
              </w:rPr>
              <w:lastRenderedPageBreak/>
              <w:t>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287198"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287198"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287198"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287198"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87198" w:rsidRPr="00EB0348"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rPr>
      </w:pPr>
      <w:r w:rsidRPr="00EB0348">
        <w:rPr>
          <w:rFonts w:eastAsia="Times New Roman"/>
          <w:b/>
          <w:sz w:val="22"/>
          <w:szCs w:val="22"/>
          <w:lang w:val="en-US"/>
        </w:rPr>
        <w:t>3.14. Reikalavimai, susiję su nacionaliniu saugumu</w:t>
      </w:r>
    </w:p>
    <w:p w:rsidR="00287198" w:rsidRPr="00EB0348"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lang w:eastAsia="lt-LT"/>
        </w:rPr>
      </w:pPr>
      <w:r w:rsidRPr="00EB0348">
        <w:rPr>
          <w:rFonts w:eastAsia="Times New Roman"/>
          <w:sz w:val="22"/>
          <w:szCs w:val="22"/>
        </w:rPr>
        <w:t>3.14.1.</w:t>
      </w:r>
      <w:r w:rsidRPr="00EB0348">
        <w:rPr>
          <w:rFonts w:eastAsia="Times New Roman"/>
          <w:b/>
          <w:sz w:val="22"/>
          <w:szCs w:val="22"/>
        </w:rPr>
        <w:t xml:space="preserve"> </w:t>
      </w:r>
      <w:r w:rsidRPr="00EB0348">
        <w:rPr>
          <w:rFonts w:eastAsia="Times New Roman"/>
          <w:color w:val="000000"/>
          <w:sz w:val="22"/>
          <w:szCs w:val="22"/>
        </w:rPr>
        <w:t xml:space="preserve">Pirkimui taikomos Reglamento nuostatos. Kartu su pasiūlymu tiekėjas turi pateikti užpildytą deklaraciją dėl (ne)atitikties Reglamento nuostatoms, kuri pateikta specialiųjų pirkimo sąlygų </w:t>
      </w:r>
      <w:r>
        <w:rPr>
          <w:rFonts w:eastAsia="Times New Roman"/>
          <w:sz w:val="22"/>
          <w:szCs w:val="22"/>
        </w:rPr>
        <w:t>7</w:t>
      </w:r>
      <w:r w:rsidRPr="00EB0348">
        <w:rPr>
          <w:rFonts w:eastAsia="Times New Roman"/>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rsidR="00287198" w:rsidRPr="00EB0348"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rPr>
      </w:pPr>
      <w:r w:rsidRPr="00EB0348">
        <w:rPr>
          <w:rFonts w:eastAsia="Times New Roman"/>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287198" w:rsidRPr="00EB0348" w:rsidRDefault="00287198" w:rsidP="00287198">
      <w:pPr>
        <w:suppressAutoHyphens/>
        <w:jc w:val="both"/>
        <w:rPr>
          <w:rFonts w:eastAsia="Arial Unicode MS"/>
          <w:b/>
          <w:i/>
          <w:color w:val="000000"/>
          <w:sz w:val="22"/>
          <w:szCs w:val="22"/>
          <w:bdr w:val="nil"/>
          <w:lang w:eastAsia="lt-LT"/>
        </w:rPr>
      </w:pPr>
      <w:r w:rsidRPr="00EB0348">
        <w:rPr>
          <w:rFonts w:eastAsia="Arial Unicode MS"/>
          <w:b/>
          <w:i/>
          <w:color w:val="000000"/>
          <w:sz w:val="22"/>
          <w:szCs w:val="22"/>
          <w:bdr w:val="nil"/>
          <w:lang w:val="en-US" w:eastAsia="lt-LT"/>
        </w:rPr>
        <w:t xml:space="preserve">*Pastaba. Esant poreikiui </w:t>
      </w:r>
      <w:r w:rsidRPr="00EB0348">
        <w:rPr>
          <w:rFonts w:eastAsia="Arial Unicode MS"/>
          <w:b/>
          <w:i/>
          <w:color w:val="000000"/>
          <w:sz w:val="22"/>
          <w:szCs w:val="22"/>
          <w:bdr w:val="nil"/>
          <w:lang w:eastAsia="lt-LT"/>
        </w:rPr>
        <w:t>Perkančioji organizacija gali paprašyti galimo laimėtojo pateikti dokumentus (VPĮ 51 str. 12 d.), pagrindžiančius užpildytoje deklaracijoje (</w:t>
      </w:r>
      <w:r>
        <w:rPr>
          <w:rFonts w:eastAsia="Arial Unicode MS"/>
          <w:b/>
          <w:i/>
          <w:color w:val="000000"/>
          <w:sz w:val="22"/>
          <w:szCs w:val="22"/>
          <w:bdr w:val="nil"/>
          <w:lang w:eastAsia="lt-LT"/>
        </w:rPr>
        <w:t>7</w:t>
      </w:r>
      <w:r w:rsidRPr="00EB0348">
        <w:rPr>
          <w:rFonts w:eastAsia="Arial Unicode MS"/>
          <w:b/>
          <w:i/>
          <w:color w:val="000000"/>
          <w:sz w:val="22"/>
          <w:szCs w:val="22"/>
          <w:bdr w:val="nil"/>
          <w:lang w:eastAsia="lt-LT"/>
        </w:rPr>
        <w:t xml:space="preserve"> priedas) pateiktos informacijos teisingumą.</w:t>
      </w:r>
    </w:p>
    <w:p w:rsidR="00287198" w:rsidRPr="005D751C"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color w:val="548DD4" w:themeColor="text2" w:themeTint="99"/>
          <w:sz w:val="22"/>
          <w:szCs w:val="22"/>
          <w:lang w:eastAsia="lt-LT"/>
        </w:rPr>
      </w:pPr>
      <w:r w:rsidRPr="00EB0348">
        <w:rPr>
          <w:rFonts w:eastAsia="Calibri"/>
          <w:sz w:val="22"/>
          <w:lang w:eastAsia="lt-LT"/>
        </w:rPr>
        <w:t xml:space="preserve">3.14.3. Perkančioji organizacija laiko, kad </w:t>
      </w:r>
      <w:r w:rsidRPr="00EB0348">
        <w:rPr>
          <w:rFonts w:eastAsia="Calibri"/>
          <w:sz w:val="22"/>
          <w:shd w:val="clear" w:color="auto" w:fill="FFFFFF"/>
          <w:lang w:eastAsia="lt-LT"/>
        </w:rPr>
        <w:t>pirkimo objektas kelia grėsmę nacionaliniam saugumui</w:t>
      </w:r>
      <w:r w:rsidRPr="00EB0348">
        <w:rPr>
          <w:rFonts w:eastAsia="Calibri"/>
          <w:sz w:val="22"/>
          <w:lang w:eastAsia="lt-LT"/>
        </w:rPr>
        <w:t>, jei jis atitinka VPĮ 37 straipsnio 9 dalies 1 ir  2 punkte numatytas sąlygas. Tiekėjai kartu su pasiūlymu turi pateikti Viešųjų pirkimų tarnybos nustatytos formos atitikties deklaraciją</w:t>
      </w:r>
      <w:r>
        <w:rPr>
          <w:rFonts w:eastAsia="Calibri"/>
          <w:sz w:val="22"/>
          <w:lang w:eastAsia="lt-LT"/>
        </w:rPr>
        <w:t xml:space="preserve"> (</w:t>
      </w:r>
      <w:r w:rsidR="005D751C">
        <w:rPr>
          <w:rFonts w:eastAsia="Calibri"/>
          <w:sz w:val="22"/>
          <w:lang w:eastAsia="lt-LT"/>
        </w:rPr>
        <w:t>9</w:t>
      </w:r>
      <w:r>
        <w:rPr>
          <w:rFonts w:eastAsia="Calibri"/>
          <w:sz w:val="22"/>
          <w:lang w:eastAsia="lt-LT"/>
        </w:rPr>
        <w:t xml:space="preserve"> priedas)</w:t>
      </w:r>
      <w:r w:rsidRPr="00EB0348">
        <w:rPr>
          <w:rFonts w:eastAsia="Calibri"/>
          <w:sz w:val="22"/>
          <w:lang w:eastAsia="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DC72D5">
        <w:rPr>
          <w:rFonts w:eastAsia="Calibri"/>
          <w:i/>
          <w:color w:val="548DD4" w:themeColor="text2" w:themeTint="99"/>
          <w:sz w:val="22"/>
          <w:szCs w:val="22"/>
          <w:lang w:eastAsia="lt-LT"/>
        </w:rPr>
        <w:t xml:space="preserve">taikoma </w:t>
      </w:r>
      <w:r w:rsidR="00DC72D5" w:rsidRPr="00DC72D5">
        <w:rPr>
          <w:rFonts w:eastAsia="Calibri"/>
          <w:i/>
          <w:color w:val="548DD4" w:themeColor="text2" w:themeTint="99"/>
          <w:sz w:val="22"/>
          <w:szCs w:val="22"/>
          <w:lang w:eastAsia="lt-LT"/>
        </w:rPr>
        <w:t>prekėms</w:t>
      </w:r>
      <w:r w:rsidR="00DC72D5" w:rsidRPr="00DC72D5">
        <w:rPr>
          <w:rFonts w:eastAsia="Times New Roman"/>
          <w:i/>
          <w:color w:val="548DD4" w:themeColor="text2" w:themeTint="99"/>
          <w:sz w:val="22"/>
          <w:szCs w:val="22"/>
        </w:rPr>
        <w:t>, kurių</w:t>
      </w:r>
      <w:r w:rsidRPr="00DC72D5">
        <w:rPr>
          <w:rFonts w:eastAsia="Times New Roman"/>
          <w:i/>
          <w:color w:val="548DD4" w:themeColor="text2" w:themeTint="99"/>
          <w:sz w:val="22"/>
          <w:szCs w:val="22"/>
        </w:rPr>
        <w:t xml:space="preserve"> BVPŽ kodas yra </w:t>
      </w:r>
      <w:r w:rsidR="008532B4" w:rsidRPr="00DC72D5">
        <w:rPr>
          <w:rFonts w:eastAsia="Times New Roman"/>
          <w:i/>
          <w:color w:val="548DD4" w:themeColor="text2" w:themeTint="99"/>
          <w:sz w:val="22"/>
          <w:szCs w:val="22"/>
        </w:rPr>
        <w:t>48180000-3</w:t>
      </w:r>
      <w:r w:rsidRPr="00DC72D5">
        <w:rPr>
          <w:rFonts w:eastAsia="Times New Roman"/>
          <w:i/>
          <w:color w:val="548DD4" w:themeColor="text2" w:themeTint="99"/>
          <w:sz w:val="22"/>
          <w:szCs w:val="22"/>
        </w:rPr>
        <w:t>-</w:t>
      </w:r>
      <w:r w:rsidR="008532B4" w:rsidRPr="00DC72D5">
        <w:rPr>
          <w:rFonts w:eastAsia="Times New Roman"/>
          <w:i/>
          <w:color w:val="548DD4" w:themeColor="text2" w:themeTint="99"/>
          <w:sz w:val="22"/>
          <w:szCs w:val="22"/>
        </w:rPr>
        <w:t>Medicinos programinės įrangos paketai</w:t>
      </w:r>
      <w:r w:rsidR="005D751C" w:rsidRPr="005D751C">
        <w:rPr>
          <w:rFonts w:eastAsia="Calibri"/>
          <w:i/>
          <w:color w:val="548DD4" w:themeColor="text2" w:themeTint="99"/>
          <w:sz w:val="22"/>
          <w:szCs w:val="22"/>
          <w:lang w:eastAsia="lt-LT"/>
        </w:rPr>
        <w:t>, jei Prekės perkamos kartu su Prekių tiekimo valdymo automatizuota sistema</w:t>
      </w:r>
      <w:r w:rsidR="005D751C" w:rsidRPr="005D751C">
        <w:rPr>
          <w:rFonts w:eastAsia="Calibri"/>
          <w:color w:val="548DD4" w:themeColor="text2" w:themeTint="99"/>
          <w:sz w:val="22"/>
          <w:szCs w:val="22"/>
          <w:lang w:eastAsia="lt-LT"/>
        </w:rPr>
        <w:t>).</w:t>
      </w:r>
    </w:p>
    <w:p w:rsidR="00287198" w:rsidRPr="00EB0348"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lang w:eastAsia="lt-LT"/>
        </w:rPr>
      </w:pPr>
      <w:r w:rsidRPr="00EB0348">
        <w:rPr>
          <w:rFonts w:eastAsia="Calibri"/>
          <w:sz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287198" w:rsidRPr="00EB0348"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2"/>
        </w:rPr>
      </w:pPr>
      <w:r w:rsidRPr="00EB0348">
        <w:rPr>
          <w:rFonts w:eastAsia="Times New Roman"/>
          <w:i/>
          <w:i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87198" w:rsidRPr="00EB0348"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szCs w:val="22"/>
          <w:lang w:eastAsia="lt-LT"/>
        </w:rPr>
      </w:pPr>
      <w:r w:rsidRPr="00EB0348">
        <w:rPr>
          <w:rFonts w:eastAsia="Arial Unicode MS"/>
          <w:sz w:val="22"/>
          <w:szCs w:val="22"/>
          <w:lang w:eastAsia="lt-LT"/>
        </w:rPr>
        <w:t>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221B68">
        <w:rPr>
          <w:rFonts w:eastAsia="Arial Unicode MS"/>
          <w:sz w:val="22"/>
          <w:szCs w:val="22"/>
          <w:lang w:eastAsia="lt-LT"/>
        </w:rPr>
        <w:t xml:space="preserve"> (9</w:t>
      </w:r>
      <w:r>
        <w:rPr>
          <w:rFonts w:eastAsia="Arial Unicode MS"/>
          <w:sz w:val="22"/>
          <w:szCs w:val="22"/>
          <w:lang w:eastAsia="lt-LT"/>
        </w:rPr>
        <w:t xml:space="preserve"> priedas)</w:t>
      </w:r>
      <w:r w:rsidRPr="00EB0348">
        <w:rPr>
          <w:rFonts w:eastAsia="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p>
    <w:p w:rsidR="001D301F"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lang w:eastAsia="lt-LT"/>
        </w:rPr>
      </w:pPr>
      <w:r w:rsidRPr="00EB0348">
        <w:rPr>
          <w:rFonts w:eastAsia="Arial Unicode MS"/>
          <w:sz w:val="22"/>
          <w:lang w:val="en-US" w:eastAsia="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001D301F" w:rsidRPr="001D301F">
        <w:rPr>
          <w:rFonts w:eastAsia="Arial Unicode MS"/>
          <w:color w:val="548DD4" w:themeColor="text2" w:themeTint="99"/>
          <w:sz w:val="22"/>
          <w:lang w:eastAsia="lt-LT"/>
        </w:rPr>
        <w:t>(taikoma prekėms, kurių BVPŽ kodas yra 48180000-3-Medicinos programinės įrangos paketai, jei Prekės perkamos kartu su Prekių tiekimo valdymo automatizuota sistema).</w:t>
      </w:r>
    </w:p>
    <w:p w:rsidR="00287198" w:rsidRPr="00EB0348"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i/>
          <w:sz w:val="22"/>
          <w:szCs w:val="22"/>
          <w:lang w:eastAsia="lt-LT"/>
        </w:rPr>
      </w:pPr>
      <w:r w:rsidRPr="00EB0348">
        <w:rPr>
          <w:rFonts w:eastAsia="Arial Unicode MS"/>
          <w:i/>
          <w:sz w:val="22"/>
          <w:lang w:eastAsia="lt-LT"/>
        </w:rPr>
        <w:t xml:space="preserve"> </w:t>
      </w:r>
      <w:r w:rsidRPr="00EB0348">
        <w:rPr>
          <w:rFonts w:eastAsia="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lastRenderedPageBreak/>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DC3CB1" w:rsidRDefault="00B35758" w:rsidP="007E201F">
      <w:pPr>
        <w:pStyle w:val="Body2"/>
        <w:tabs>
          <w:tab w:val="left" w:pos="567"/>
        </w:tabs>
        <w:spacing w:after="0"/>
        <w:rPr>
          <w:rFonts w:cs="Times New Roman"/>
          <w:sz w:val="22"/>
          <w:szCs w:val="22"/>
        </w:rPr>
      </w:pPr>
      <w:r w:rsidRPr="007A7217">
        <w:rPr>
          <w:rFonts w:cs="Times New Roman"/>
          <w:sz w:val="22"/>
          <w:szCs w:val="22"/>
        </w:rPr>
        <w:tab/>
      </w:r>
      <w:r w:rsidR="00DC3CB1" w:rsidRPr="00DC3CB1">
        <w:rPr>
          <w:rFonts w:cs="Times New Roman"/>
          <w:sz w:val="22"/>
          <w:szCs w:val="22"/>
        </w:rPr>
        <w:t>5.1. 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7E201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034BA1">
        <w:rPr>
          <w:rFonts w:cs="Times New Roman"/>
          <w:b/>
          <w:iCs/>
          <w:color w:val="548DD4" w:themeColor="text2" w:themeTint="99"/>
          <w:sz w:val="22"/>
          <w:szCs w:val="22"/>
        </w:rPr>
        <w:t>6</w:t>
      </w:r>
      <w:r w:rsidR="009A3013" w:rsidRPr="000706F8">
        <w:rPr>
          <w:rFonts w:cs="Times New Roman"/>
          <w:b/>
          <w:iCs/>
          <w:color w:val="548DD4" w:themeColor="text2" w:themeTint="99"/>
          <w:sz w:val="22"/>
          <w:szCs w:val="22"/>
        </w:rPr>
        <w:t xml:space="preserve"> </w:t>
      </w:r>
      <w:r w:rsidR="007E201F">
        <w:rPr>
          <w:rFonts w:cs="Times New Roman"/>
          <w:b/>
          <w:iCs/>
          <w:color w:val="548DD4" w:themeColor="text2" w:themeTint="99"/>
          <w:sz w:val="22"/>
          <w:szCs w:val="22"/>
        </w:rPr>
        <w:t xml:space="preserve">m. </w:t>
      </w:r>
      <w:r w:rsidR="00DC3CB1">
        <w:rPr>
          <w:rFonts w:cs="Times New Roman"/>
          <w:b/>
          <w:iCs/>
          <w:color w:val="548DD4" w:themeColor="text2" w:themeTint="99"/>
          <w:sz w:val="22"/>
          <w:szCs w:val="22"/>
        </w:rPr>
        <w:t>kovo</w:t>
      </w:r>
      <w:r w:rsidR="00425FA0">
        <w:rPr>
          <w:rFonts w:cs="Times New Roman"/>
          <w:b/>
          <w:iCs/>
          <w:color w:val="548DD4" w:themeColor="text2" w:themeTint="99"/>
          <w:sz w:val="22"/>
          <w:szCs w:val="22"/>
        </w:rPr>
        <w:t xml:space="preserve"> </w:t>
      </w:r>
      <w:r w:rsidR="00034BA1">
        <w:rPr>
          <w:rFonts w:cs="Times New Roman"/>
          <w:b/>
          <w:iCs/>
          <w:color w:val="548DD4" w:themeColor="text2" w:themeTint="99"/>
          <w:sz w:val="22"/>
          <w:szCs w:val="22"/>
        </w:rPr>
        <w:t>2</w:t>
      </w:r>
      <w:r w:rsidR="00DC3CB1">
        <w:rPr>
          <w:rFonts w:cs="Times New Roman"/>
          <w:b/>
          <w:iCs/>
          <w:color w:val="548DD4" w:themeColor="text2" w:themeTint="99"/>
          <w:sz w:val="22"/>
          <w:szCs w:val="22"/>
        </w:rPr>
        <w:t>3</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74649A">
        <w:rPr>
          <w:rFonts w:cs="Times New Roman"/>
          <w:b/>
          <w:iCs/>
          <w:color w:val="548DD4" w:themeColor="text2" w:themeTint="99"/>
          <w:sz w:val="22"/>
          <w:szCs w:val="22"/>
        </w:rPr>
        <w:t>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7E201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w:t>
      </w:r>
      <w:r w:rsidRPr="007A7217">
        <w:rPr>
          <w:rFonts w:cs="Times New Roman"/>
          <w:sz w:val="22"/>
          <w:szCs w:val="22"/>
        </w:rPr>
        <w:lastRenderedPageBreak/>
        <w:t xml:space="preserve">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r w:rsidR="00054B52">
        <w:rPr>
          <w:rFonts w:eastAsia="Arial Unicode MS"/>
          <w:b/>
          <w:color w:val="548DD4" w:themeColor="text2" w:themeTint="99"/>
          <w:sz w:val="22"/>
          <w:szCs w:val="22"/>
          <w:bdr w:val="nil"/>
          <w:lang w:eastAsia="en-GB"/>
        </w:rPr>
        <w:t>;</w:t>
      </w:r>
    </w:p>
    <w:p w:rsidR="00054B52" w:rsidRDefault="00054B5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5.11.8. </w:t>
      </w:r>
      <w:r w:rsidRPr="00054B52">
        <w:rPr>
          <w:rFonts w:eastAsia="Arial Unicode MS"/>
          <w:b/>
          <w:color w:val="548DD4" w:themeColor="text2" w:themeTint="99"/>
          <w:sz w:val="22"/>
          <w:szCs w:val="22"/>
          <w:bdr w:val="nil"/>
          <w:lang w:eastAsia="en-GB"/>
        </w:rPr>
        <w:t>Tiekėjo deklaracija dėl Nacionalinio saugumo reikalavimų atitikties (</w:t>
      </w:r>
      <w:r w:rsidR="00CD2A96">
        <w:rPr>
          <w:rFonts w:eastAsia="Arial Unicode MS"/>
          <w:b/>
          <w:color w:val="548DD4" w:themeColor="text2" w:themeTint="99"/>
          <w:sz w:val="22"/>
          <w:szCs w:val="22"/>
          <w:bdr w:val="nil"/>
          <w:lang w:eastAsia="en-GB"/>
        </w:rPr>
        <w:t>9</w:t>
      </w:r>
      <w:r w:rsidRPr="00054B52">
        <w:rPr>
          <w:rFonts w:eastAsia="Arial Unicode MS"/>
          <w:b/>
          <w:color w:val="548DD4" w:themeColor="text2" w:themeTint="99"/>
          <w:sz w:val="22"/>
          <w:szCs w:val="22"/>
          <w:bdr w:val="nil"/>
          <w:lang w:eastAsia="en-GB"/>
        </w:rPr>
        <w:t xml:space="preserve"> priedas)</w:t>
      </w:r>
      <w:r w:rsidR="00CD2A96">
        <w:rPr>
          <w:rFonts w:eastAsia="Arial Unicode MS"/>
          <w:b/>
          <w:color w:val="548DD4" w:themeColor="text2" w:themeTint="99"/>
          <w:sz w:val="22"/>
          <w:szCs w:val="22"/>
          <w:bdr w:val="nil"/>
          <w:lang w:eastAsia="en-GB"/>
        </w:rPr>
        <w:t xml:space="preserve"> </w:t>
      </w:r>
      <w:r w:rsidR="00911B88" w:rsidRPr="00911B88">
        <w:rPr>
          <w:rFonts w:eastAsia="Arial Unicode MS"/>
          <w:b/>
          <w:color w:val="548DD4" w:themeColor="text2" w:themeTint="99"/>
          <w:sz w:val="22"/>
          <w:szCs w:val="22"/>
          <w:bdr w:val="nil"/>
          <w:lang w:eastAsia="en-GB"/>
        </w:rPr>
        <w:t>(</w:t>
      </w:r>
      <w:r w:rsidR="00911B88" w:rsidRPr="00D5036C">
        <w:rPr>
          <w:rFonts w:eastAsia="Arial Unicode MS"/>
          <w:b/>
          <w:i/>
          <w:color w:val="548DD4" w:themeColor="text2" w:themeTint="99"/>
          <w:sz w:val="22"/>
          <w:szCs w:val="22"/>
          <w:bdr w:val="nil"/>
          <w:lang w:eastAsia="en-GB"/>
        </w:rPr>
        <w:t>taikoma, jei Prekės perkamos kartu su Prekių tiekimo valdymo automatizuota sistema</w:t>
      </w:r>
      <w:r w:rsidR="00911B88">
        <w:rPr>
          <w:rFonts w:eastAsia="Arial Unicode MS"/>
          <w:b/>
          <w:color w:val="548DD4" w:themeColor="text2" w:themeTint="99"/>
          <w:sz w:val="22"/>
          <w:szCs w:val="22"/>
          <w:bdr w:val="nil"/>
          <w:lang w:eastAsia="en-GB"/>
        </w:rPr>
        <w:t>)</w:t>
      </w:r>
      <w:r w:rsidRPr="00054B52">
        <w:rPr>
          <w:rFonts w:eastAsia="Arial Unicode MS"/>
          <w:b/>
          <w:color w:val="548DD4" w:themeColor="text2" w:themeTint="99"/>
          <w:sz w:val="22"/>
          <w:szCs w:val="22"/>
          <w:bdr w:val="nil"/>
          <w:lang w:eastAsia="en-GB"/>
        </w:rPr>
        <w:t>;</w:t>
      </w:r>
    </w:p>
    <w:p w:rsidR="00842304" w:rsidRPr="00842304" w:rsidRDefault="005D32D8" w:rsidP="00842304">
      <w:pPr>
        <w:ind w:firstLine="567"/>
        <w:jc w:val="both"/>
        <w:rPr>
          <w:rFonts w:eastAsia="Arial Unicode MS"/>
          <w:b/>
          <w:color w:val="548DD4" w:themeColor="text2" w:themeTint="99"/>
          <w:sz w:val="22"/>
          <w:szCs w:val="22"/>
          <w:bdr w:val="nil"/>
          <w:lang w:eastAsia="en-GB"/>
        </w:rPr>
      </w:pPr>
      <w:r w:rsidRPr="005D32D8">
        <w:rPr>
          <w:rFonts w:eastAsia="Arial Unicode MS"/>
          <w:b/>
          <w:color w:val="548DD4" w:themeColor="text2" w:themeTint="99"/>
          <w:sz w:val="22"/>
          <w:szCs w:val="22"/>
          <w:bdr w:val="nil"/>
          <w:lang w:eastAsia="en-GB"/>
        </w:rPr>
        <w:t>5.11.</w:t>
      </w:r>
      <w:r>
        <w:rPr>
          <w:rFonts w:eastAsia="Arial Unicode MS"/>
          <w:b/>
          <w:color w:val="548DD4" w:themeColor="text2" w:themeTint="99"/>
          <w:sz w:val="22"/>
          <w:szCs w:val="22"/>
          <w:bdr w:val="nil"/>
          <w:lang w:eastAsia="en-GB"/>
        </w:rPr>
        <w:t>9</w:t>
      </w:r>
      <w:r w:rsidRPr="005D32D8">
        <w:rPr>
          <w:rFonts w:eastAsia="Arial Unicode MS"/>
          <w:b/>
          <w:color w:val="548DD4" w:themeColor="text2" w:themeTint="99"/>
          <w:sz w:val="22"/>
          <w:szCs w:val="22"/>
          <w:bdr w:val="nil"/>
          <w:lang w:eastAsia="en-GB"/>
        </w:rPr>
        <w:t xml:space="preserve">. užpildytas pirkimo dokumentų 4 priedas „Techninė specifikacija“. </w:t>
      </w:r>
      <w:r w:rsidR="00842304" w:rsidRPr="00842304">
        <w:rPr>
          <w:rFonts w:eastAsia="Arial Unicode MS"/>
          <w:b/>
          <w:color w:val="548DD4" w:themeColor="text2" w:themeTint="99"/>
          <w:sz w:val="22"/>
          <w:szCs w:val="22"/>
          <w:bdr w:val="nil"/>
          <w:lang w:eastAsia="en-GB"/>
        </w:rPr>
        <w:t>Tiekėjas privalo nurodyti siūlomų prekių technines charakteristikas, turi būti nurodyti tikslūs ir konkretūs siūlomos prekės duomenys, nepaliekant lentelėje pateiktų dydžių reikšmių tolerancijų ir tokių reikšmių, kaip „lygiavertė“, „atitinka“, „taip” ir pan. Užpildytas dokumentas privalo būti pateiktas ne skenuota forma, bet prisegant atskiru dokumentu Microsoft Word formatu.</w:t>
      </w:r>
    </w:p>
    <w:p w:rsidR="000729DE" w:rsidRPr="007A7217" w:rsidRDefault="005D32D8"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5.11.10</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0240E" w:rsidRPr="00E0240E">
        <w:rPr>
          <w:rFonts w:cs="Times New Roman"/>
          <w:sz w:val="22"/>
          <w:szCs w:val="22"/>
          <w:lang w:val="lt-LT"/>
        </w:rPr>
        <w:t xml:space="preserve">Pasiūlymas turi būti pasirašytas tiekėjo vadovo arba </w:t>
      </w:r>
      <w:proofErr w:type="gramStart"/>
      <w:r w:rsidR="00E0240E" w:rsidRPr="00E0240E">
        <w:rPr>
          <w:rFonts w:cs="Times New Roman"/>
          <w:sz w:val="22"/>
          <w:szCs w:val="22"/>
          <w:lang w:val="lt-LT"/>
        </w:rPr>
        <w:t>jo</w:t>
      </w:r>
      <w:proofErr w:type="gramEnd"/>
      <w:r w:rsidR="00E0240E" w:rsidRPr="00E0240E">
        <w:rPr>
          <w:rFonts w:cs="Times New Roman"/>
          <w:sz w:val="22"/>
          <w:szCs w:val="22"/>
          <w:lang w:val="lt-LT"/>
        </w:rPr>
        <w:t xml:space="preserve">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 xml:space="preserve">pateiktos tiekėjų pašalinimo pagrindų nebuvimą, atitiktį kvalifikacijos reikalavimams, kokybės vadybos sistemos ir aplinkos apsaugos vadybos sistemos standartams patvirtinančiuose dokumentuose, </w:t>
      </w:r>
      <w:r w:rsidRPr="007A7217">
        <w:rPr>
          <w:color w:val="000000"/>
          <w:sz w:val="22"/>
          <w:szCs w:val="22"/>
        </w:rPr>
        <w:lastRenderedPageBreak/>
        <w:t>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034BA1">
        <w:rPr>
          <w:b/>
          <w:iCs/>
          <w:color w:val="548DD4" w:themeColor="text2" w:themeTint="99"/>
          <w:sz w:val="22"/>
          <w:szCs w:val="22"/>
        </w:rPr>
        <w:t>6</w:t>
      </w:r>
      <w:r w:rsidR="009A3013" w:rsidRPr="000706F8">
        <w:rPr>
          <w:b/>
          <w:iCs/>
          <w:color w:val="548DD4" w:themeColor="text2" w:themeTint="99"/>
          <w:sz w:val="22"/>
          <w:szCs w:val="22"/>
        </w:rPr>
        <w:t xml:space="preserve"> m. </w:t>
      </w:r>
      <w:r w:rsidR="0001461D">
        <w:rPr>
          <w:b/>
          <w:iCs/>
          <w:color w:val="548DD4" w:themeColor="text2" w:themeTint="99"/>
          <w:sz w:val="22"/>
          <w:szCs w:val="22"/>
        </w:rPr>
        <w:t>kovo</w:t>
      </w:r>
      <w:r w:rsidR="00973B0C">
        <w:rPr>
          <w:b/>
          <w:iCs/>
          <w:color w:val="548DD4" w:themeColor="text2" w:themeTint="99"/>
          <w:sz w:val="22"/>
          <w:szCs w:val="22"/>
        </w:rPr>
        <w:t xml:space="preserve"> </w:t>
      </w:r>
      <w:r w:rsidR="00FF3C05">
        <w:rPr>
          <w:b/>
          <w:iCs/>
          <w:color w:val="548DD4" w:themeColor="text2" w:themeTint="99"/>
          <w:sz w:val="22"/>
          <w:szCs w:val="22"/>
        </w:rPr>
        <w:t>2</w:t>
      </w:r>
      <w:r w:rsidR="0001461D">
        <w:rPr>
          <w:b/>
          <w:iCs/>
          <w:color w:val="548DD4" w:themeColor="text2" w:themeTint="99"/>
          <w:sz w:val="22"/>
          <w:szCs w:val="22"/>
        </w:rPr>
        <w:t>3</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A7E09">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034BA1">
        <w:rPr>
          <w:b/>
          <w:iCs/>
          <w:color w:val="548DD4" w:themeColor="text2" w:themeTint="99"/>
          <w:sz w:val="22"/>
          <w:szCs w:val="22"/>
          <w:u w:val="single"/>
        </w:rPr>
        <w:t>6</w:t>
      </w:r>
      <w:r w:rsidRPr="000706F8">
        <w:rPr>
          <w:b/>
          <w:iCs/>
          <w:color w:val="548DD4" w:themeColor="text2" w:themeTint="99"/>
          <w:sz w:val="22"/>
          <w:szCs w:val="22"/>
          <w:u w:val="single"/>
        </w:rPr>
        <w:t xml:space="preserve"> m.</w:t>
      </w:r>
      <w:r w:rsidR="0001461D">
        <w:rPr>
          <w:b/>
          <w:iCs/>
          <w:color w:val="548DD4" w:themeColor="text2" w:themeTint="99"/>
          <w:sz w:val="22"/>
          <w:szCs w:val="22"/>
          <w:u w:val="single"/>
        </w:rPr>
        <w:t xml:space="preserve"> kovo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FF3C05">
        <w:rPr>
          <w:b/>
          <w:iCs/>
          <w:color w:val="548DD4" w:themeColor="text2" w:themeTint="99"/>
          <w:sz w:val="22"/>
          <w:szCs w:val="22"/>
          <w:u w:val="single"/>
        </w:rPr>
        <w:t>2</w:t>
      </w:r>
      <w:r w:rsidR="0001461D">
        <w:rPr>
          <w:b/>
          <w:iCs/>
          <w:color w:val="548DD4" w:themeColor="text2" w:themeTint="99"/>
          <w:sz w:val="22"/>
          <w:szCs w:val="22"/>
          <w:u w:val="single"/>
        </w:rPr>
        <w:t>3</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5A7E09">
        <w:rPr>
          <w:b/>
          <w:iCs/>
          <w:color w:val="548DD4" w:themeColor="text2" w:themeTint="99"/>
          <w:sz w:val="22"/>
          <w:szCs w:val="22"/>
          <w:u w:val="single"/>
        </w:rPr>
        <w:t>0</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5A7E09">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F16244"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p>
    <w:p w:rsidR="00B35758" w:rsidRPr="007A7217" w:rsidRDefault="00F16244" w:rsidP="00F16244">
      <w:pPr>
        <w:suppressAutoHyphens/>
        <w:ind w:firstLine="567"/>
        <w:jc w:val="both"/>
        <w:rPr>
          <w:color w:val="000000"/>
          <w:sz w:val="22"/>
          <w:szCs w:val="22"/>
          <w:lang w:eastAsia="lt-LT"/>
        </w:rPr>
      </w:pPr>
      <w:r w:rsidRPr="00F16244">
        <w:rPr>
          <w:color w:val="000000"/>
          <w:sz w:val="22"/>
          <w:szCs w:val="22"/>
          <w:lang w:eastAsia="lt-LT"/>
        </w:rPr>
        <w:lastRenderedPageBreak/>
        <w:t>11.1.7. Perkančioji organizacija iš ekonomiškai naudingiausią pasiūlymą pateikusio tiekėjo reikalaus pateikti vieną (esant poreikiui – kelis) VPĮ 39 straipsnio 3 dalyje ir 51 straipsnio 12 dalyje numatytą dokumentą. Perkančioji organizacija bet kuriuo pirkimo procedūros metu turi teisę pareikalauti dalyvių pateikti visus ar dalį dokumentų, nurodytų VPĮ 39 straipsnio 3 dalyje ir 51 straipsnio 12 dalyje (jei taikytina).</w:t>
      </w:r>
      <w:r w:rsidRPr="00F16244">
        <w:rPr>
          <w:color w:val="000000"/>
          <w:sz w:val="22"/>
          <w:szCs w:val="22"/>
          <w:lang w:eastAsia="lt-LT"/>
        </w:rPr>
        <w:tab/>
      </w:r>
    </w:p>
    <w:p w:rsidR="00B35758" w:rsidRPr="007A7217" w:rsidRDefault="00B35758" w:rsidP="00F16244">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F16244">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766C32">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766C32">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F16244">
      <w:pPr>
        <w:tabs>
          <w:tab w:val="left" w:pos="567"/>
        </w:tabs>
        <w:suppressAutoHyphens/>
        <w:jc w:val="both"/>
        <w:rPr>
          <w:color w:val="000000"/>
          <w:sz w:val="22"/>
          <w:szCs w:val="22"/>
          <w:lang w:eastAsia="lt-LT"/>
        </w:rPr>
      </w:pPr>
      <w:r w:rsidRPr="007A7217">
        <w:rPr>
          <w:color w:val="000000"/>
          <w:sz w:val="22"/>
          <w:szCs w:val="22"/>
          <w:lang w:eastAsia="lt-LT"/>
        </w:rPr>
        <w:tab/>
        <w:t>11.</w:t>
      </w:r>
      <w:r w:rsidR="00766C32">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F16244">
      <w:pPr>
        <w:tabs>
          <w:tab w:val="left" w:pos="567"/>
        </w:tabs>
        <w:suppressAutoHyphens/>
        <w:jc w:val="both"/>
        <w:rPr>
          <w:color w:val="000000"/>
          <w:sz w:val="22"/>
          <w:szCs w:val="22"/>
          <w:lang w:eastAsia="lt-LT"/>
        </w:rPr>
      </w:pPr>
      <w:r w:rsidRPr="007A7217">
        <w:rPr>
          <w:color w:val="000000"/>
          <w:sz w:val="22"/>
          <w:szCs w:val="22"/>
          <w:lang w:eastAsia="lt-LT"/>
        </w:rPr>
        <w:tab/>
        <w:t>11.</w:t>
      </w:r>
      <w:r w:rsidR="00766C32">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F1624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AE0339" w:rsidP="009033D4">
      <w:pPr>
        <w:suppressAutoHyphens/>
        <w:ind w:firstLine="567"/>
        <w:jc w:val="both"/>
        <w:rPr>
          <w:rFonts w:eastAsia="Arial Unicode MS" w:cs="Arial Unicode MS"/>
          <w:color w:val="000000"/>
          <w:sz w:val="22"/>
          <w:szCs w:val="22"/>
          <w:bdr w:val="nil"/>
          <w:lang w:val="en-US" w:eastAsia="en-GB"/>
        </w:rPr>
      </w:pPr>
      <w:r w:rsidRPr="00AE0339">
        <w:rPr>
          <w:rFonts w:eastAsia="Arial Unicode MS" w:cs="Arial Unicode MS"/>
          <w:color w:val="000000"/>
          <w:sz w:val="22"/>
          <w:szCs w:val="22"/>
          <w:bdr w:val="nil"/>
          <w:lang w:eastAsia="en-GB"/>
        </w:rPr>
        <w:t>13.1.4. tiekėjas turi būti pašalinamas iš pirkimo procedūros pagal pirkimo sąlygų 3.14 punktą arba perkančiosios organizacijos prašymu nepateikė ar nepatikslino pateiktos netikslios ar neišsamios informacijos dėl Nacionalinio saugumo reikalavimų atitikties nustatytų sąlygų nebuvimo. Jeigu taikytina.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E8206D" w:rsidRDefault="00CD6C37" w:rsidP="00CD6C3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jc w:val="both"/>
        <w:rPr>
          <w:rFonts w:eastAsia="Arial"/>
          <w:sz w:val="22"/>
          <w:szCs w:val="22"/>
        </w:rPr>
      </w:pPr>
      <w:r w:rsidRPr="00CD6C37">
        <w:rPr>
          <w:rFonts w:eastAsia="Arial"/>
          <w:sz w:val="22"/>
          <w:szCs w:val="22"/>
        </w:rPr>
        <w:t xml:space="preserve">14.1. </w:t>
      </w:r>
      <w:r w:rsidR="00E8206D" w:rsidRPr="00CD6C37">
        <w:rPr>
          <w:rFonts w:eastAsia="Arial"/>
          <w:sz w:val="22"/>
          <w:szCs w:val="22"/>
        </w:rPr>
        <w:t xml:space="preserve">Šiame pirkimo sąlygų </w:t>
      </w:r>
      <w:r>
        <w:rPr>
          <w:rFonts w:eastAsia="Arial"/>
          <w:sz w:val="22"/>
          <w:szCs w:val="22"/>
        </w:rPr>
        <w:t xml:space="preserve">skyriuje </w:t>
      </w:r>
      <w:r w:rsidR="00E8206D" w:rsidRPr="00CD6C37">
        <w:rPr>
          <w:rFonts w:eastAsia="Arial"/>
          <w:sz w:val="22"/>
          <w:szCs w:val="22"/>
        </w:rPr>
        <w:t>pateikti ekonomiškai naudingiausio pasiūlymo vertinimo kriterijai, jų parametrai, lyginamieji svoriai, formulės, pagal kurias bus skaičiuojamas pasiūlymų ekonominis naudingumas. Ekonomiškai naudingiausiu bus pripažįstamas pasiūlymas, surinkęs daugiausiai balų. Pasiūlymas gali surinkti maksimaliai 100 balų. Minimalus pereinamasis privalomai surenkamų balų skaičius – 30 balų. Pasiūlymai surinkę mažiau nei 30 ekonominio naudingumo vertinimo balų bus atmesti.</w:t>
      </w:r>
    </w:p>
    <w:p w:rsidR="00657096" w:rsidRPr="007676D8" w:rsidRDefault="00657096" w:rsidP="0065709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21629B">
        <w:rPr>
          <w:rFonts w:eastAsia="Calibri"/>
          <w:color w:val="000000" w:themeColor="text1"/>
          <w:sz w:val="22"/>
          <w:szCs w:val="22"/>
        </w:rPr>
        <w:t>14.</w:t>
      </w:r>
      <w:r>
        <w:rPr>
          <w:rFonts w:eastAsia="Calibri"/>
          <w:color w:val="000000" w:themeColor="text1"/>
          <w:sz w:val="22"/>
          <w:szCs w:val="22"/>
        </w:rPr>
        <w:t>2</w:t>
      </w:r>
      <w:r w:rsidRPr="0021629B">
        <w:rPr>
          <w:rFonts w:eastAsia="Calibri"/>
          <w:color w:val="000000" w:themeColor="text1"/>
          <w:sz w:val="22"/>
          <w:szCs w:val="22"/>
        </w:rPr>
        <w:t xml:space="preserve">. Didžiausia priimtina pasiūlymo kaina yra </w:t>
      </w:r>
      <w:r w:rsidR="00CD5BD6" w:rsidRPr="00CD5BD6">
        <w:rPr>
          <w:rFonts w:eastAsia="Calibri"/>
          <w:b/>
          <w:color w:val="000000" w:themeColor="text1"/>
          <w:sz w:val="22"/>
          <w:szCs w:val="22"/>
        </w:rPr>
        <w:t>800 285,40</w:t>
      </w:r>
      <w:r w:rsidRPr="0021629B">
        <w:rPr>
          <w:rFonts w:eastAsia="Calibri"/>
          <w:color w:val="000000" w:themeColor="text1"/>
          <w:sz w:val="22"/>
          <w:szCs w:val="22"/>
        </w:rPr>
        <w:t xml:space="preserve"> </w:t>
      </w:r>
      <w:r w:rsidRPr="00A12776">
        <w:rPr>
          <w:rFonts w:eastAsia="Calibri"/>
          <w:b/>
          <w:color w:val="000000" w:themeColor="text1"/>
          <w:sz w:val="22"/>
          <w:szCs w:val="22"/>
        </w:rPr>
        <w:t>Eur (su PVM).</w:t>
      </w:r>
      <w:r w:rsidRPr="0021629B">
        <w:rPr>
          <w:rFonts w:eastAsia="Calibri"/>
          <w:color w:val="000000" w:themeColor="text1"/>
          <w:sz w:val="22"/>
          <w:szCs w:val="22"/>
        </w:rPr>
        <w:t xml:space="preserve"> Šią kainą viršijantys </w:t>
      </w:r>
      <w:r w:rsidRPr="007676D8">
        <w:rPr>
          <w:rFonts w:eastAsia="Calibri"/>
          <w:color w:val="000000" w:themeColor="text1"/>
          <w:sz w:val="22"/>
          <w:szCs w:val="22"/>
        </w:rPr>
        <w:t>pasiūlymai bus atmesti.</w:t>
      </w:r>
    </w:p>
    <w:p w:rsidR="00657096" w:rsidRPr="00CD6C37" w:rsidRDefault="00657096" w:rsidP="00CD6C3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jc w:val="both"/>
        <w:rPr>
          <w:rFonts w:eastAsia="Arial"/>
          <w:sz w:val="22"/>
          <w:szCs w:val="22"/>
        </w:rPr>
      </w:pPr>
    </w:p>
    <w:p w:rsidR="00E8206D" w:rsidRPr="0060257F" w:rsidRDefault="00E8206D" w:rsidP="00E8206D">
      <w:pPr>
        <w:spacing w:line="276" w:lineRule="auto"/>
        <w:jc w:val="right"/>
        <w:rPr>
          <w:rFonts w:eastAsia="Arial"/>
          <w:i/>
          <w:iCs/>
          <w:sz w:val="22"/>
          <w:szCs w:val="22"/>
        </w:rPr>
      </w:pPr>
      <w:r w:rsidRPr="0060257F">
        <w:rPr>
          <w:rFonts w:eastAsia="Arial"/>
          <w:i/>
          <w:iCs/>
          <w:sz w:val="22"/>
          <w:szCs w:val="22"/>
        </w:rPr>
        <w:t>1 lentelė. Pasiūlymų vertinimo kriterijai ir lyginamieji svoriai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1"/>
        <w:gridCol w:w="2261"/>
      </w:tblGrid>
      <w:tr w:rsidR="00E8206D" w:rsidRPr="0060257F" w:rsidTr="009C2F72">
        <w:trPr>
          <w:cantSplit/>
          <w:trHeight w:val="613"/>
        </w:trPr>
        <w:tc>
          <w:tcPr>
            <w:tcW w:w="3825" w:type="pct"/>
            <w:tcBorders>
              <w:top w:val="single" w:sz="4" w:space="0" w:color="auto"/>
              <w:left w:val="single" w:sz="4" w:space="0" w:color="auto"/>
              <w:bottom w:val="single" w:sz="4" w:space="0" w:color="auto"/>
              <w:right w:val="single" w:sz="4" w:space="0" w:color="auto"/>
            </w:tcBorders>
            <w:vAlign w:val="center"/>
            <w:hideMark/>
          </w:tcPr>
          <w:p w:rsidR="00E8206D" w:rsidRPr="0060257F" w:rsidRDefault="00E8206D" w:rsidP="009C2F72">
            <w:pPr>
              <w:spacing w:line="276" w:lineRule="auto"/>
              <w:ind w:left="-108" w:right="-108"/>
              <w:jc w:val="center"/>
              <w:rPr>
                <w:rFonts w:eastAsia="Arial"/>
                <w:color w:val="000000"/>
                <w:sz w:val="22"/>
                <w:szCs w:val="22"/>
              </w:rPr>
            </w:pPr>
            <w:r w:rsidRPr="0060257F">
              <w:rPr>
                <w:rFonts w:eastAsia="Arial"/>
                <w:sz w:val="22"/>
                <w:szCs w:val="22"/>
              </w:rPr>
              <w:t>Vertinimo kriterijai ir parametrai</w:t>
            </w:r>
          </w:p>
        </w:tc>
        <w:tc>
          <w:tcPr>
            <w:tcW w:w="1175" w:type="pct"/>
            <w:tcBorders>
              <w:top w:val="single" w:sz="4" w:space="0" w:color="auto"/>
              <w:left w:val="single" w:sz="4" w:space="0" w:color="auto"/>
              <w:bottom w:val="single" w:sz="4" w:space="0" w:color="auto"/>
              <w:right w:val="single" w:sz="4" w:space="0" w:color="auto"/>
            </w:tcBorders>
            <w:vAlign w:val="center"/>
            <w:hideMark/>
          </w:tcPr>
          <w:p w:rsidR="00E8206D" w:rsidRPr="0060257F" w:rsidRDefault="00E8206D" w:rsidP="009C2F72">
            <w:pPr>
              <w:spacing w:line="276" w:lineRule="auto"/>
              <w:ind w:left="-108" w:right="-108"/>
              <w:jc w:val="center"/>
              <w:rPr>
                <w:rFonts w:eastAsia="Arial"/>
                <w:sz w:val="22"/>
                <w:szCs w:val="22"/>
              </w:rPr>
            </w:pPr>
            <w:r w:rsidRPr="0060257F">
              <w:rPr>
                <w:rFonts w:eastAsia="Arial"/>
                <w:color w:val="000000"/>
                <w:sz w:val="22"/>
                <w:szCs w:val="22"/>
              </w:rPr>
              <w:t>Lyginamasis svoris ekonominio naudingumo įvertinime</w:t>
            </w:r>
          </w:p>
        </w:tc>
      </w:tr>
      <w:tr w:rsidR="00E8206D" w:rsidRPr="0060257F" w:rsidTr="009C2F72">
        <w:trPr>
          <w:cantSplit/>
          <w:trHeight w:val="557"/>
        </w:trPr>
        <w:tc>
          <w:tcPr>
            <w:tcW w:w="3825" w:type="pct"/>
            <w:tcBorders>
              <w:top w:val="single" w:sz="4" w:space="0" w:color="auto"/>
              <w:left w:val="single" w:sz="4" w:space="0" w:color="auto"/>
              <w:bottom w:val="single" w:sz="4" w:space="0" w:color="auto"/>
              <w:right w:val="single" w:sz="4" w:space="0" w:color="auto"/>
            </w:tcBorders>
            <w:vAlign w:val="center"/>
            <w:hideMark/>
          </w:tcPr>
          <w:p w:rsidR="00E8206D" w:rsidRPr="0060257F" w:rsidRDefault="00E8206D" w:rsidP="009C2F72">
            <w:pPr>
              <w:spacing w:line="276" w:lineRule="auto"/>
              <w:jc w:val="center"/>
              <w:rPr>
                <w:rFonts w:eastAsia="Arial"/>
                <w:sz w:val="22"/>
                <w:szCs w:val="22"/>
              </w:rPr>
            </w:pPr>
            <w:r w:rsidRPr="0060257F">
              <w:rPr>
                <w:rFonts w:eastAsia="Arial"/>
                <w:b/>
                <w:bCs/>
                <w:sz w:val="22"/>
                <w:szCs w:val="22"/>
              </w:rPr>
              <w:t xml:space="preserve">I kriterijus – Kaina </w:t>
            </w:r>
            <w:r w:rsidRPr="0060257F">
              <w:rPr>
                <w:rFonts w:eastAsia="Arial"/>
                <w:i/>
                <w:iCs/>
                <w:sz w:val="22"/>
                <w:szCs w:val="22"/>
              </w:rPr>
              <w:t>(</w:t>
            </w:r>
            <w:r w:rsidRPr="0060257F">
              <w:rPr>
                <w:i/>
                <w:noProof/>
                <w:color w:val="2B579A"/>
                <w:position w:val="-6"/>
                <w:sz w:val="22"/>
                <w:szCs w:val="22"/>
                <w:shd w:val="clear" w:color="auto" w:fill="E6E6E6"/>
              </w:rPr>
              <w:object w:dxaOrig="24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2.75pt;mso-width-percent:0;mso-height-percent:0;mso-width-percent:0;mso-height-percent:0" o:ole="" fillcolor="window">
                  <v:imagedata r:id="rId23" o:title=""/>
                </v:shape>
                <o:OLEObject Type="Embed" ProgID="Equation.3" ShapeID="_x0000_i1025" DrawAspect="Content" ObjectID="_1832845101" r:id="rId24"/>
              </w:object>
            </w:r>
            <w:r w:rsidRPr="0060257F">
              <w:rPr>
                <w:rFonts w:eastAsia="Arial"/>
                <w:i/>
                <w:iCs/>
                <w:sz w:val="22"/>
                <w:szCs w:val="22"/>
              </w:rPr>
              <w:t>)</w:t>
            </w:r>
          </w:p>
        </w:tc>
        <w:tc>
          <w:tcPr>
            <w:tcW w:w="1175" w:type="pct"/>
            <w:tcBorders>
              <w:top w:val="single" w:sz="4" w:space="0" w:color="auto"/>
              <w:left w:val="single" w:sz="4" w:space="0" w:color="auto"/>
              <w:bottom w:val="single" w:sz="4" w:space="0" w:color="auto"/>
              <w:right w:val="single" w:sz="4" w:space="0" w:color="auto"/>
            </w:tcBorders>
            <w:vAlign w:val="center"/>
            <w:hideMark/>
          </w:tcPr>
          <w:p w:rsidR="00E8206D" w:rsidRPr="0060257F" w:rsidRDefault="00E8206D" w:rsidP="009C2F72">
            <w:pPr>
              <w:spacing w:line="276" w:lineRule="auto"/>
              <w:jc w:val="center"/>
              <w:rPr>
                <w:rFonts w:eastAsia="Arial"/>
                <w:iCs/>
                <w:sz w:val="22"/>
                <w:szCs w:val="22"/>
                <w:lang w:val="en-US"/>
              </w:rPr>
            </w:pPr>
            <m:oMathPara>
              <m:oMath>
                <m:r>
                  <m:rPr>
                    <m:sty m:val="p"/>
                  </m:rPr>
                  <w:rPr>
                    <w:rFonts w:ascii="Cambria Math" w:hAnsi="Cambria Math"/>
                    <w:sz w:val="22"/>
                    <w:szCs w:val="22"/>
                  </w:rPr>
                  <m:t>X=70</m:t>
                </m:r>
              </m:oMath>
            </m:oMathPara>
          </w:p>
        </w:tc>
      </w:tr>
      <w:tr w:rsidR="00E8206D" w:rsidRPr="0060257F" w:rsidTr="009C2F72">
        <w:trPr>
          <w:cantSplit/>
          <w:trHeight w:val="583"/>
        </w:trPr>
        <w:tc>
          <w:tcPr>
            <w:tcW w:w="3825" w:type="pct"/>
            <w:tcBorders>
              <w:top w:val="single" w:sz="4" w:space="0" w:color="auto"/>
              <w:left w:val="single" w:sz="4" w:space="0" w:color="auto"/>
              <w:bottom w:val="single" w:sz="4" w:space="0" w:color="auto"/>
              <w:right w:val="single" w:sz="4" w:space="0" w:color="auto"/>
            </w:tcBorders>
            <w:vAlign w:val="center"/>
            <w:hideMark/>
          </w:tcPr>
          <w:p w:rsidR="00E8206D" w:rsidRPr="0060257F" w:rsidRDefault="00E8206D" w:rsidP="009C2F72">
            <w:pPr>
              <w:spacing w:line="276" w:lineRule="auto"/>
              <w:jc w:val="center"/>
              <w:rPr>
                <w:rFonts w:eastAsia="Arial"/>
                <w:sz w:val="22"/>
                <w:szCs w:val="22"/>
              </w:rPr>
            </w:pPr>
            <w:r w:rsidRPr="0060257F">
              <w:rPr>
                <w:rFonts w:eastAsia="Arial"/>
                <w:b/>
                <w:bCs/>
                <w:sz w:val="22"/>
                <w:szCs w:val="22"/>
              </w:rPr>
              <w:t xml:space="preserve">II kriterijus – Prekių tiekimo valdymo automatizuota sistema </w:t>
            </w:r>
            <w:r w:rsidRPr="0060257F">
              <w:rPr>
                <w:rFonts w:eastAsia="Arial"/>
                <w:sz w:val="22"/>
                <w:szCs w:val="22"/>
              </w:rPr>
              <w:t>(</w:t>
            </w:r>
            <w:r w:rsidRPr="0060257F">
              <w:rPr>
                <w:noProof/>
                <w:position w:val="-4"/>
                <w:sz w:val="22"/>
                <w:szCs w:val="22"/>
                <w:shd w:val="clear" w:color="auto" w:fill="E6E6E6"/>
              </w:rPr>
              <w:object w:dxaOrig="240" w:dyaOrig="240">
                <v:shape id="_x0000_i1026" type="#_x0000_t75" alt="" style="width:7.5pt;height:12.75pt;mso-width-percent:0;mso-height-percent:0;mso-width-percent:0;mso-height-percent:0" o:ole="" fillcolor="window">
                  <v:imagedata r:id="rId25" o:title=""/>
                </v:shape>
                <o:OLEObject Type="Embed" ProgID="Equation.3" ShapeID="_x0000_i1026" DrawAspect="Content" ObjectID="_1832845102" r:id="rId26"/>
              </w:object>
            </w:r>
            <w:r w:rsidRPr="0060257F">
              <w:rPr>
                <w:rFonts w:eastAsia="Arial"/>
                <w:sz w:val="22"/>
                <w:szCs w:val="22"/>
              </w:rPr>
              <w:t>)</w:t>
            </w:r>
          </w:p>
        </w:tc>
        <w:tc>
          <w:tcPr>
            <w:tcW w:w="1175" w:type="pct"/>
            <w:tcBorders>
              <w:top w:val="single" w:sz="4" w:space="0" w:color="auto"/>
              <w:left w:val="single" w:sz="4" w:space="0" w:color="auto"/>
              <w:bottom w:val="single" w:sz="4" w:space="0" w:color="auto"/>
              <w:right w:val="single" w:sz="4" w:space="0" w:color="auto"/>
            </w:tcBorders>
            <w:vAlign w:val="center"/>
            <w:hideMark/>
          </w:tcPr>
          <w:p w:rsidR="00E8206D" w:rsidRPr="0060257F" w:rsidRDefault="00E8206D" w:rsidP="009C2F72">
            <w:pPr>
              <w:spacing w:line="276" w:lineRule="auto"/>
              <w:jc w:val="center"/>
              <w:rPr>
                <w:bCs/>
                <w:iCs/>
                <w:sz w:val="22"/>
                <w:szCs w:val="22"/>
              </w:rPr>
            </w:pPr>
            <m:oMathPara>
              <m:oMath>
                <m:r>
                  <m:rPr>
                    <m:sty m:val="p"/>
                  </m:rPr>
                  <w:rPr>
                    <w:rFonts w:ascii="Cambria Math" w:hAnsi="Cambria Math"/>
                    <w:sz w:val="22"/>
                    <w:szCs w:val="22"/>
                  </w:rPr>
                  <m:t>Y=20</m:t>
                </m:r>
              </m:oMath>
            </m:oMathPara>
          </w:p>
        </w:tc>
      </w:tr>
      <w:tr w:rsidR="00E8206D" w:rsidRPr="0060257F" w:rsidTr="009C2F72">
        <w:tc>
          <w:tcPr>
            <w:tcW w:w="3825" w:type="pct"/>
            <w:tcBorders>
              <w:top w:val="single" w:sz="4" w:space="0" w:color="auto"/>
              <w:left w:val="single" w:sz="4" w:space="0" w:color="auto"/>
              <w:bottom w:val="single" w:sz="4" w:space="0" w:color="auto"/>
              <w:right w:val="single" w:sz="4" w:space="0" w:color="auto"/>
            </w:tcBorders>
            <w:vAlign w:val="center"/>
          </w:tcPr>
          <w:p w:rsidR="00E8206D" w:rsidRPr="0060257F" w:rsidRDefault="00E8206D" w:rsidP="009C2F72">
            <w:pPr>
              <w:spacing w:line="276" w:lineRule="auto"/>
              <w:jc w:val="center"/>
              <w:rPr>
                <w:rFonts w:eastAsia="Arial"/>
                <w:b/>
                <w:bCs/>
                <w:sz w:val="22"/>
                <w:szCs w:val="22"/>
              </w:rPr>
            </w:pPr>
            <w:r w:rsidRPr="0060257F">
              <w:rPr>
                <w:rFonts w:eastAsia="Arial"/>
                <w:b/>
                <w:bCs/>
                <w:sz w:val="22"/>
                <w:szCs w:val="22"/>
              </w:rPr>
              <w:t xml:space="preserve">III kriterijus – Aplinkosauginiai reikalavimai </w:t>
            </w:r>
            <w:r w:rsidRPr="0060257F">
              <w:rPr>
                <w:rFonts w:eastAsia="Arial"/>
                <w:sz w:val="22"/>
                <w:szCs w:val="22"/>
              </w:rPr>
              <w:t>(</w:t>
            </w:r>
            <w:r w:rsidRPr="0060257F">
              <w:rPr>
                <w:i/>
                <w:iCs/>
                <w:sz w:val="22"/>
                <w:szCs w:val="22"/>
                <w:shd w:val="clear" w:color="auto" w:fill="E6E6E6"/>
              </w:rPr>
              <w:t>P</w:t>
            </w:r>
            <w:r w:rsidRPr="0060257F">
              <w:rPr>
                <w:rFonts w:eastAsia="Arial"/>
                <w:sz w:val="22"/>
                <w:szCs w:val="22"/>
              </w:rPr>
              <w:t>)</w:t>
            </w:r>
          </w:p>
        </w:tc>
        <w:tc>
          <w:tcPr>
            <w:tcW w:w="1175" w:type="pct"/>
            <w:tcBorders>
              <w:top w:val="single" w:sz="4" w:space="0" w:color="auto"/>
              <w:left w:val="single" w:sz="4" w:space="0" w:color="auto"/>
              <w:bottom w:val="single" w:sz="4" w:space="0" w:color="auto"/>
              <w:right w:val="single" w:sz="4" w:space="0" w:color="auto"/>
            </w:tcBorders>
            <w:vAlign w:val="center"/>
          </w:tcPr>
          <w:p w:rsidR="00E8206D" w:rsidRPr="0060257F" w:rsidRDefault="00E8206D" w:rsidP="009C2F72">
            <w:pPr>
              <w:spacing w:line="276" w:lineRule="auto"/>
              <w:jc w:val="center"/>
              <w:rPr>
                <w:rFonts w:eastAsia="Arial"/>
                <w:iCs/>
                <w:sz w:val="22"/>
                <w:szCs w:val="22"/>
              </w:rPr>
            </w:pPr>
            <w:r w:rsidRPr="0060257F">
              <w:rPr>
                <w:rFonts w:eastAsia="Arial"/>
                <w:iCs/>
                <w:sz w:val="22"/>
                <w:szCs w:val="22"/>
              </w:rPr>
              <w:t xml:space="preserve">Z </w:t>
            </w:r>
            <m:oMath>
              <m:r>
                <m:rPr>
                  <m:sty m:val="p"/>
                </m:rPr>
                <w:rPr>
                  <w:rFonts w:ascii="Cambria Math" w:hAnsi="Cambria Math"/>
                  <w:sz w:val="22"/>
                  <w:szCs w:val="22"/>
                </w:rPr>
                <m:t>=10</m:t>
              </m:r>
            </m:oMath>
          </w:p>
        </w:tc>
      </w:tr>
    </w:tbl>
    <w:p w:rsidR="00E8206D" w:rsidRPr="00025FD8" w:rsidRDefault="00E8206D" w:rsidP="00025FD8">
      <w:pPr>
        <w:autoSpaceDE w:val="0"/>
        <w:autoSpaceDN w:val="0"/>
        <w:adjustRightInd w:val="0"/>
        <w:spacing w:line="276" w:lineRule="auto"/>
        <w:ind w:firstLine="567"/>
        <w:jc w:val="right"/>
        <w:rPr>
          <w:color w:val="000000"/>
          <w:sz w:val="22"/>
          <w:szCs w:val="22"/>
        </w:rPr>
      </w:pPr>
    </w:p>
    <w:p w:rsidR="00E8206D" w:rsidRPr="00025FD8" w:rsidRDefault="00025FD8" w:rsidP="00025FD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firstLine="567"/>
        <w:jc w:val="both"/>
        <w:rPr>
          <w:rFonts w:eastAsia="Arial"/>
          <w:color w:val="000000" w:themeColor="text1"/>
          <w:sz w:val="22"/>
          <w:szCs w:val="22"/>
        </w:rPr>
      </w:pPr>
      <w:r w:rsidRPr="00025FD8">
        <w:rPr>
          <w:rFonts w:eastAsia="Arial"/>
          <w:color w:val="000000" w:themeColor="text1"/>
          <w:sz w:val="22"/>
          <w:szCs w:val="22"/>
        </w:rPr>
        <w:t xml:space="preserve">14.3. </w:t>
      </w:r>
      <w:r w:rsidR="00E8206D" w:rsidRPr="00025FD8">
        <w:rPr>
          <w:rFonts w:eastAsia="Arial"/>
          <w:color w:val="000000" w:themeColor="text1"/>
          <w:sz w:val="22"/>
          <w:szCs w:val="22"/>
        </w:rPr>
        <w:t>Pasiūlymo ekonominio naudingumo (</w:t>
      </w:r>
      <w:r w:rsidR="00E8206D" w:rsidRPr="00025FD8">
        <w:rPr>
          <w:noProof/>
          <w:color w:val="000000" w:themeColor="text1"/>
          <w:position w:val="-6"/>
          <w:sz w:val="22"/>
          <w:szCs w:val="22"/>
          <w:shd w:val="clear" w:color="auto" w:fill="E6E6E6"/>
        </w:rPr>
        <w:object w:dxaOrig="220" w:dyaOrig="279">
          <v:shape id="_x0000_i1057" type="#_x0000_t75" alt="" style="width:12.75pt;height:12.75pt;mso-width-percent:0;mso-height-percent:0;mso-width-percent:0;mso-height-percent:0" o:ole="" fillcolor="window">
            <v:imagedata r:id="rId27" o:title=""/>
          </v:shape>
          <o:OLEObject Type="Embed" ProgID="Equation.3" ShapeID="_x0000_i1057" DrawAspect="Content" ObjectID="_1832845103" r:id="rId28"/>
        </w:object>
      </w:r>
      <w:r w:rsidR="00E8206D" w:rsidRPr="00025FD8">
        <w:rPr>
          <w:rFonts w:eastAsia="Arial"/>
          <w:color w:val="000000" w:themeColor="text1"/>
          <w:sz w:val="22"/>
          <w:szCs w:val="22"/>
        </w:rPr>
        <w:t>) balas apskaičiuojamas sudedant kriterijaus (</w:t>
      </w:r>
      <w:r w:rsidR="00E8206D" w:rsidRPr="00025FD8">
        <w:rPr>
          <w:i/>
          <w:iCs/>
          <w:color w:val="000000" w:themeColor="text1"/>
          <w:sz w:val="22"/>
          <w:szCs w:val="22"/>
          <w:shd w:val="clear" w:color="auto" w:fill="E6E6E6"/>
        </w:rPr>
        <w:t>C</w:t>
      </w:r>
      <w:r w:rsidR="00E8206D" w:rsidRPr="00025FD8">
        <w:rPr>
          <w:rFonts w:eastAsia="Arial"/>
          <w:color w:val="000000" w:themeColor="text1"/>
          <w:sz w:val="22"/>
          <w:szCs w:val="22"/>
        </w:rPr>
        <w:t xml:space="preserve">) ir kriterijų </w:t>
      </w:r>
      <w:r w:rsidR="00E8206D" w:rsidRPr="00025FD8">
        <w:rPr>
          <w:rFonts w:eastAsia="Arial"/>
          <w:i/>
          <w:iCs/>
          <w:color w:val="000000" w:themeColor="text1"/>
          <w:sz w:val="22"/>
          <w:szCs w:val="22"/>
        </w:rPr>
        <w:t>(</w:t>
      </w:r>
      <w:r w:rsidR="00E8206D" w:rsidRPr="00025FD8">
        <w:rPr>
          <w:i/>
          <w:iCs/>
          <w:color w:val="000000" w:themeColor="text1"/>
          <w:sz w:val="22"/>
          <w:szCs w:val="22"/>
          <w:shd w:val="clear" w:color="auto" w:fill="E6E6E6"/>
        </w:rPr>
        <w:t>T</w:t>
      </w:r>
      <w:r w:rsidR="00E8206D" w:rsidRPr="00025FD8">
        <w:rPr>
          <w:rFonts w:eastAsia="Arial"/>
          <w:i/>
          <w:iCs/>
          <w:color w:val="000000" w:themeColor="text1"/>
          <w:sz w:val="22"/>
          <w:szCs w:val="22"/>
        </w:rPr>
        <w:t>), (</w:t>
      </w:r>
      <w:r w:rsidR="00E8206D" w:rsidRPr="00025FD8">
        <w:rPr>
          <w:i/>
          <w:iCs/>
          <w:color w:val="000000" w:themeColor="text1"/>
          <w:sz w:val="22"/>
          <w:szCs w:val="22"/>
          <w:shd w:val="clear" w:color="auto" w:fill="E6E6E6"/>
        </w:rPr>
        <w:t>P</w:t>
      </w:r>
      <w:r w:rsidR="00E8206D" w:rsidRPr="00025FD8">
        <w:rPr>
          <w:rFonts w:eastAsia="Arial"/>
          <w:i/>
          <w:iCs/>
          <w:color w:val="000000" w:themeColor="text1"/>
          <w:sz w:val="22"/>
          <w:szCs w:val="22"/>
        </w:rPr>
        <w:t xml:space="preserve">) </w:t>
      </w:r>
      <w:r w:rsidR="00E8206D" w:rsidRPr="00025FD8">
        <w:rPr>
          <w:rFonts w:eastAsia="Arial"/>
          <w:color w:val="000000" w:themeColor="text1"/>
          <w:sz w:val="22"/>
          <w:szCs w:val="22"/>
        </w:rPr>
        <w:t>balus:</w:t>
      </w:r>
    </w:p>
    <w:p w:rsidR="00E8206D" w:rsidRPr="00025FD8" w:rsidRDefault="00E8206D" w:rsidP="00025FD8">
      <w:pPr>
        <w:shd w:val="clear" w:color="auto" w:fill="FFFFFF" w:themeFill="background1"/>
        <w:tabs>
          <w:tab w:val="left" w:pos="426"/>
        </w:tabs>
        <w:spacing w:line="276" w:lineRule="auto"/>
        <w:ind w:firstLine="567"/>
        <w:rPr>
          <w:rFonts w:eastAsia="Arial"/>
          <w:color w:val="000000" w:themeColor="text1"/>
          <w:sz w:val="22"/>
          <w:szCs w:val="22"/>
        </w:rPr>
      </w:pPr>
    </w:p>
    <w:p w:rsidR="00E8206D" w:rsidRPr="00025FD8" w:rsidRDefault="00E8206D" w:rsidP="00025FD8">
      <w:pPr>
        <w:shd w:val="clear" w:color="auto" w:fill="FFFFFF" w:themeFill="background1"/>
        <w:spacing w:line="276" w:lineRule="auto"/>
        <w:ind w:firstLine="567"/>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S=C+T+P</m:t>
          </m:r>
        </m:oMath>
      </m:oMathPara>
    </w:p>
    <w:p w:rsidR="00E8206D" w:rsidRPr="00D9277A" w:rsidRDefault="00E8206D" w:rsidP="00E8206D">
      <w:pPr>
        <w:shd w:val="clear" w:color="auto" w:fill="FFFFFF" w:themeFill="background1"/>
        <w:spacing w:line="276" w:lineRule="auto"/>
        <w:ind w:firstLine="1298"/>
        <w:rPr>
          <w:color w:val="000000" w:themeColor="text1"/>
          <w:sz w:val="24"/>
          <w:szCs w:val="24"/>
        </w:rPr>
      </w:pPr>
    </w:p>
    <w:p w:rsidR="00E8206D" w:rsidRPr="00025FD8" w:rsidRDefault="00025FD8" w:rsidP="00025FD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0"/>
          <w:tab w:val="left" w:pos="567"/>
        </w:tabs>
        <w:ind w:firstLine="567"/>
        <w:jc w:val="both"/>
        <w:rPr>
          <w:rFonts w:eastAsia="Arial"/>
          <w:color w:val="000000" w:themeColor="text1"/>
          <w:sz w:val="22"/>
          <w:szCs w:val="22"/>
        </w:rPr>
      </w:pPr>
      <w:r>
        <w:rPr>
          <w:sz w:val="22"/>
          <w:szCs w:val="22"/>
        </w:rPr>
        <w:t xml:space="preserve">14.3.1. </w:t>
      </w:r>
      <w:r w:rsidR="00E8206D" w:rsidRPr="00025FD8">
        <w:rPr>
          <w:sz w:val="22"/>
          <w:szCs w:val="22"/>
        </w:rPr>
        <w:t>Pasiūlymų vertinimo I kriterijaus „Kaina“ (C) balas apskaičiuojamas mažiausios pasiūlytos kainos (C</w:t>
      </w:r>
      <w:r w:rsidR="00E8206D" w:rsidRPr="00025FD8">
        <w:rPr>
          <w:sz w:val="22"/>
          <w:szCs w:val="22"/>
          <w:vertAlign w:val="subscript"/>
        </w:rPr>
        <w:t>min</w:t>
      </w:r>
      <w:r w:rsidR="00E8206D" w:rsidRPr="00025FD8">
        <w:rPr>
          <w:sz w:val="22"/>
          <w:szCs w:val="22"/>
        </w:rPr>
        <w:t>) ir vertinamo pasiūlymo kainos (C</w:t>
      </w:r>
      <w:r w:rsidR="00E8206D" w:rsidRPr="00025FD8">
        <w:rPr>
          <w:sz w:val="22"/>
          <w:szCs w:val="22"/>
          <w:vertAlign w:val="subscript"/>
        </w:rPr>
        <w:t>p</w:t>
      </w:r>
      <w:r w:rsidR="00E8206D" w:rsidRPr="00025FD8">
        <w:rPr>
          <w:sz w:val="22"/>
          <w:szCs w:val="22"/>
        </w:rPr>
        <w:t>) santykį padauginant iš kainos lyginamojo svorio (X). Apskaičiuotas kriterijaus (C) balas apvalinamas matematiškai dviejų skaitmenų po kablelio tikslumu.</w:t>
      </w:r>
    </w:p>
    <w:p w:rsidR="00E8206D" w:rsidRPr="00D9277A" w:rsidRDefault="00E8206D" w:rsidP="00E8206D">
      <w:pPr>
        <w:spacing w:line="276" w:lineRule="auto"/>
        <w:ind w:left="284" w:right="1928" w:firstLine="426"/>
        <w:jc w:val="center"/>
      </w:pPr>
      <w:r>
        <w:rPr>
          <w:noProof/>
          <w:lang w:eastAsia="lt-LT"/>
        </w:rPr>
        <w:drawing>
          <wp:inline distT="0" distB="0" distL="0" distR="0">
            <wp:extent cx="6953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5325" cy="428625"/>
                    </a:xfrm>
                    <a:prstGeom prst="rect">
                      <a:avLst/>
                    </a:prstGeom>
                    <a:solidFill>
                      <a:srgbClr val="FFFFFF"/>
                    </a:solidFill>
                    <a:ln>
                      <a:noFill/>
                    </a:ln>
                  </pic:spPr>
                </pic:pic>
              </a:graphicData>
            </a:graphic>
          </wp:inline>
        </w:drawing>
      </w:r>
    </w:p>
    <w:p w:rsidR="00E8206D" w:rsidRPr="00025FD8" w:rsidRDefault="00E8206D" w:rsidP="00025FD8">
      <w:pPr>
        <w:tabs>
          <w:tab w:val="num" w:pos="1080"/>
        </w:tabs>
        <w:ind w:right="96"/>
        <w:jc w:val="both"/>
        <w:rPr>
          <w:i/>
          <w:iCs/>
          <w:color w:val="C00000"/>
          <w:sz w:val="22"/>
          <w:szCs w:val="22"/>
        </w:rPr>
      </w:pPr>
      <w:r w:rsidRPr="00025FD8">
        <w:rPr>
          <w:i/>
          <w:iCs/>
          <w:color w:val="C00000"/>
          <w:sz w:val="22"/>
          <w:szCs w:val="22"/>
        </w:rPr>
        <w:t>(Paaiškinimas: Pvz: Jei yra trys pasiūlymai, skaitiklyje yra rašoma mažiausio pasiūlymo kaina, o vardiklyje vertinamojo pasiūlymo kaina. Šių kainų santykis yra dauginamas iš lyginamojo svorio. Taigi mažiausią kainą siūlantis pasiūlymas gauna visus įmanomus taškus, o didesnę kainą siūlantis gauna tiek taškų, kiek jis yra santykinai didesnis.)</w:t>
      </w:r>
    </w:p>
    <w:p w:rsidR="00E8206D" w:rsidRPr="00D9277A" w:rsidRDefault="00E8206D" w:rsidP="00E8206D">
      <w:pPr>
        <w:shd w:val="clear" w:color="auto" w:fill="FFFFFF" w:themeFill="background1"/>
        <w:tabs>
          <w:tab w:val="left" w:pos="0"/>
          <w:tab w:val="left" w:pos="567"/>
        </w:tabs>
        <w:spacing w:line="276" w:lineRule="auto"/>
        <w:jc w:val="both"/>
        <w:rPr>
          <w:b/>
          <w:bCs/>
          <w:sz w:val="24"/>
          <w:szCs w:val="24"/>
        </w:rPr>
      </w:pPr>
    </w:p>
    <w:p w:rsidR="00E8206D" w:rsidRPr="00741DA4" w:rsidRDefault="00741DA4" w:rsidP="00741DA4">
      <w:pPr>
        <w:shd w:val="clear" w:color="auto" w:fill="FFFFFF" w:themeFill="background1"/>
        <w:tabs>
          <w:tab w:val="left" w:pos="0"/>
          <w:tab w:val="left" w:pos="567"/>
        </w:tabs>
        <w:spacing w:line="276" w:lineRule="auto"/>
        <w:ind w:firstLine="567"/>
        <w:jc w:val="both"/>
        <w:rPr>
          <w:sz w:val="22"/>
          <w:szCs w:val="22"/>
        </w:rPr>
      </w:pPr>
      <w:r w:rsidRPr="00741DA4">
        <w:rPr>
          <w:rFonts w:eastAsia="Arial"/>
          <w:sz w:val="22"/>
          <w:szCs w:val="22"/>
        </w:rPr>
        <w:t xml:space="preserve">14.3.2. </w:t>
      </w:r>
      <w:r w:rsidR="00E8206D" w:rsidRPr="00741DA4">
        <w:rPr>
          <w:rFonts w:eastAsia="Arial"/>
          <w:sz w:val="22"/>
          <w:szCs w:val="22"/>
        </w:rPr>
        <w:t xml:space="preserve">Pasiūlymo vertinimo II kriterijaus „Prekių tiekimo valdymo automatizuota sistema“ (T) balas vertinamas pagal tiekėjo kartu su pasiūlymu pateiktą, tinkamai užpildytą techninės specifikacijos 1 lentelę ir kartu su pasiūlymu pateiktus dokumentus, kaip tai numatyta techninėje specifikacijoje. </w:t>
      </w:r>
    </w:p>
    <w:p w:rsidR="00E8206D" w:rsidRPr="00741DA4" w:rsidRDefault="00E8206D" w:rsidP="00741DA4">
      <w:pPr>
        <w:pStyle w:val="ListParagraph"/>
        <w:shd w:val="clear" w:color="auto" w:fill="FFFFFF" w:themeFill="background1"/>
        <w:tabs>
          <w:tab w:val="left" w:pos="0"/>
          <w:tab w:val="left" w:pos="567"/>
        </w:tabs>
        <w:spacing w:after="0" w:line="240" w:lineRule="auto"/>
        <w:ind w:left="0" w:firstLine="567"/>
        <w:contextualSpacing w:val="0"/>
        <w:jc w:val="both"/>
        <w:rPr>
          <w:rFonts w:ascii="Times New Roman" w:eastAsia="Arial" w:hAnsi="Times New Roman"/>
          <w:b/>
          <w:bCs/>
        </w:rPr>
      </w:pPr>
      <w:r w:rsidRPr="00741DA4">
        <w:rPr>
          <w:rFonts w:ascii="Times New Roman" w:eastAsia="Arial" w:hAnsi="Times New Roman"/>
          <w:b/>
          <w:bCs/>
        </w:rPr>
        <w:t xml:space="preserve">II kriterijaus „Prekių tiekimo valdymo automatizuota sistema“ (T) balai suteikiami tiekėjui tuo atveju, jeigu: kartu su pasiūlymu pateikta tinkamai užpildyta techninės specifikacijos 1 lentelė ir </w:t>
      </w:r>
      <w:r w:rsidRPr="00741DA4">
        <w:rPr>
          <w:rFonts w:ascii="Times New Roman" w:eastAsia="Arial" w:hAnsi="Times New Roman"/>
          <w:b/>
          <w:bCs/>
        </w:rPr>
        <w:lastRenderedPageBreak/>
        <w:t xml:space="preserve">pateikti visi dokumentai, leidžiantys įsitikinti visais siūlomos prekių tiekimo valdymo automatizuotos sistemos techniniais reikalavimais; arba visi sistemos reikalavimai patikrinti ir atitinka visus techninės specifikacijos 1 lentelės reikalavimus praktinio bandymo metu, kurį pirkimo procedūrų metu atlieka perkančioji organizacija. </w:t>
      </w:r>
    </w:p>
    <w:p w:rsidR="00E8206D" w:rsidRPr="00741DA4" w:rsidRDefault="00E8206D" w:rsidP="00B76188">
      <w:pPr>
        <w:pStyle w:val="ListParagraph"/>
        <w:shd w:val="clear" w:color="auto" w:fill="FFFFFF" w:themeFill="background1"/>
        <w:tabs>
          <w:tab w:val="left" w:pos="0"/>
          <w:tab w:val="left" w:pos="567"/>
        </w:tabs>
        <w:spacing w:after="0" w:line="240" w:lineRule="auto"/>
        <w:ind w:left="0" w:firstLine="567"/>
        <w:contextualSpacing w:val="0"/>
        <w:jc w:val="both"/>
        <w:rPr>
          <w:rFonts w:ascii="Times New Roman" w:eastAsia="Arial" w:hAnsi="Times New Roman"/>
        </w:rPr>
      </w:pPr>
      <w:r w:rsidRPr="00741DA4">
        <w:rPr>
          <w:rFonts w:ascii="Times New Roman" w:eastAsia="Arial" w:hAnsi="Times New Roman"/>
        </w:rPr>
        <w:t xml:space="preserve">Tiekėjui nepagrindus bent vieno techninės specifikacijos 1 lentelės reikalavimo, II kriterijaus ekonominio naudingumo balai nesuteikiami.  </w:t>
      </w:r>
    </w:p>
    <w:p w:rsidR="00E8206D" w:rsidRDefault="00E8206D" w:rsidP="00E8206D">
      <w:pPr>
        <w:spacing w:line="276" w:lineRule="auto"/>
        <w:rPr>
          <w:sz w:val="24"/>
          <w:szCs w:val="24"/>
        </w:rPr>
      </w:pPr>
    </w:p>
    <w:p w:rsidR="00E8206D" w:rsidRPr="00B76188" w:rsidRDefault="00E8206D" w:rsidP="00B76188">
      <w:pPr>
        <w:jc w:val="right"/>
        <w:rPr>
          <w:rFonts w:eastAsia="Arial"/>
          <w:i/>
          <w:iCs/>
          <w:sz w:val="22"/>
          <w:szCs w:val="22"/>
        </w:rPr>
      </w:pPr>
      <w:r w:rsidRPr="00B76188">
        <w:rPr>
          <w:rFonts w:eastAsia="Arial"/>
          <w:i/>
          <w:iCs/>
          <w:sz w:val="22"/>
          <w:szCs w:val="22"/>
        </w:rPr>
        <w:t>2 lentelė. Prekių tiekimo valdymo automatizuotos sistemos balai</w:t>
      </w:r>
    </w:p>
    <w:tbl>
      <w:tblPr>
        <w:tblStyle w:val="TableGrid"/>
        <w:tblW w:w="0" w:type="auto"/>
        <w:tblLook w:val="04A0" w:firstRow="1" w:lastRow="0" w:firstColumn="1" w:lastColumn="0" w:noHBand="0" w:noVBand="1"/>
      </w:tblPr>
      <w:tblGrid>
        <w:gridCol w:w="3539"/>
        <w:gridCol w:w="3969"/>
        <w:gridCol w:w="2079"/>
      </w:tblGrid>
      <w:tr w:rsidR="00E8206D" w:rsidRPr="00B76188" w:rsidTr="009C2F72">
        <w:tc>
          <w:tcPr>
            <w:tcW w:w="3539" w:type="dxa"/>
            <w:shd w:val="clear" w:color="auto" w:fill="F2F2F2" w:themeFill="background1" w:themeFillShade="F2"/>
          </w:tcPr>
          <w:p w:rsidR="00E8206D" w:rsidRPr="00B76188" w:rsidRDefault="00E8206D" w:rsidP="00B76188">
            <w:pPr>
              <w:jc w:val="center"/>
              <w:rPr>
                <w:bCs/>
                <w:sz w:val="22"/>
                <w:szCs w:val="22"/>
              </w:rPr>
            </w:pPr>
            <w:r w:rsidRPr="00B76188">
              <w:rPr>
                <w:bCs/>
                <w:sz w:val="22"/>
                <w:szCs w:val="22"/>
              </w:rPr>
              <w:t>Sandėlio valdymo ir inventorizacijos automatizuotos sistema atitinka visus techninės specifikacijos reikalavimus</w:t>
            </w:r>
          </w:p>
        </w:tc>
        <w:tc>
          <w:tcPr>
            <w:tcW w:w="3969" w:type="dxa"/>
            <w:shd w:val="clear" w:color="auto" w:fill="F2F2F2" w:themeFill="background1" w:themeFillShade="F2"/>
          </w:tcPr>
          <w:p w:rsidR="00E8206D" w:rsidRPr="00B76188" w:rsidRDefault="00E8206D" w:rsidP="00B76188">
            <w:pPr>
              <w:jc w:val="center"/>
              <w:rPr>
                <w:bCs/>
                <w:sz w:val="22"/>
                <w:szCs w:val="22"/>
              </w:rPr>
            </w:pPr>
            <w:r w:rsidRPr="00B76188">
              <w:rPr>
                <w:bCs/>
                <w:sz w:val="22"/>
                <w:szCs w:val="22"/>
              </w:rPr>
              <w:t>Vertinama informacija / dokumentai</w:t>
            </w:r>
          </w:p>
        </w:tc>
        <w:tc>
          <w:tcPr>
            <w:tcW w:w="2079" w:type="dxa"/>
            <w:shd w:val="clear" w:color="auto" w:fill="F2F2F2" w:themeFill="background1" w:themeFillShade="F2"/>
          </w:tcPr>
          <w:p w:rsidR="00E8206D" w:rsidRPr="00B76188" w:rsidRDefault="00E8206D" w:rsidP="00B76188">
            <w:pPr>
              <w:jc w:val="center"/>
              <w:rPr>
                <w:bCs/>
                <w:sz w:val="22"/>
                <w:szCs w:val="22"/>
              </w:rPr>
            </w:pPr>
            <w:r w:rsidRPr="00B76188">
              <w:rPr>
                <w:bCs/>
                <w:sz w:val="22"/>
                <w:szCs w:val="22"/>
              </w:rPr>
              <w:t>Suteikiamas balas</w:t>
            </w:r>
          </w:p>
        </w:tc>
      </w:tr>
      <w:tr w:rsidR="00E8206D" w:rsidRPr="00B76188" w:rsidTr="009C2F72">
        <w:trPr>
          <w:trHeight w:val="1010"/>
        </w:trPr>
        <w:tc>
          <w:tcPr>
            <w:tcW w:w="3539" w:type="dxa"/>
            <w:vAlign w:val="center"/>
          </w:tcPr>
          <w:p w:rsidR="00E8206D" w:rsidRPr="00B76188" w:rsidRDefault="00E8206D" w:rsidP="00B76188">
            <w:pPr>
              <w:jc w:val="center"/>
              <w:rPr>
                <w:b/>
                <w:bCs/>
                <w:sz w:val="22"/>
                <w:szCs w:val="22"/>
              </w:rPr>
            </w:pPr>
            <w:r w:rsidRPr="00B76188">
              <w:rPr>
                <w:b/>
                <w:bCs/>
                <w:sz w:val="22"/>
                <w:szCs w:val="22"/>
              </w:rPr>
              <w:t>Taip</w:t>
            </w:r>
          </w:p>
        </w:tc>
        <w:tc>
          <w:tcPr>
            <w:tcW w:w="3969" w:type="dxa"/>
            <w:vMerge w:val="restart"/>
            <w:vAlign w:val="center"/>
          </w:tcPr>
          <w:p w:rsidR="00E8206D" w:rsidRPr="00B76188" w:rsidRDefault="00E8206D" w:rsidP="00B76188">
            <w:pPr>
              <w:jc w:val="both"/>
              <w:rPr>
                <w:bCs/>
                <w:sz w:val="22"/>
                <w:szCs w:val="22"/>
              </w:rPr>
            </w:pPr>
            <w:r w:rsidRPr="00B76188">
              <w:rPr>
                <w:bCs/>
                <w:sz w:val="22"/>
                <w:szCs w:val="22"/>
              </w:rPr>
              <w:t>Tiekėjo užpildyta techninės specifikacijos 1 lentelė ir sistemos techninius reikalavimus pagrindžiantys dokumentai arba sistemos reikalavimai patikrinti praktinio bandymo metu</w:t>
            </w:r>
          </w:p>
        </w:tc>
        <w:tc>
          <w:tcPr>
            <w:tcW w:w="2079" w:type="dxa"/>
            <w:vAlign w:val="center"/>
          </w:tcPr>
          <w:p w:rsidR="00E8206D" w:rsidRPr="00B76188" w:rsidRDefault="00E8206D" w:rsidP="00B76188">
            <w:pPr>
              <w:jc w:val="center"/>
              <w:rPr>
                <w:b/>
                <w:sz w:val="22"/>
                <w:szCs w:val="22"/>
              </w:rPr>
            </w:pPr>
            <w:r w:rsidRPr="00B76188">
              <w:rPr>
                <w:b/>
                <w:sz w:val="22"/>
                <w:szCs w:val="22"/>
              </w:rPr>
              <w:t>Y=20</w:t>
            </w:r>
          </w:p>
        </w:tc>
      </w:tr>
      <w:tr w:rsidR="00E8206D" w:rsidRPr="00B76188" w:rsidTr="009C2F72">
        <w:tc>
          <w:tcPr>
            <w:tcW w:w="3539" w:type="dxa"/>
            <w:vAlign w:val="center"/>
          </w:tcPr>
          <w:p w:rsidR="00E8206D" w:rsidRPr="00B76188" w:rsidRDefault="00E8206D" w:rsidP="00B76188">
            <w:pPr>
              <w:jc w:val="center"/>
              <w:rPr>
                <w:b/>
                <w:bCs/>
                <w:sz w:val="22"/>
                <w:szCs w:val="22"/>
              </w:rPr>
            </w:pPr>
            <w:r w:rsidRPr="00B76188">
              <w:rPr>
                <w:b/>
                <w:bCs/>
                <w:sz w:val="22"/>
                <w:szCs w:val="22"/>
              </w:rPr>
              <w:t>Ne</w:t>
            </w:r>
          </w:p>
        </w:tc>
        <w:tc>
          <w:tcPr>
            <w:tcW w:w="3969" w:type="dxa"/>
            <w:vMerge/>
            <w:vAlign w:val="center"/>
          </w:tcPr>
          <w:p w:rsidR="00E8206D" w:rsidRPr="00B76188" w:rsidRDefault="00E8206D" w:rsidP="00B76188">
            <w:pPr>
              <w:rPr>
                <w:bCs/>
                <w:sz w:val="22"/>
                <w:szCs w:val="22"/>
              </w:rPr>
            </w:pPr>
          </w:p>
        </w:tc>
        <w:tc>
          <w:tcPr>
            <w:tcW w:w="2079" w:type="dxa"/>
            <w:vAlign w:val="center"/>
          </w:tcPr>
          <w:p w:rsidR="00E8206D" w:rsidRPr="00B76188" w:rsidRDefault="00E8206D" w:rsidP="00B76188">
            <w:pPr>
              <w:jc w:val="center"/>
              <w:rPr>
                <w:b/>
                <w:sz w:val="22"/>
                <w:szCs w:val="22"/>
              </w:rPr>
            </w:pPr>
            <w:r w:rsidRPr="00B76188">
              <w:rPr>
                <w:b/>
                <w:sz w:val="22"/>
                <w:szCs w:val="22"/>
              </w:rPr>
              <w:t>Y=0</w:t>
            </w:r>
          </w:p>
        </w:tc>
      </w:tr>
    </w:tbl>
    <w:p w:rsidR="00E8206D" w:rsidRDefault="00E8206D" w:rsidP="00B76188">
      <w:pPr>
        <w:pStyle w:val="ListParagraph"/>
        <w:shd w:val="clear" w:color="auto" w:fill="FFFFFF" w:themeFill="background1"/>
        <w:spacing w:after="0" w:line="240" w:lineRule="auto"/>
        <w:ind w:left="360"/>
        <w:contextualSpacing w:val="0"/>
        <w:jc w:val="both"/>
        <w:rPr>
          <w:b/>
          <w:bCs/>
        </w:rPr>
      </w:pPr>
    </w:p>
    <w:p w:rsidR="006864D4" w:rsidRPr="00B76188" w:rsidRDefault="006864D4" w:rsidP="00B76188">
      <w:pPr>
        <w:pStyle w:val="ListParagraph"/>
        <w:shd w:val="clear" w:color="auto" w:fill="FFFFFF" w:themeFill="background1"/>
        <w:spacing w:after="0" w:line="240" w:lineRule="auto"/>
        <w:ind w:left="360"/>
        <w:contextualSpacing w:val="0"/>
        <w:jc w:val="both"/>
        <w:rPr>
          <w:b/>
          <w:bCs/>
        </w:rPr>
      </w:pPr>
    </w:p>
    <w:p w:rsidR="00E8206D" w:rsidRPr="006864D4" w:rsidRDefault="006864D4" w:rsidP="006864D4">
      <w:pPr>
        <w:shd w:val="clear" w:color="auto" w:fill="FFFFFF" w:themeFill="background1"/>
        <w:tabs>
          <w:tab w:val="left" w:pos="0"/>
          <w:tab w:val="left" w:pos="567"/>
        </w:tabs>
        <w:ind w:firstLine="567"/>
        <w:jc w:val="both"/>
        <w:rPr>
          <w:sz w:val="22"/>
          <w:szCs w:val="22"/>
        </w:rPr>
      </w:pPr>
      <w:r w:rsidRPr="006864D4">
        <w:rPr>
          <w:rFonts w:eastAsia="Arial"/>
          <w:sz w:val="22"/>
          <w:szCs w:val="22"/>
        </w:rPr>
        <w:t xml:space="preserve">14.3.3. </w:t>
      </w:r>
      <w:r w:rsidR="00E8206D" w:rsidRPr="006864D4">
        <w:rPr>
          <w:rFonts w:eastAsia="Arial"/>
          <w:sz w:val="22"/>
          <w:szCs w:val="22"/>
        </w:rPr>
        <w:t xml:space="preserve">Pasiūlymo vertinimo III kriterijaus </w:t>
      </w:r>
      <w:bookmarkStart w:id="1" w:name="_Hlk148085436"/>
      <w:r w:rsidR="00E8206D" w:rsidRPr="006864D4">
        <w:rPr>
          <w:rFonts w:eastAsia="Arial"/>
          <w:sz w:val="22"/>
          <w:szCs w:val="22"/>
        </w:rPr>
        <w:t>„Aplinkosauginiai reikalavimai“ (P)</w:t>
      </w:r>
      <w:r w:rsidR="00E8206D" w:rsidRPr="006864D4">
        <w:rPr>
          <w:sz w:val="22"/>
          <w:szCs w:val="22"/>
        </w:rPr>
        <w:t xml:space="preserve"> </w:t>
      </w:r>
      <w:bookmarkEnd w:id="1"/>
      <w:r w:rsidR="00E8206D" w:rsidRPr="006864D4">
        <w:rPr>
          <w:rFonts w:eastAsia="Arial"/>
          <w:sz w:val="22"/>
          <w:szCs w:val="22"/>
        </w:rPr>
        <w:t>balas vertinamas pagal tiekėjo kartu su pasiūlymu pateiktą, tinkamai užpildytą techninės specifikacijos 2 lentelę ir kartu su pasiūlymu pateiktus dokumentus, kaip tai reikalaujama techninėje specifikacijoje. Tiekėjas privalo kartu su pasiūlymu pateikti visus aplinkosauginių reikalavimų atitiktį įrodančius ir techninės specifikacijos 2 lentelės reikalavimus pagrindžiančius dokumentus.</w:t>
      </w:r>
    </w:p>
    <w:p w:rsidR="00E8206D" w:rsidRPr="006864D4" w:rsidRDefault="00E8206D" w:rsidP="006864D4">
      <w:pPr>
        <w:pStyle w:val="ListParagraph"/>
        <w:shd w:val="clear" w:color="auto" w:fill="FFFFFF" w:themeFill="background1"/>
        <w:tabs>
          <w:tab w:val="left" w:pos="0"/>
          <w:tab w:val="left" w:pos="567"/>
        </w:tabs>
        <w:spacing w:after="0" w:line="240" w:lineRule="auto"/>
        <w:ind w:left="0"/>
        <w:contextualSpacing w:val="0"/>
        <w:jc w:val="both"/>
        <w:rPr>
          <w:rFonts w:ascii="Times New Roman" w:eastAsia="Arial" w:hAnsi="Times New Roman"/>
        </w:rPr>
      </w:pPr>
    </w:p>
    <w:p w:rsidR="00E8206D" w:rsidRPr="006864D4" w:rsidRDefault="00E8206D" w:rsidP="006864D4">
      <w:pPr>
        <w:pStyle w:val="ListParagraph"/>
        <w:shd w:val="clear" w:color="auto" w:fill="FFFFFF" w:themeFill="background1"/>
        <w:tabs>
          <w:tab w:val="left" w:pos="0"/>
          <w:tab w:val="left" w:pos="567"/>
        </w:tabs>
        <w:spacing w:after="0" w:line="240" w:lineRule="auto"/>
        <w:ind w:left="0"/>
        <w:contextualSpacing w:val="0"/>
        <w:jc w:val="both"/>
        <w:rPr>
          <w:rFonts w:ascii="Times New Roman" w:eastAsia="Arial" w:hAnsi="Times New Roman"/>
          <w:b/>
          <w:bCs/>
        </w:rPr>
      </w:pPr>
      <w:r w:rsidRPr="006864D4">
        <w:rPr>
          <w:rFonts w:ascii="Times New Roman" w:eastAsia="Arial" w:hAnsi="Times New Roman"/>
          <w:b/>
          <w:bCs/>
        </w:rPr>
        <w:t xml:space="preserve">III kriterijaus „Aplinkosauginiai reikalavimai“ (P) balai suteikiami tiekėjui tuo atveju, jeigu kartu su pasiūlymu pateikta tinkamai užpildyta techninės specifikacijos 2 lentelė ir pateikti visi dokumentai, leidžiantys įsitikinti aplinkosauginių reikalavimų pagrindimu. </w:t>
      </w:r>
    </w:p>
    <w:p w:rsidR="00E8206D" w:rsidRPr="006864D4" w:rsidRDefault="00E8206D" w:rsidP="006864D4">
      <w:pPr>
        <w:pStyle w:val="ListParagraph"/>
        <w:shd w:val="clear" w:color="auto" w:fill="FFFFFF" w:themeFill="background1"/>
        <w:tabs>
          <w:tab w:val="left" w:pos="0"/>
          <w:tab w:val="left" w:pos="567"/>
        </w:tabs>
        <w:spacing w:after="0" w:line="240" w:lineRule="auto"/>
        <w:ind w:left="0"/>
        <w:contextualSpacing w:val="0"/>
        <w:jc w:val="both"/>
        <w:rPr>
          <w:rFonts w:ascii="Times New Roman" w:hAnsi="Times New Roman"/>
        </w:rPr>
      </w:pPr>
      <w:r w:rsidRPr="006864D4">
        <w:rPr>
          <w:rFonts w:ascii="Times New Roman" w:eastAsia="Arial" w:hAnsi="Times New Roman"/>
        </w:rPr>
        <w:t xml:space="preserve">Tiekėjui nepagrindus bent vieno techninės specifikacijos 2 lentelės reikalavimo III kriterijaus ekonominio naudingumo balai nesuteikiami.  </w:t>
      </w:r>
    </w:p>
    <w:p w:rsidR="00E8206D" w:rsidRPr="006864D4" w:rsidRDefault="00E8206D" w:rsidP="006864D4">
      <w:pPr>
        <w:rPr>
          <w:sz w:val="22"/>
          <w:szCs w:val="22"/>
        </w:rPr>
      </w:pPr>
    </w:p>
    <w:p w:rsidR="00E8206D" w:rsidRPr="006864D4" w:rsidRDefault="00E8206D" w:rsidP="006864D4">
      <w:pPr>
        <w:jc w:val="right"/>
        <w:rPr>
          <w:rFonts w:eastAsia="Arial"/>
          <w:i/>
          <w:iCs/>
          <w:sz w:val="22"/>
          <w:szCs w:val="22"/>
        </w:rPr>
      </w:pPr>
      <w:r w:rsidRPr="006864D4">
        <w:rPr>
          <w:rFonts w:eastAsia="Arial"/>
          <w:i/>
          <w:iCs/>
          <w:sz w:val="22"/>
          <w:szCs w:val="22"/>
        </w:rPr>
        <w:t>3 lentelė. Aplinkosauginių reikalavimų balai</w:t>
      </w:r>
    </w:p>
    <w:tbl>
      <w:tblPr>
        <w:tblStyle w:val="TableGrid"/>
        <w:tblW w:w="0" w:type="auto"/>
        <w:tblLook w:val="04A0" w:firstRow="1" w:lastRow="0" w:firstColumn="1" w:lastColumn="0" w:noHBand="0" w:noVBand="1"/>
      </w:tblPr>
      <w:tblGrid>
        <w:gridCol w:w="3539"/>
        <w:gridCol w:w="3969"/>
        <w:gridCol w:w="2079"/>
      </w:tblGrid>
      <w:tr w:rsidR="00E8206D" w:rsidRPr="006864D4" w:rsidTr="009C2F72">
        <w:tc>
          <w:tcPr>
            <w:tcW w:w="3539" w:type="dxa"/>
            <w:shd w:val="clear" w:color="auto" w:fill="F2F2F2" w:themeFill="background1" w:themeFillShade="F2"/>
          </w:tcPr>
          <w:p w:rsidR="00E8206D" w:rsidRPr="006864D4" w:rsidRDefault="00E8206D" w:rsidP="006864D4">
            <w:pPr>
              <w:jc w:val="center"/>
              <w:rPr>
                <w:bCs/>
                <w:sz w:val="22"/>
                <w:szCs w:val="22"/>
                <w:lang w:val="lt-LT"/>
              </w:rPr>
            </w:pPr>
            <w:r w:rsidRPr="006864D4">
              <w:rPr>
                <w:bCs/>
                <w:sz w:val="22"/>
                <w:szCs w:val="22"/>
                <w:lang w:val="lt-LT"/>
              </w:rPr>
              <w:t>Aplinkosauginiai reikalavimai tenkinami visiškai</w:t>
            </w:r>
          </w:p>
        </w:tc>
        <w:tc>
          <w:tcPr>
            <w:tcW w:w="3969" w:type="dxa"/>
            <w:shd w:val="clear" w:color="auto" w:fill="F2F2F2" w:themeFill="background1" w:themeFillShade="F2"/>
          </w:tcPr>
          <w:p w:rsidR="00E8206D" w:rsidRPr="006864D4" w:rsidRDefault="00E8206D" w:rsidP="006864D4">
            <w:pPr>
              <w:jc w:val="center"/>
              <w:rPr>
                <w:bCs/>
                <w:sz w:val="22"/>
                <w:szCs w:val="22"/>
                <w:lang w:val="lt-LT"/>
              </w:rPr>
            </w:pPr>
            <w:r w:rsidRPr="006864D4">
              <w:rPr>
                <w:bCs/>
                <w:sz w:val="22"/>
                <w:szCs w:val="22"/>
                <w:lang w:val="lt-LT"/>
              </w:rPr>
              <w:t>Vertinama informacija / dokumentai</w:t>
            </w:r>
          </w:p>
        </w:tc>
        <w:tc>
          <w:tcPr>
            <w:tcW w:w="2079" w:type="dxa"/>
            <w:shd w:val="clear" w:color="auto" w:fill="F2F2F2" w:themeFill="background1" w:themeFillShade="F2"/>
          </w:tcPr>
          <w:p w:rsidR="00E8206D" w:rsidRPr="006864D4" w:rsidRDefault="00E8206D" w:rsidP="006864D4">
            <w:pPr>
              <w:jc w:val="center"/>
              <w:rPr>
                <w:bCs/>
                <w:sz w:val="22"/>
                <w:szCs w:val="22"/>
                <w:lang w:val="lt-LT"/>
              </w:rPr>
            </w:pPr>
            <w:r w:rsidRPr="006864D4">
              <w:rPr>
                <w:bCs/>
                <w:sz w:val="22"/>
                <w:szCs w:val="22"/>
                <w:lang w:val="lt-LT"/>
              </w:rPr>
              <w:t>Suteikiamas balas</w:t>
            </w:r>
          </w:p>
        </w:tc>
      </w:tr>
      <w:tr w:rsidR="00E8206D" w:rsidRPr="006864D4" w:rsidTr="009C2F72">
        <w:trPr>
          <w:trHeight w:val="1010"/>
        </w:trPr>
        <w:tc>
          <w:tcPr>
            <w:tcW w:w="3539" w:type="dxa"/>
            <w:vAlign w:val="center"/>
          </w:tcPr>
          <w:p w:rsidR="00E8206D" w:rsidRPr="006864D4" w:rsidRDefault="00E8206D" w:rsidP="006864D4">
            <w:pPr>
              <w:jc w:val="center"/>
              <w:rPr>
                <w:b/>
                <w:bCs/>
                <w:sz w:val="22"/>
                <w:szCs w:val="22"/>
                <w:lang w:val="lt-LT"/>
              </w:rPr>
            </w:pPr>
            <w:r w:rsidRPr="006864D4">
              <w:rPr>
                <w:b/>
                <w:bCs/>
                <w:sz w:val="22"/>
                <w:szCs w:val="22"/>
                <w:lang w:val="lt-LT"/>
              </w:rPr>
              <w:t>Taip</w:t>
            </w:r>
          </w:p>
        </w:tc>
        <w:tc>
          <w:tcPr>
            <w:tcW w:w="3969" w:type="dxa"/>
            <w:vMerge w:val="restart"/>
            <w:vAlign w:val="center"/>
          </w:tcPr>
          <w:p w:rsidR="00E8206D" w:rsidRPr="006864D4" w:rsidRDefault="00E8206D" w:rsidP="006864D4">
            <w:pPr>
              <w:jc w:val="both"/>
              <w:rPr>
                <w:bCs/>
                <w:sz w:val="22"/>
                <w:szCs w:val="22"/>
                <w:lang w:val="lt-LT"/>
              </w:rPr>
            </w:pPr>
            <w:r w:rsidRPr="006864D4">
              <w:rPr>
                <w:bCs/>
                <w:sz w:val="22"/>
                <w:szCs w:val="22"/>
                <w:lang w:val="lt-LT"/>
              </w:rPr>
              <w:t>Tiekėjo užpildyta techninės specifikacijos 2 lentelė ir aplinkosauginius reikalavimus pagrindžiantys dokumentai.</w:t>
            </w:r>
          </w:p>
        </w:tc>
        <w:tc>
          <w:tcPr>
            <w:tcW w:w="2079" w:type="dxa"/>
            <w:vAlign w:val="center"/>
          </w:tcPr>
          <w:p w:rsidR="00E8206D" w:rsidRPr="006864D4" w:rsidRDefault="00E8206D" w:rsidP="006864D4">
            <w:pPr>
              <w:jc w:val="center"/>
              <w:rPr>
                <w:b/>
                <w:sz w:val="22"/>
                <w:szCs w:val="22"/>
                <w:lang w:val="lt-LT"/>
              </w:rPr>
            </w:pPr>
            <w:r w:rsidRPr="006864D4">
              <w:rPr>
                <w:b/>
                <w:sz w:val="22"/>
                <w:szCs w:val="22"/>
                <w:lang w:val="lt-LT"/>
              </w:rPr>
              <w:t>Z=10</w:t>
            </w:r>
          </w:p>
        </w:tc>
      </w:tr>
      <w:tr w:rsidR="00E8206D" w:rsidRPr="006864D4" w:rsidTr="009C2F72">
        <w:tc>
          <w:tcPr>
            <w:tcW w:w="3539" w:type="dxa"/>
            <w:vAlign w:val="center"/>
          </w:tcPr>
          <w:p w:rsidR="00E8206D" w:rsidRPr="006864D4" w:rsidRDefault="00E8206D" w:rsidP="006864D4">
            <w:pPr>
              <w:jc w:val="center"/>
              <w:rPr>
                <w:b/>
                <w:bCs/>
                <w:sz w:val="22"/>
                <w:szCs w:val="22"/>
                <w:lang w:val="lt-LT"/>
              </w:rPr>
            </w:pPr>
            <w:r w:rsidRPr="006864D4">
              <w:rPr>
                <w:b/>
                <w:bCs/>
                <w:sz w:val="22"/>
                <w:szCs w:val="22"/>
                <w:lang w:val="lt-LT"/>
              </w:rPr>
              <w:t>Ne</w:t>
            </w:r>
          </w:p>
        </w:tc>
        <w:tc>
          <w:tcPr>
            <w:tcW w:w="3969" w:type="dxa"/>
            <w:vMerge/>
            <w:vAlign w:val="center"/>
          </w:tcPr>
          <w:p w:rsidR="00E8206D" w:rsidRPr="006864D4" w:rsidRDefault="00E8206D" w:rsidP="006864D4">
            <w:pPr>
              <w:rPr>
                <w:bCs/>
                <w:sz w:val="22"/>
                <w:szCs w:val="22"/>
                <w:lang w:val="lt-LT"/>
              </w:rPr>
            </w:pPr>
          </w:p>
        </w:tc>
        <w:tc>
          <w:tcPr>
            <w:tcW w:w="2079" w:type="dxa"/>
            <w:vAlign w:val="center"/>
          </w:tcPr>
          <w:p w:rsidR="00E8206D" w:rsidRPr="006864D4" w:rsidRDefault="00E8206D" w:rsidP="006864D4">
            <w:pPr>
              <w:jc w:val="center"/>
              <w:rPr>
                <w:b/>
                <w:sz w:val="22"/>
                <w:szCs w:val="22"/>
                <w:lang w:val="lt-LT"/>
              </w:rPr>
            </w:pPr>
            <w:r w:rsidRPr="006864D4">
              <w:rPr>
                <w:b/>
                <w:sz w:val="22"/>
                <w:szCs w:val="22"/>
                <w:lang w:val="lt-LT"/>
              </w:rPr>
              <w:t>Z=0</w:t>
            </w:r>
          </w:p>
        </w:tc>
      </w:tr>
    </w:tbl>
    <w:p w:rsidR="00E8206D" w:rsidRPr="006A0535" w:rsidRDefault="00E8206D" w:rsidP="006A0535">
      <w:pPr>
        <w:pStyle w:val="ListParagraph"/>
        <w:shd w:val="clear" w:color="auto" w:fill="FFFFFF" w:themeFill="background1"/>
        <w:spacing w:after="0" w:line="240" w:lineRule="auto"/>
        <w:ind w:left="360"/>
        <w:contextualSpacing w:val="0"/>
        <w:jc w:val="both"/>
        <w:rPr>
          <w:rFonts w:ascii="Times New Roman" w:hAnsi="Times New Roman"/>
          <w:b/>
          <w:bCs/>
        </w:rPr>
      </w:pPr>
    </w:p>
    <w:p w:rsidR="00E8206D" w:rsidRPr="006A0535" w:rsidRDefault="006A0535" w:rsidP="006A0535">
      <w:pPr>
        <w:ind w:firstLine="567"/>
        <w:jc w:val="both"/>
        <w:rPr>
          <w:sz w:val="22"/>
          <w:szCs w:val="22"/>
        </w:rPr>
      </w:pPr>
      <w:r w:rsidRPr="006A0535">
        <w:rPr>
          <w:sz w:val="22"/>
          <w:szCs w:val="22"/>
        </w:rPr>
        <w:t>14.4.</w:t>
      </w:r>
      <w:r w:rsidR="00E8206D" w:rsidRPr="006A0535">
        <w:rPr>
          <w:sz w:val="22"/>
          <w:szCs w:val="22"/>
        </w:rPr>
        <w:t>Tais atvejais, kai kelių dalyvių pasiūlymų ekonominis naudingumas yra vienodas, nustatant pasiūlymų eilę, pirmesnis į šią eilę įrašomas dalyvis, kurio pasiūlymas pateiktas anksčiausiai.</w:t>
      </w:r>
    </w:p>
    <w:p w:rsidR="00E8206D" w:rsidRPr="006864D4" w:rsidRDefault="00E8206D" w:rsidP="006864D4">
      <w:pPr>
        <w:jc w:val="both"/>
        <w:rPr>
          <w:b/>
          <w:bCs/>
          <w:sz w:val="22"/>
          <w:szCs w:val="22"/>
        </w:rPr>
      </w:pPr>
    </w:p>
    <w:p w:rsidR="00E8206D" w:rsidRDefault="00E8206D" w:rsidP="009033D4">
      <w:pPr>
        <w:pStyle w:val="Body2"/>
        <w:spacing w:after="0"/>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lastRenderedPageBreak/>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E5135F">
        <w:rPr>
          <w:color w:val="000000"/>
          <w:sz w:val="22"/>
          <w:szCs w:val="22"/>
          <w:lang w:eastAsia="lt-LT"/>
        </w:rPr>
        <w:t>Chirurginiai rinkiniai su RFID</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AA0EFE" w:rsidRDefault="001F4F6D" w:rsidP="00AA0EFE">
      <w:pPr>
        <w:pBdr>
          <w:top w:val="none" w:sz="0" w:space="0" w:color="auto"/>
          <w:left w:val="none" w:sz="0" w:space="0" w:color="auto"/>
          <w:bottom w:val="none" w:sz="0" w:space="0" w:color="auto"/>
          <w:right w:val="none" w:sz="0" w:space="0" w:color="auto"/>
          <w:between w:val="none" w:sz="0" w:space="0" w:color="auto"/>
          <w:bar w:val="none" w:sz="0" w:color="auto"/>
        </w:pBdr>
        <w:tabs>
          <w:tab w:val="center" w:pos="5099"/>
        </w:tabs>
        <w:ind w:firstLine="567"/>
        <w:jc w:val="both"/>
        <w:rPr>
          <w:color w:val="000000"/>
          <w:sz w:val="22"/>
          <w:szCs w:val="22"/>
          <w:lang w:eastAsia="lt-LT"/>
        </w:rPr>
      </w:pPr>
      <w:r w:rsidRPr="007A7217">
        <w:rPr>
          <w:color w:val="000000"/>
          <w:sz w:val="22"/>
          <w:szCs w:val="22"/>
          <w:lang w:eastAsia="lt-LT"/>
        </w:rPr>
        <w:t>17.3. Taikoma kainodara – fiksuotas į</w:t>
      </w:r>
      <w:bookmarkStart w:id="2" w:name="_GoBack"/>
      <w:bookmarkEnd w:id="2"/>
      <w:r w:rsidRPr="007A7217">
        <w:rPr>
          <w:color w:val="000000"/>
          <w:sz w:val="22"/>
          <w:szCs w:val="22"/>
          <w:lang w:eastAsia="lt-LT"/>
        </w:rPr>
        <w:t xml:space="preserve">kainis. </w:t>
      </w:r>
    </w:p>
    <w:p w:rsidR="001F4F6D" w:rsidRDefault="00AA0EFE" w:rsidP="00AA0EFE">
      <w:pPr>
        <w:pBdr>
          <w:top w:val="none" w:sz="0" w:space="0" w:color="auto"/>
          <w:left w:val="none" w:sz="0" w:space="0" w:color="auto"/>
          <w:bottom w:val="none" w:sz="0" w:space="0" w:color="auto"/>
          <w:right w:val="none" w:sz="0" w:space="0" w:color="auto"/>
          <w:between w:val="none" w:sz="0" w:space="0" w:color="auto"/>
          <w:bar w:val="none" w:sz="0" w:color="auto"/>
        </w:pBdr>
        <w:tabs>
          <w:tab w:val="center" w:pos="5099"/>
        </w:tabs>
        <w:ind w:firstLine="567"/>
        <w:jc w:val="both"/>
        <w:rPr>
          <w:color w:val="000000"/>
          <w:sz w:val="22"/>
          <w:szCs w:val="22"/>
          <w:lang w:eastAsia="lt-LT"/>
        </w:rPr>
      </w:pPr>
      <w:r w:rsidRPr="00AA0EFE">
        <w:rPr>
          <w:color w:val="000000"/>
          <w:sz w:val="22"/>
          <w:szCs w:val="22"/>
          <w:lang w:eastAsia="lt-LT"/>
        </w:rPr>
        <w:t>17.4. Sutarties kaina yra 800 285,40</w:t>
      </w:r>
      <w:r>
        <w:rPr>
          <w:color w:val="000000"/>
          <w:sz w:val="22"/>
          <w:szCs w:val="22"/>
          <w:lang w:eastAsia="lt-LT"/>
        </w:rPr>
        <w:t xml:space="preserve"> </w:t>
      </w:r>
      <w:r w:rsidRPr="00AA0EFE">
        <w:rPr>
          <w:color w:val="000000"/>
          <w:sz w:val="22"/>
          <w:szCs w:val="22"/>
          <w:lang w:eastAsia="lt-LT"/>
        </w:rPr>
        <w:t>Eur su PVM.</w:t>
      </w:r>
      <w:r>
        <w:rPr>
          <w:color w:val="000000"/>
          <w:sz w:val="22"/>
          <w:szCs w:val="22"/>
          <w:lang w:eastAsia="lt-LT"/>
        </w:rPr>
        <w:tab/>
      </w:r>
    </w:p>
    <w:p w:rsidR="002C7AFB" w:rsidRDefault="00AA0EFE" w:rsidP="002C7AF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Pr>
          <w:color w:val="000000"/>
          <w:sz w:val="22"/>
          <w:szCs w:val="22"/>
          <w:lang w:eastAsia="lt-LT"/>
        </w:rPr>
        <w:t>17.5</w:t>
      </w:r>
      <w:r w:rsidR="002C7AFB">
        <w:rPr>
          <w:color w:val="000000"/>
          <w:sz w:val="22"/>
          <w:szCs w:val="22"/>
          <w:lang w:eastAsia="lt-LT"/>
        </w:rPr>
        <w:t xml:space="preserve">. </w:t>
      </w:r>
      <w:r w:rsidR="002C7AFB" w:rsidRPr="000F6DC9">
        <w:rPr>
          <w:color w:val="000000"/>
          <w:sz w:val="22"/>
          <w:szCs w:val="22"/>
          <w:lang w:eastAsia="lt-LT"/>
        </w:rPr>
        <w:t xml:space="preserve">Tiekėjas, laimėjęs pirkimą, sutarties pasirašymo metu privalo užpildyti </w:t>
      </w:r>
      <w:r w:rsidR="002C7AFB">
        <w:rPr>
          <w:color w:val="000000"/>
          <w:sz w:val="22"/>
          <w:szCs w:val="22"/>
          <w:lang w:eastAsia="lt-LT"/>
        </w:rPr>
        <w:t xml:space="preserve">perkančiosios organizacijos </w:t>
      </w:r>
      <w:r w:rsidR="002C7AFB" w:rsidRPr="000F6DC9">
        <w:rPr>
          <w:color w:val="000000"/>
          <w:sz w:val="22"/>
          <w:szCs w:val="22"/>
          <w:lang w:eastAsia="lt-LT"/>
        </w:rPr>
        <w:t>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p w:rsidR="002C7AFB" w:rsidRDefault="002C7AFB"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30"/>
      <w:footerReference w:type="first" r:id="rId31"/>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198" w:rsidRDefault="00287198" w:rsidP="00D348FD">
      <w:r>
        <w:separator/>
      </w:r>
    </w:p>
  </w:endnote>
  <w:endnote w:type="continuationSeparator" w:id="0">
    <w:p w:rsidR="00287198" w:rsidRDefault="00287198"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98" w:rsidRDefault="00287198">
    <w:pPr>
      <w:pStyle w:val="Footer"/>
      <w:jc w:val="right"/>
    </w:pPr>
  </w:p>
  <w:p w:rsidR="00287198" w:rsidRDefault="0028719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98" w:rsidRDefault="00287198">
    <w:pPr>
      <w:pStyle w:val="Footer"/>
      <w:jc w:val="right"/>
    </w:pPr>
  </w:p>
  <w:p w:rsidR="00287198" w:rsidRDefault="00287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198" w:rsidRDefault="00287198" w:rsidP="00D348FD">
      <w:r>
        <w:separator/>
      </w:r>
    </w:p>
  </w:footnote>
  <w:footnote w:type="continuationSeparator" w:id="0">
    <w:p w:rsidR="00287198" w:rsidRDefault="00287198" w:rsidP="00D348FD">
      <w:r>
        <w:continuationSeparator/>
      </w:r>
    </w:p>
  </w:footnote>
  <w:footnote w:id="1">
    <w:p w:rsidR="00287198" w:rsidRPr="00C54A7B" w:rsidRDefault="00287198"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87198" w:rsidRPr="00C54A7B" w:rsidRDefault="00287198" w:rsidP="00C54A7B">
      <w:pPr>
        <w:pStyle w:val="FootnoteText"/>
        <w:numPr>
          <w:ilvl w:val="0"/>
          <w:numId w:val="31"/>
        </w:numPr>
        <w:rPr>
          <w:rFonts w:eastAsia="Yu Mincho"/>
          <w:i/>
          <w:iCs/>
        </w:rPr>
      </w:pPr>
      <w:r w:rsidRPr="00C54A7B">
        <w:rPr>
          <w:rFonts w:eastAsia="Yu Mincho"/>
          <w:i/>
          <w:iCs/>
        </w:rPr>
        <w:t xml:space="preserve">priesaikos deklaracija; </w:t>
      </w:r>
    </w:p>
    <w:p w:rsidR="00287198" w:rsidRDefault="00287198"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A5D8B"/>
    <w:multiLevelType w:val="hybridMultilevel"/>
    <w:tmpl w:val="C37AA1F2"/>
    <w:lvl w:ilvl="0" w:tplc="4D807DAE">
      <w:start w:val="1"/>
      <w:numFmt w:val="decimal"/>
      <w:lvlText w:val="%1."/>
      <w:lvlJc w:val="left"/>
      <w:pPr>
        <w:ind w:left="720" w:hanging="360"/>
      </w:pPr>
      <w:rPr>
        <w:rFonts w:cs="Times New Roman" w:hint="default"/>
        <w:b w:val="0"/>
        <w:bCs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7"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30"/>
  </w:num>
  <w:num w:numId="7">
    <w:abstractNumId w:val="17"/>
  </w:num>
  <w:num w:numId="8">
    <w:abstractNumId w:val="8"/>
  </w:num>
  <w:num w:numId="9">
    <w:abstractNumId w:val="20"/>
  </w:num>
  <w:num w:numId="10">
    <w:abstractNumId w:val="28"/>
  </w:num>
  <w:num w:numId="11">
    <w:abstractNumId w:val="14"/>
  </w:num>
  <w:num w:numId="12">
    <w:abstractNumId w:val="0"/>
  </w:num>
  <w:num w:numId="13">
    <w:abstractNumId w:val="22"/>
  </w:num>
  <w:num w:numId="14">
    <w:abstractNumId w:val="18"/>
  </w:num>
  <w:num w:numId="15">
    <w:abstractNumId w:val="7"/>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4"/>
  </w:num>
  <w:num w:numId="25">
    <w:abstractNumId w:val="27"/>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1"/>
  </w:num>
  <w:num w:numId="30">
    <w:abstractNumId w:val="2"/>
  </w:num>
  <w:num w:numId="31">
    <w:abstractNumId w:val="23"/>
  </w:num>
  <w:num w:numId="32">
    <w:abstractNumId w:val="25"/>
  </w:num>
  <w:num w:numId="33">
    <w:abstractNumId w:val="1"/>
  </w:num>
  <w:num w:numId="34">
    <w:abstractNumId w:val="3"/>
  </w:num>
  <w:num w:numId="35">
    <w:abstractNumId w:val="4"/>
  </w:num>
  <w:num w:numId="36">
    <w:abstractNumId w:val="12"/>
  </w:num>
  <w:num w:numId="37">
    <w:abstractNumId w:val="5"/>
  </w:num>
  <w:num w:numId="3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461D"/>
    <w:rsid w:val="00015364"/>
    <w:rsid w:val="000227EC"/>
    <w:rsid w:val="00023AAB"/>
    <w:rsid w:val="000246E8"/>
    <w:rsid w:val="00024B95"/>
    <w:rsid w:val="00025FD8"/>
    <w:rsid w:val="00034BA1"/>
    <w:rsid w:val="00035661"/>
    <w:rsid w:val="00036299"/>
    <w:rsid w:val="00036AA2"/>
    <w:rsid w:val="00037AE6"/>
    <w:rsid w:val="00044DE1"/>
    <w:rsid w:val="0005434D"/>
    <w:rsid w:val="00054B52"/>
    <w:rsid w:val="000601BA"/>
    <w:rsid w:val="0006274D"/>
    <w:rsid w:val="000679D9"/>
    <w:rsid w:val="00070083"/>
    <w:rsid w:val="000706F8"/>
    <w:rsid w:val="000729DE"/>
    <w:rsid w:val="000761A9"/>
    <w:rsid w:val="00086D61"/>
    <w:rsid w:val="00087527"/>
    <w:rsid w:val="000904EE"/>
    <w:rsid w:val="00091EAA"/>
    <w:rsid w:val="00095333"/>
    <w:rsid w:val="000A08F6"/>
    <w:rsid w:val="000A4E80"/>
    <w:rsid w:val="000A607B"/>
    <w:rsid w:val="000E4AD1"/>
    <w:rsid w:val="000E6176"/>
    <w:rsid w:val="000F27B7"/>
    <w:rsid w:val="000F47D7"/>
    <w:rsid w:val="000F594A"/>
    <w:rsid w:val="000F643C"/>
    <w:rsid w:val="00105854"/>
    <w:rsid w:val="00121503"/>
    <w:rsid w:val="001248B2"/>
    <w:rsid w:val="001309EE"/>
    <w:rsid w:val="00135D44"/>
    <w:rsid w:val="00145AAB"/>
    <w:rsid w:val="001601E7"/>
    <w:rsid w:val="00172554"/>
    <w:rsid w:val="001740CF"/>
    <w:rsid w:val="00174E18"/>
    <w:rsid w:val="001820A9"/>
    <w:rsid w:val="001963DB"/>
    <w:rsid w:val="001A033D"/>
    <w:rsid w:val="001A08D5"/>
    <w:rsid w:val="001A4824"/>
    <w:rsid w:val="001A6875"/>
    <w:rsid w:val="001A6DA0"/>
    <w:rsid w:val="001B1C41"/>
    <w:rsid w:val="001B29E3"/>
    <w:rsid w:val="001B4EA1"/>
    <w:rsid w:val="001B66C0"/>
    <w:rsid w:val="001D178E"/>
    <w:rsid w:val="001D301F"/>
    <w:rsid w:val="001D3322"/>
    <w:rsid w:val="001D5C9B"/>
    <w:rsid w:val="001E703E"/>
    <w:rsid w:val="001F37E0"/>
    <w:rsid w:val="001F45FB"/>
    <w:rsid w:val="001F4F6D"/>
    <w:rsid w:val="002005BA"/>
    <w:rsid w:val="0021036F"/>
    <w:rsid w:val="00212FDC"/>
    <w:rsid w:val="002148EA"/>
    <w:rsid w:val="00217DB5"/>
    <w:rsid w:val="00220750"/>
    <w:rsid w:val="00221B68"/>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87198"/>
    <w:rsid w:val="00293A32"/>
    <w:rsid w:val="002A1383"/>
    <w:rsid w:val="002A1D99"/>
    <w:rsid w:val="002A2874"/>
    <w:rsid w:val="002A5A44"/>
    <w:rsid w:val="002B34B5"/>
    <w:rsid w:val="002B3F50"/>
    <w:rsid w:val="002B664F"/>
    <w:rsid w:val="002B7178"/>
    <w:rsid w:val="002C1826"/>
    <w:rsid w:val="002C1D54"/>
    <w:rsid w:val="002C294C"/>
    <w:rsid w:val="002C55BB"/>
    <w:rsid w:val="002C7AFB"/>
    <w:rsid w:val="002D398F"/>
    <w:rsid w:val="002E02D3"/>
    <w:rsid w:val="002E5947"/>
    <w:rsid w:val="002F52FA"/>
    <w:rsid w:val="002F585C"/>
    <w:rsid w:val="002F61CB"/>
    <w:rsid w:val="002F729C"/>
    <w:rsid w:val="00300450"/>
    <w:rsid w:val="00305B83"/>
    <w:rsid w:val="00313909"/>
    <w:rsid w:val="003145CC"/>
    <w:rsid w:val="00314A8E"/>
    <w:rsid w:val="00314ECD"/>
    <w:rsid w:val="00315B12"/>
    <w:rsid w:val="00316826"/>
    <w:rsid w:val="00323CE5"/>
    <w:rsid w:val="00323E1A"/>
    <w:rsid w:val="00326154"/>
    <w:rsid w:val="00334ED4"/>
    <w:rsid w:val="00337FCC"/>
    <w:rsid w:val="00345031"/>
    <w:rsid w:val="00346527"/>
    <w:rsid w:val="0035388D"/>
    <w:rsid w:val="00354CB6"/>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E6C68"/>
    <w:rsid w:val="004F0AFB"/>
    <w:rsid w:val="004F46B0"/>
    <w:rsid w:val="004F5B6E"/>
    <w:rsid w:val="004F6C23"/>
    <w:rsid w:val="00501F62"/>
    <w:rsid w:val="005022EC"/>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A7E09"/>
    <w:rsid w:val="005C62D7"/>
    <w:rsid w:val="005D32D8"/>
    <w:rsid w:val="005D6D2B"/>
    <w:rsid w:val="005D751C"/>
    <w:rsid w:val="005E6556"/>
    <w:rsid w:val="005F42BF"/>
    <w:rsid w:val="005F6A2A"/>
    <w:rsid w:val="0060257F"/>
    <w:rsid w:val="006048E5"/>
    <w:rsid w:val="0060712E"/>
    <w:rsid w:val="00614540"/>
    <w:rsid w:val="00620DDD"/>
    <w:rsid w:val="0062424E"/>
    <w:rsid w:val="00625AAA"/>
    <w:rsid w:val="00630E3D"/>
    <w:rsid w:val="00657096"/>
    <w:rsid w:val="00660934"/>
    <w:rsid w:val="006674AF"/>
    <w:rsid w:val="00670BBC"/>
    <w:rsid w:val="0067568F"/>
    <w:rsid w:val="00676354"/>
    <w:rsid w:val="0067693D"/>
    <w:rsid w:val="00676AA3"/>
    <w:rsid w:val="00683987"/>
    <w:rsid w:val="00686478"/>
    <w:rsid w:val="006864D4"/>
    <w:rsid w:val="00693E23"/>
    <w:rsid w:val="0069713A"/>
    <w:rsid w:val="006A03D3"/>
    <w:rsid w:val="006A0535"/>
    <w:rsid w:val="006A1757"/>
    <w:rsid w:val="006C16A2"/>
    <w:rsid w:val="006C4497"/>
    <w:rsid w:val="006C5568"/>
    <w:rsid w:val="006C6B3D"/>
    <w:rsid w:val="006D2A52"/>
    <w:rsid w:val="006D6782"/>
    <w:rsid w:val="006D71B2"/>
    <w:rsid w:val="006D7458"/>
    <w:rsid w:val="006D7A4C"/>
    <w:rsid w:val="006E4B5E"/>
    <w:rsid w:val="006F59CF"/>
    <w:rsid w:val="00703AB5"/>
    <w:rsid w:val="007108F5"/>
    <w:rsid w:val="00711FD3"/>
    <w:rsid w:val="007218D2"/>
    <w:rsid w:val="007243D2"/>
    <w:rsid w:val="00734E03"/>
    <w:rsid w:val="007352A0"/>
    <w:rsid w:val="00741DA4"/>
    <w:rsid w:val="00742843"/>
    <w:rsid w:val="0074391E"/>
    <w:rsid w:val="0074649A"/>
    <w:rsid w:val="007470BE"/>
    <w:rsid w:val="00763166"/>
    <w:rsid w:val="00765365"/>
    <w:rsid w:val="00766C32"/>
    <w:rsid w:val="007678A8"/>
    <w:rsid w:val="007739AB"/>
    <w:rsid w:val="00775A4D"/>
    <w:rsid w:val="00783153"/>
    <w:rsid w:val="00794FD4"/>
    <w:rsid w:val="007976C4"/>
    <w:rsid w:val="007A7217"/>
    <w:rsid w:val="007B3746"/>
    <w:rsid w:val="007B7B9A"/>
    <w:rsid w:val="007B7CBF"/>
    <w:rsid w:val="007C37DB"/>
    <w:rsid w:val="007C52DC"/>
    <w:rsid w:val="007D7C9B"/>
    <w:rsid w:val="007E201F"/>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42304"/>
    <w:rsid w:val="00852B4C"/>
    <w:rsid w:val="008532B4"/>
    <w:rsid w:val="00853D20"/>
    <w:rsid w:val="00856B92"/>
    <w:rsid w:val="00864B9D"/>
    <w:rsid w:val="008673A7"/>
    <w:rsid w:val="00871F43"/>
    <w:rsid w:val="00883631"/>
    <w:rsid w:val="008846F7"/>
    <w:rsid w:val="008850F6"/>
    <w:rsid w:val="00885D7E"/>
    <w:rsid w:val="00886BA5"/>
    <w:rsid w:val="00890357"/>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1B88"/>
    <w:rsid w:val="0091452A"/>
    <w:rsid w:val="0091463D"/>
    <w:rsid w:val="009200D0"/>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3C"/>
    <w:rsid w:val="00A47354"/>
    <w:rsid w:val="00A47AC1"/>
    <w:rsid w:val="00A60223"/>
    <w:rsid w:val="00A63A7F"/>
    <w:rsid w:val="00A76F9F"/>
    <w:rsid w:val="00A87C15"/>
    <w:rsid w:val="00A90F29"/>
    <w:rsid w:val="00A91A11"/>
    <w:rsid w:val="00AA0EFE"/>
    <w:rsid w:val="00AB07A3"/>
    <w:rsid w:val="00AB7674"/>
    <w:rsid w:val="00AC1AD8"/>
    <w:rsid w:val="00AC2201"/>
    <w:rsid w:val="00AD2506"/>
    <w:rsid w:val="00AD29F5"/>
    <w:rsid w:val="00AD600E"/>
    <w:rsid w:val="00AE0339"/>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6188"/>
    <w:rsid w:val="00B77C5A"/>
    <w:rsid w:val="00B832B8"/>
    <w:rsid w:val="00B85522"/>
    <w:rsid w:val="00B90B2B"/>
    <w:rsid w:val="00B91BAE"/>
    <w:rsid w:val="00B95358"/>
    <w:rsid w:val="00B960E3"/>
    <w:rsid w:val="00B97858"/>
    <w:rsid w:val="00BA6958"/>
    <w:rsid w:val="00BA787A"/>
    <w:rsid w:val="00BB33CD"/>
    <w:rsid w:val="00BB3B7D"/>
    <w:rsid w:val="00BB499D"/>
    <w:rsid w:val="00BB5C93"/>
    <w:rsid w:val="00BD3E55"/>
    <w:rsid w:val="00BE267F"/>
    <w:rsid w:val="00BE3121"/>
    <w:rsid w:val="00BE6A62"/>
    <w:rsid w:val="00BE6A9E"/>
    <w:rsid w:val="00BF720D"/>
    <w:rsid w:val="00C11343"/>
    <w:rsid w:val="00C24E1A"/>
    <w:rsid w:val="00C270E1"/>
    <w:rsid w:val="00C27A7A"/>
    <w:rsid w:val="00C27F47"/>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3633"/>
    <w:rsid w:val="00CA4BAE"/>
    <w:rsid w:val="00CA52ED"/>
    <w:rsid w:val="00CA5C66"/>
    <w:rsid w:val="00CA5DD6"/>
    <w:rsid w:val="00CA645C"/>
    <w:rsid w:val="00CA7AED"/>
    <w:rsid w:val="00CB6926"/>
    <w:rsid w:val="00CC1F5E"/>
    <w:rsid w:val="00CD2A96"/>
    <w:rsid w:val="00CD39F0"/>
    <w:rsid w:val="00CD5BD6"/>
    <w:rsid w:val="00CD6C37"/>
    <w:rsid w:val="00CF06EB"/>
    <w:rsid w:val="00CF3E36"/>
    <w:rsid w:val="00CF3EC0"/>
    <w:rsid w:val="00CF41FA"/>
    <w:rsid w:val="00D00821"/>
    <w:rsid w:val="00D12F53"/>
    <w:rsid w:val="00D13C0A"/>
    <w:rsid w:val="00D348FD"/>
    <w:rsid w:val="00D425CA"/>
    <w:rsid w:val="00D46F8C"/>
    <w:rsid w:val="00D5036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3CB1"/>
    <w:rsid w:val="00DC495C"/>
    <w:rsid w:val="00DC72D5"/>
    <w:rsid w:val="00DC7725"/>
    <w:rsid w:val="00DD3701"/>
    <w:rsid w:val="00DE0292"/>
    <w:rsid w:val="00DE046C"/>
    <w:rsid w:val="00DE2154"/>
    <w:rsid w:val="00DE2E0C"/>
    <w:rsid w:val="00DE7E7B"/>
    <w:rsid w:val="00E015EE"/>
    <w:rsid w:val="00E0240E"/>
    <w:rsid w:val="00E02906"/>
    <w:rsid w:val="00E039E1"/>
    <w:rsid w:val="00E05285"/>
    <w:rsid w:val="00E061EA"/>
    <w:rsid w:val="00E17DFB"/>
    <w:rsid w:val="00E22DBF"/>
    <w:rsid w:val="00E3259F"/>
    <w:rsid w:val="00E43192"/>
    <w:rsid w:val="00E5135F"/>
    <w:rsid w:val="00E67CD0"/>
    <w:rsid w:val="00E718B5"/>
    <w:rsid w:val="00E72387"/>
    <w:rsid w:val="00E81F10"/>
    <w:rsid w:val="00E8206D"/>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16244"/>
    <w:rsid w:val="00F23BA1"/>
    <w:rsid w:val="00F33445"/>
    <w:rsid w:val="00F34FCA"/>
    <w:rsid w:val="00F42212"/>
    <w:rsid w:val="00F445DE"/>
    <w:rsid w:val="00F45832"/>
    <w:rsid w:val="00F559B4"/>
    <w:rsid w:val="00F65F30"/>
    <w:rsid w:val="00F704E1"/>
    <w:rsid w:val="00F719B4"/>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33E"/>
    <w:rsid w:val="00FE69E2"/>
    <w:rsid w:val="00FF3C05"/>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Bullet 1 Char"/>
    <w:link w:val="ListParagraph"/>
    <w:qFormat/>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3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wmf"/><Relationship Id="rId28"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 Id="rId27" Type="http://schemas.openxmlformats.org/officeDocument/2006/relationships/image" Target="media/image4.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72B991-D7C3-4A3F-8F02-FAD1B68F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20</Pages>
  <Words>45437</Words>
  <Characters>25900</Characters>
  <Application>Microsoft Office Word</Application>
  <DocSecurity>0</DocSecurity>
  <Lines>215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133</cp:revision>
  <cp:lastPrinted>2019-12-02T08:33:00Z</cp:lastPrinted>
  <dcterms:created xsi:type="dcterms:W3CDTF">2023-02-01T12:53:00Z</dcterms:created>
  <dcterms:modified xsi:type="dcterms:W3CDTF">2026-02-17T12:52:00Z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