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687566" w:rsidP="00B50198">
      <w:pPr>
        <w:jc w:val="center"/>
        <w:rPr>
          <w:rFonts w:asciiTheme="majorHAnsi" w:hAnsiTheme="majorHAnsi"/>
          <w:b/>
          <w:bCs/>
          <w:sz w:val="22"/>
          <w:szCs w:val="22"/>
          <w:lang w:val="lt-LT"/>
        </w:rPr>
      </w:pPr>
      <w:r>
        <w:rPr>
          <w:rFonts w:asciiTheme="majorHAnsi" w:hAnsiTheme="majorHAnsi"/>
          <w:b/>
          <w:bCs/>
          <w:sz w:val="22"/>
          <w:szCs w:val="22"/>
          <w:lang w:val="lt-LT"/>
        </w:rPr>
        <w:t xml:space="preserve">TŪRINIŲ </w:t>
      </w:r>
      <w:r w:rsidR="00095D96">
        <w:rPr>
          <w:rFonts w:asciiTheme="majorHAnsi" w:hAnsiTheme="majorHAnsi"/>
          <w:b/>
          <w:bCs/>
          <w:sz w:val="22"/>
          <w:szCs w:val="22"/>
          <w:lang w:val="lt-LT"/>
        </w:rPr>
        <w:t xml:space="preserve">IR </w:t>
      </w:r>
      <w:r>
        <w:rPr>
          <w:rFonts w:asciiTheme="majorHAnsi" w:hAnsiTheme="majorHAnsi"/>
          <w:b/>
          <w:bCs/>
          <w:sz w:val="22"/>
          <w:szCs w:val="22"/>
          <w:lang w:val="lt-LT"/>
        </w:rPr>
        <w:t>ŠVIRKŠTINIŲ POMPŲ SISTEMA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687566">
        <w:rPr>
          <w:rFonts w:asciiTheme="majorHAnsi" w:hAnsiTheme="majorHAnsi"/>
          <w:b/>
          <w:bCs/>
          <w:color w:val="4F81BD" w:themeColor="accent1"/>
          <w:sz w:val="22"/>
          <w:szCs w:val="22"/>
          <w:lang w:val="lt-LT"/>
        </w:rPr>
        <w:t xml:space="preserve">tūrinių </w:t>
      </w:r>
      <w:r w:rsidR="00095D96">
        <w:rPr>
          <w:rFonts w:asciiTheme="majorHAnsi" w:hAnsiTheme="majorHAnsi"/>
          <w:b/>
          <w:bCs/>
          <w:color w:val="4F81BD" w:themeColor="accent1"/>
          <w:sz w:val="22"/>
          <w:szCs w:val="22"/>
          <w:lang w:val="lt-LT"/>
        </w:rPr>
        <w:t xml:space="preserve">ir </w:t>
      </w:r>
      <w:r w:rsidR="00687566">
        <w:rPr>
          <w:rFonts w:asciiTheme="majorHAnsi" w:hAnsiTheme="majorHAnsi"/>
          <w:b/>
          <w:bCs/>
          <w:color w:val="4F81BD" w:themeColor="accent1"/>
          <w:sz w:val="22"/>
          <w:szCs w:val="22"/>
          <w:lang w:val="lt-LT"/>
        </w:rPr>
        <w:t>švirkštinių pompų sistemą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3A74BA" w:rsidRDefault="00B50198" w:rsidP="00192ED4">
      <w:pPr>
        <w:tabs>
          <w:tab w:val="right" w:leader="underscore" w:pos="8505"/>
        </w:tabs>
        <w:ind w:firstLine="851"/>
        <w:jc w:val="both"/>
        <w:rPr>
          <w:rFonts w:asciiTheme="majorHAnsi" w:hAnsiTheme="majorHAnsi"/>
          <w:sz w:val="22"/>
          <w:szCs w:val="22"/>
        </w:rPr>
      </w:pPr>
      <w:r w:rsidRPr="001660BB">
        <w:rPr>
          <w:rFonts w:asciiTheme="majorHAnsi" w:hAnsiTheme="majorHAnsi"/>
          <w:sz w:val="22"/>
          <w:szCs w:val="22"/>
        </w:rPr>
        <w:t xml:space="preserve">2.1. Šio pirkimo objektas yra </w:t>
      </w:r>
      <w:r w:rsidR="00687566">
        <w:rPr>
          <w:rFonts w:asciiTheme="majorHAnsi" w:hAnsiTheme="majorHAnsi"/>
          <w:b/>
          <w:bCs/>
          <w:color w:val="4F81BD" w:themeColor="accent1"/>
          <w:sz w:val="22"/>
          <w:szCs w:val="22"/>
          <w:lang w:val="lt-LT"/>
        </w:rPr>
        <w:t xml:space="preserve">tūrinių </w:t>
      </w:r>
      <w:r w:rsidR="00095D96">
        <w:rPr>
          <w:rFonts w:asciiTheme="majorHAnsi" w:hAnsiTheme="majorHAnsi"/>
          <w:b/>
          <w:bCs/>
          <w:color w:val="4F81BD" w:themeColor="accent1"/>
          <w:sz w:val="22"/>
          <w:szCs w:val="22"/>
          <w:lang w:val="lt-LT"/>
        </w:rPr>
        <w:t xml:space="preserve">ir </w:t>
      </w:r>
      <w:r w:rsidR="00687566">
        <w:rPr>
          <w:rFonts w:asciiTheme="majorHAnsi" w:hAnsiTheme="majorHAnsi"/>
          <w:b/>
          <w:bCs/>
          <w:color w:val="4F81BD" w:themeColor="accent1"/>
          <w:sz w:val="22"/>
          <w:szCs w:val="22"/>
          <w:lang w:val="lt-LT"/>
        </w:rPr>
        <w:t>švirkštinių pompų sistema</w:t>
      </w:r>
      <w:r w:rsidR="003A74BA">
        <w:rPr>
          <w:rFonts w:asciiTheme="majorHAnsi" w:hAnsiTheme="majorHAnsi"/>
          <w:b/>
          <w:bCs/>
          <w:color w:val="4F81BD" w:themeColor="accent1"/>
          <w:sz w:val="22"/>
          <w:szCs w:val="22"/>
          <w:lang w:val="lt-LT"/>
        </w:rPr>
        <w:t>.</w:t>
      </w:r>
      <w:r w:rsidR="003A74BA" w:rsidRPr="003714C3">
        <w:rPr>
          <w:rFonts w:asciiTheme="majorHAnsi" w:hAnsiTheme="majorHAnsi"/>
          <w:sz w:val="22"/>
          <w:szCs w:val="22"/>
        </w:rPr>
        <w:t xml:space="preserve"> </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sidR="00687566">
        <w:rPr>
          <w:rFonts w:asciiTheme="majorHAnsi" w:hAnsiTheme="majorHAnsi"/>
          <w:b/>
          <w:sz w:val="22"/>
          <w:szCs w:val="22"/>
        </w:rPr>
        <w:t>56.000,00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687566">
        <w:rPr>
          <w:rFonts w:ascii="Cambria" w:hAnsi="Cambria"/>
          <w:i/>
          <w:color w:val="548DD4" w:themeColor="text2" w:themeTint="99"/>
        </w:rPr>
        <w:t xml:space="preserve">tūrinių </w:t>
      </w:r>
      <w:r w:rsidR="00095D96">
        <w:rPr>
          <w:rFonts w:ascii="Cambria" w:hAnsi="Cambria"/>
          <w:i/>
          <w:color w:val="548DD4" w:themeColor="text2" w:themeTint="99"/>
        </w:rPr>
        <w:t xml:space="preserve">ir </w:t>
      </w:r>
      <w:r w:rsidR="00687566">
        <w:rPr>
          <w:rFonts w:ascii="Cambria" w:hAnsi="Cambria"/>
          <w:i/>
          <w:color w:val="548DD4" w:themeColor="text2" w:themeTint="99"/>
        </w:rPr>
        <w:t>švirkštinių pompų sistemos</w:t>
      </w:r>
      <w:r w:rsidR="003A74BA" w:rsidRPr="003A74BA">
        <w:rPr>
          <w:rFonts w:ascii="Cambria" w:hAnsi="Cambria"/>
          <w:color w:val="548DD4" w:themeColor="text2" w:themeTint="99"/>
          <w:szCs w:val="24"/>
        </w:rPr>
        <w:t xml:space="preserve"> </w:t>
      </w:r>
      <w:r w:rsidR="003A74BA" w:rsidRPr="00577947">
        <w:rPr>
          <w:rFonts w:ascii="Cambria" w:hAnsi="Cambria"/>
          <w:szCs w:val="24"/>
        </w:rPr>
        <w:t>pirkimo</w:t>
      </w:r>
      <w:r w:rsidR="003A74BA" w:rsidRPr="00577947">
        <w:rPr>
          <w:rFonts w:ascii="Cambria" w:hAnsi="Cambria"/>
          <w:b/>
          <w:i/>
          <w:szCs w:val="24"/>
        </w:rPr>
        <w:t xml:space="preserve"> </w:t>
      </w:r>
      <w:r w:rsidR="003A74BA" w:rsidRPr="00577947">
        <w:rPr>
          <w:rFonts w:ascii="Cambria" w:hAnsi="Cambria"/>
          <w:szCs w:val="24"/>
        </w:rPr>
        <w:t>(</w:t>
      </w:r>
      <w:r w:rsidR="003A74BA" w:rsidRPr="003A74BA">
        <w:rPr>
          <w:rFonts w:ascii="Cambria" w:hAnsi="Cambria"/>
          <w:color w:val="548DD4" w:themeColor="text2" w:themeTint="99"/>
          <w:szCs w:val="24"/>
        </w:rPr>
        <w:t xml:space="preserve">Nr. </w:t>
      </w:r>
      <w:r w:rsidR="00687566">
        <w:rPr>
          <w:rFonts w:ascii="Cambria" w:hAnsi="Cambria" w:cs="Calibri"/>
          <w:color w:val="548DD4" w:themeColor="text2" w:themeTint="99"/>
          <w:szCs w:val="24"/>
          <w:shd w:val="clear" w:color="auto" w:fill="FFFFFF"/>
        </w:rPr>
        <w:t>6269567</w:t>
      </w:r>
      <w:r w:rsidRPr="003714C3">
        <w:rPr>
          <w:rFonts w:asciiTheme="majorHAnsi" w:hAnsiTheme="majorHAnsi"/>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210A4D"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w:t>
      </w:r>
      <w:r w:rsidRPr="00210A4D">
        <w:rPr>
          <w:rFonts w:asciiTheme="majorHAnsi" w:hAnsiTheme="majorHAnsi" w:cstheme="minorHAnsi"/>
        </w:rPr>
        <w:t xml:space="preserve">„arba lygiavertis“. </w:t>
      </w:r>
    </w:p>
    <w:p w:rsidR="00192ED4" w:rsidRPr="00210A4D"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210A4D">
        <w:rPr>
          <w:rFonts w:ascii="Cambria" w:hAnsi="Cambria"/>
          <w:lang w:eastAsia="lt-LT"/>
        </w:rPr>
        <w:t>Šis pirkimas nėra skaidomas į pirkimo dalis</w:t>
      </w:r>
      <w:r w:rsidRPr="00210A4D">
        <w:rPr>
          <w:rFonts w:ascii="Cambria" w:hAnsi="Cambria"/>
          <w:lang w:eastAsia="ar-SA"/>
        </w:rPr>
        <w:t xml:space="preserve"> (viso viena pirkimo dalis). </w:t>
      </w:r>
      <w:r w:rsidRPr="00210A4D">
        <w:rPr>
          <w:rFonts w:ascii="Cambria" w:hAnsi="Cambria"/>
          <w:noProof/>
        </w:rPr>
        <w:t xml:space="preserve">Pirkimas į dalis </w:t>
      </w:r>
      <w:r w:rsidRPr="00210A4D">
        <w:rPr>
          <w:rFonts w:asciiTheme="majorHAnsi" w:hAnsiTheme="majorHAnsi"/>
          <w:noProof/>
          <w:color w:val="000000" w:themeColor="text1"/>
        </w:rPr>
        <w:t xml:space="preserve">neskaidomas, </w:t>
      </w:r>
      <w:r w:rsidRPr="00210A4D">
        <w:rPr>
          <w:rFonts w:asciiTheme="majorHAnsi" w:hAnsiTheme="majorHAnsi"/>
        </w:rPr>
        <w:t xml:space="preserve">nes </w:t>
      </w:r>
      <w:r w:rsidR="00210A4D" w:rsidRPr="00210A4D">
        <w:rPr>
          <w:rFonts w:asciiTheme="majorHAnsi" w:hAnsiTheme="majorHAnsi"/>
        </w:rPr>
        <w:t>P</w:t>
      </w:r>
      <w:r w:rsidR="00210A4D" w:rsidRPr="00210A4D">
        <w:rPr>
          <w:rFonts w:asciiTheme="majorHAnsi" w:hAnsiTheme="majorHAnsi" w:cs="Calibri"/>
          <w:color w:val="212121"/>
          <w:shd w:val="clear" w:color="auto" w:fill="FFFFFF"/>
        </w:rPr>
        <w:t>erkamas integruotas infuzinių (tūrinių ir švirkštinių) pompų stotelių komplektas (viso 8 kompl.), sudarytas iš suderintų ir tarpusavyje integruotų komponentų (prietaisus integruojantis/laikantis įrenginys, 3 švirkštinės ir 1 tūrinė pompos). Šių prietaisų pagrindinis tikslas – dirbti kaip viena sistema, užtikrinant tinkamą suderinamumą, pacientų saugumą bei užtikrinant efektyvų valdymą ir priežiūrą, įskaitant bendrą programavimą, duomenų surinkimą ir aptarnavimą. Perkant atskirai skirtingų gamintojų ar modelių įrenginius, nebus užtikrintas jų techninis suderinamumas ir pilnas komplekso funkcionalumas, taip pat didėja operacinės rizikos ir eksploatacinės sąnaudos.</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lastRenderedPageBreak/>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687566"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i/>
          <w:color w:val="auto"/>
          <w:lang w:eastAsia="lt-LT"/>
        </w:rPr>
      </w:pPr>
      <w:r w:rsidRPr="00687566">
        <w:rPr>
          <w:rFonts w:asciiTheme="majorHAnsi" w:hAnsiTheme="majorHAnsi" w:cstheme="minorHAnsi"/>
          <w:bCs/>
          <w:i/>
          <w:iCs/>
          <w:color w:val="auto"/>
        </w:rPr>
        <w:t>Pasiūlymai vertinami pagal kainos ir kokybės santykį</w:t>
      </w:r>
      <w:r w:rsidRPr="0068756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4A53D8"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4A53D8"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4A53D8"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4A53D8"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4A53D8"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Pr="003033A9" w:rsidRDefault="00E937B7"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387DE6">
        <w:rPr>
          <w:rFonts w:asciiTheme="majorHAnsi" w:hAnsiTheme="majorHAnsi" w:cs="Times New Roman"/>
          <w:color w:val="auto"/>
        </w:rPr>
        <w:t xml:space="preserve">5.4. </w:t>
      </w:r>
      <w:r w:rsidRPr="00387DE6">
        <w:rPr>
          <w:rFonts w:asciiTheme="majorHAnsi" w:hAnsiTheme="majorHAnsi" w:cs="Times New Roman"/>
          <w:iCs/>
          <w:color w:val="auto"/>
        </w:rPr>
        <w:t xml:space="preserve">Pasiūlymas turi būti pateiktas iki </w:t>
      </w:r>
      <w:r w:rsidR="00AA5E63" w:rsidRPr="00387DE6">
        <w:rPr>
          <w:rFonts w:asciiTheme="majorHAnsi" w:hAnsiTheme="majorHAnsi" w:cs="Times New Roman"/>
          <w:b/>
          <w:iCs/>
          <w:color w:val="548DD4" w:themeColor="text2" w:themeTint="99"/>
        </w:rPr>
        <w:t>202</w:t>
      </w:r>
      <w:r w:rsidR="00EA4078" w:rsidRPr="00387DE6">
        <w:rPr>
          <w:rFonts w:asciiTheme="majorHAnsi" w:hAnsiTheme="majorHAnsi" w:cs="Times New Roman"/>
          <w:b/>
          <w:iCs/>
          <w:color w:val="548DD4" w:themeColor="text2" w:themeTint="99"/>
        </w:rPr>
        <w:t>6</w:t>
      </w:r>
      <w:r w:rsidRPr="00387DE6">
        <w:rPr>
          <w:rFonts w:asciiTheme="majorHAnsi" w:hAnsiTheme="majorHAnsi" w:cs="Times New Roman"/>
          <w:b/>
          <w:iCs/>
          <w:color w:val="548DD4" w:themeColor="text2" w:themeTint="99"/>
        </w:rPr>
        <w:t xml:space="preserve"> m. </w:t>
      </w:r>
      <w:r w:rsidR="00687566" w:rsidRPr="00387DE6">
        <w:rPr>
          <w:rFonts w:asciiTheme="majorHAnsi" w:hAnsiTheme="majorHAnsi" w:cs="Times New Roman"/>
          <w:b/>
          <w:iCs/>
          <w:color w:val="548DD4" w:themeColor="text2" w:themeTint="99"/>
        </w:rPr>
        <w:t xml:space="preserve">kovo </w:t>
      </w:r>
      <w:r w:rsidR="00387DE6" w:rsidRPr="00387DE6">
        <w:rPr>
          <w:rFonts w:asciiTheme="majorHAnsi" w:hAnsiTheme="majorHAnsi" w:cs="Times New Roman"/>
          <w:b/>
          <w:iCs/>
          <w:color w:val="548DD4" w:themeColor="text2" w:themeTint="99"/>
        </w:rPr>
        <w:t>26</w:t>
      </w:r>
      <w:r w:rsidR="00F21792" w:rsidRPr="00387DE6">
        <w:rPr>
          <w:rFonts w:asciiTheme="majorHAnsi" w:hAnsiTheme="majorHAnsi" w:cs="Times New Roman"/>
          <w:b/>
          <w:iCs/>
          <w:color w:val="548DD4" w:themeColor="text2" w:themeTint="99"/>
        </w:rPr>
        <w:t xml:space="preserve"> </w:t>
      </w:r>
      <w:r w:rsidRPr="00387DE6">
        <w:rPr>
          <w:rFonts w:asciiTheme="majorHAnsi" w:hAnsiTheme="majorHAnsi" w:cs="Times New Roman"/>
          <w:b/>
          <w:iCs/>
          <w:color w:val="548DD4" w:themeColor="text2" w:themeTint="99"/>
        </w:rPr>
        <w:t>d.</w:t>
      </w:r>
      <w:r w:rsidR="00E958C2" w:rsidRPr="00387DE6">
        <w:rPr>
          <w:rFonts w:asciiTheme="majorHAnsi" w:hAnsiTheme="majorHAnsi" w:cs="Times New Roman"/>
          <w:b/>
          <w:iCs/>
          <w:color w:val="548DD4" w:themeColor="text2" w:themeTint="99"/>
        </w:rPr>
        <w:t xml:space="preserve"> 0</w:t>
      </w:r>
      <w:r w:rsidR="00F21792" w:rsidRPr="00387DE6">
        <w:rPr>
          <w:rFonts w:asciiTheme="majorHAnsi" w:hAnsiTheme="majorHAnsi" w:cs="Times New Roman"/>
          <w:b/>
          <w:iCs/>
          <w:color w:val="548DD4" w:themeColor="text2" w:themeTint="99"/>
        </w:rPr>
        <w:t>8</w:t>
      </w:r>
      <w:r w:rsidR="005823A0" w:rsidRPr="00387DE6">
        <w:rPr>
          <w:rFonts w:asciiTheme="majorHAnsi" w:hAnsiTheme="majorHAnsi" w:cs="Times New Roman"/>
          <w:b/>
          <w:iCs/>
          <w:color w:val="548DD4" w:themeColor="text2" w:themeTint="99"/>
        </w:rPr>
        <w:t xml:space="preserve"> val. </w:t>
      </w:r>
      <w:r w:rsidR="00647129" w:rsidRPr="00387DE6">
        <w:rPr>
          <w:rFonts w:asciiTheme="majorHAnsi" w:hAnsiTheme="majorHAnsi" w:cs="Times New Roman"/>
          <w:b/>
          <w:iCs/>
          <w:color w:val="548DD4" w:themeColor="text2" w:themeTint="99"/>
        </w:rPr>
        <w:t>15</w:t>
      </w:r>
      <w:r w:rsidRPr="00387DE6">
        <w:rPr>
          <w:rFonts w:asciiTheme="majorHAnsi" w:hAnsiTheme="majorHAnsi" w:cs="Times New Roman"/>
          <w:b/>
          <w:iCs/>
          <w:color w:val="548DD4" w:themeColor="text2" w:themeTint="99"/>
        </w:rPr>
        <w:t xml:space="preserve"> min.</w:t>
      </w:r>
      <w:r w:rsidRPr="00387DE6">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387DE6">
        <w:rPr>
          <w:rFonts w:asciiTheme="majorHAnsi" w:hAnsiTheme="majorHAnsi" w:cs="Times New Roman"/>
          <w:lang w:val="it-IT"/>
        </w:rPr>
        <w:t xml:space="preserve">trumpiau </w:t>
      </w:r>
      <w:r w:rsidRPr="00387DE6">
        <w:rPr>
          <w:rFonts w:asciiTheme="majorHAnsi" w:hAnsiTheme="majorHAnsi" w:cs="Times New Roman"/>
          <w:lang w:val="lt-LT"/>
        </w:rPr>
        <w:t xml:space="preserve">kaip iki </w:t>
      </w:r>
      <w:r w:rsidR="00AF145C" w:rsidRPr="00387DE6">
        <w:rPr>
          <w:rFonts w:asciiTheme="majorHAnsi" w:hAnsiTheme="majorHAnsi" w:cs="Times New Roman"/>
          <w:b/>
          <w:color w:val="548DD4" w:themeColor="text2" w:themeTint="99"/>
          <w:lang w:val="lt-LT"/>
        </w:rPr>
        <w:t>202</w:t>
      </w:r>
      <w:r w:rsidR="00692844" w:rsidRPr="00387DE6">
        <w:rPr>
          <w:rFonts w:asciiTheme="majorHAnsi" w:hAnsiTheme="majorHAnsi" w:cs="Times New Roman"/>
          <w:b/>
          <w:color w:val="548DD4" w:themeColor="text2" w:themeTint="99"/>
          <w:lang w:val="lt-LT"/>
        </w:rPr>
        <w:t>6-</w:t>
      </w:r>
      <w:r w:rsidR="00F75747" w:rsidRPr="00387DE6">
        <w:rPr>
          <w:rFonts w:asciiTheme="majorHAnsi" w:hAnsiTheme="majorHAnsi" w:cs="Times New Roman"/>
          <w:b/>
          <w:color w:val="548DD4" w:themeColor="text2" w:themeTint="99"/>
          <w:lang w:val="lt-LT"/>
        </w:rPr>
        <w:t>0</w:t>
      </w:r>
      <w:r w:rsidR="00687566" w:rsidRPr="00387DE6">
        <w:rPr>
          <w:rFonts w:asciiTheme="majorHAnsi" w:hAnsiTheme="majorHAnsi" w:cs="Times New Roman"/>
          <w:b/>
          <w:color w:val="548DD4" w:themeColor="text2" w:themeTint="99"/>
          <w:lang w:val="lt-LT"/>
        </w:rPr>
        <w:t>7-</w:t>
      </w:r>
      <w:r w:rsidR="00387DE6" w:rsidRPr="00387DE6">
        <w:rPr>
          <w:rFonts w:asciiTheme="majorHAnsi" w:hAnsiTheme="majorHAnsi" w:cs="Times New Roman"/>
          <w:b/>
          <w:color w:val="548DD4" w:themeColor="text2" w:themeTint="99"/>
          <w:lang w:val="lt-LT"/>
        </w:rPr>
        <w:t>26</w:t>
      </w:r>
      <w:r w:rsidR="00805DD4" w:rsidRPr="00387DE6">
        <w:rPr>
          <w:rFonts w:asciiTheme="majorHAnsi" w:hAnsiTheme="majorHAnsi" w:cs="Times New Roman"/>
          <w:b/>
          <w:color w:val="548DD4" w:themeColor="text2" w:themeTint="99"/>
          <w:lang w:val="lt-LT"/>
        </w:rPr>
        <w:t>.</w:t>
      </w:r>
      <w:r w:rsidRPr="00387DE6">
        <w:rPr>
          <w:rFonts w:asciiTheme="majorHAnsi" w:hAnsiTheme="majorHAnsi" w:cs="Times New Roman"/>
          <w:lang w:val="pt-PT"/>
        </w:rPr>
        <w:t xml:space="preserve"> Jeigu pasi</w:t>
      </w:r>
      <w:r w:rsidRPr="00387DE6">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687566">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EA4078">
        <w:rPr>
          <w:rFonts w:asciiTheme="majorHAnsi" w:hAnsiTheme="majorHAnsi"/>
          <w:b/>
          <w:sz w:val="22"/>
          <w:szCs w:val="22"/>
          <w:lang w:val="lt-LT"/>
        </w:rPr>
        <w:t xml:space="preserve">5.11.9. </w:t>
      </w:r>
      <w:r w:rsidRPr="00EA4078">
        <w:rPr>
          <w:rFonts w:asciiTheme="majorHAnsi" w:hAnsiTheme="majorHAnsi"/>
          <w:b/>
          <w:sz w:val="22"/>
          <w:szCs w:val="22"/>
          <w:lang w:eastAsia="lt-LT"/>
        </w:rPr>
        <w:t>Tiekėjas turi pateikti p</w:t>
      </w:r>
      <w:r w:rsidRPr="00EA4078">
        <w:rPr>
          <w:rFonts w:asciiTheme="majorHAnsi" w:hAnsiTheme="majorHAnsi"/>
          <w:b/>
          <w:sz w:val="22"/>
          <w:szCs w:val="22"/>
        </w:rPr>
        <w:t>asiūlyme nurodytų parametrų teisingumą įrodančius prekės gamintojo (toliau – gamintojo) dokumentus (</w:t>
      </w:r>
      <w:r w:rsidR="00771ADF" w:rsidRPr="00015AC7">
        <w:rPr>
          <w:rFonts w:asciiTheme="majorHAnsi" w:hAnsiTheme="majorHAnsi"/>
          <w:b/>
          <w:sz w:val="22"/>
          <w:szCs w:val="22"/>
        </w:rPr>
        <w:t>katalogus, prospektus ar kitą informaciją su siūlomų prekių aprašymais</w:t>
      </w:r>
      <w:r w:rsidR="00E937B7" w:rsidRPr="00EA4078">
        <w:rPr>
          <w:rFonts w:asciiTheme="majorHAnsi" w:eastAsia="Times New Roman" w:hAnsiTheme="majorHAnsi"/>
          <w:b/>
          <w:sz w:val="22"/>
          <w:szCs w:val="22"/>
        </w:rPr>
        <w:t>)</w:t>
      </w:r>
      <w:r w:rsidR="00E937B7" w:rsidRPr="00EA4078">
        <w:rPr>
          <w:rFonts w:eastAsia="Times New Roman"/>
          <w:sz w:val="22"/>
          <w:szCs w:val="22"/>
        </w:rPr>
        <w:t xml:space="preserve"> </w:t>
      </w:r>
      <w:r w:rsidRPr="00EA4078">
        <w:rPr>
          <w:rFonts w:asciiTheme="majorHAnsi" w:hAnsiTheme="majorHAnsi"/>
          <w:b/>
          <w:sz w:val="22"/>
          <w:szCs w:val="22"/>
        </w:rPr>
        <w:t xml:space="preserve">originalo, o reikalaujamų parametrų – ir lietuvių kalbomis </w:t>
      </w:r>
      <w:r w:rsidRPr="00EA4078">
        <w:rPr>
          <w:rFonts w:asciiTheme="majorHAnsi" w:hAnsiTheme="majorHAnsi"/>
          <w:b/>
          <w:color w:val="000000"/>
          <w:sz w:val="22"/>
          <w:szCs w:val="22"/>
        </w:rPr>
        <w:t>(tais atvejais, kai</w:t>
      </w:r>
      <w:r w:rsidRPr="003714C3">
        <w:rPr>
          <w:rFonts w:asciiTheme="majorHAnsi" w:hAnsiTheme="majorHAnsi"/>
          <w:b/>
          <w:color w:val="000000"/>
          <w:sz w:val="22"/>
          <w:szCs w:val="22"/>
        </w:rPr>
        <w:t xml:space="preserve">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Pr="003714C3">
        <w:rPr>
          <w:rFonts w:asciiTheme="majorHAnsi" w:hAnsiTheme="majorHAnsi"/>
          <w:b/>
          <w:sz w:val="22"/>
          <w:szCs w:val="22"/>
          <w:u w:val="single"/>
          <w:lang w:val="lt-LT"/>
        </w:rPr>
        <w:lastRenderedPageBreak/>
        <w:t>„</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71ADF" w:rsidRDefault="00771ADF" w:rsidP="00BC6BE1">
      <w:pPr>
        <w:pStyle w:val="Body2"/>
        <w:jc w:val="center"/>
        <w:rPr>
          <w:rFonts w:asciiTheme="majorHAnsi" w:hAnsiTheme="majorHAnsi" w:cs="Times New Roman"/>
        </w:rPr>
      </w:pPr>
    </w:p>
    <w:p w:rsidR="00771ADF" w:rsidRDefault="00771ADF"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771ADF" w:rsidRPr="00DB0B7E" w:rsidRDefault="00771ADF" w:rsidP="00771AD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71ADF" w:rsidRPr="00DB0B7E" w:rsidRDefault="00771ADF" w:rsidP="00771ADF">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387DE6">
        <w:rPr>
          <w:rFonts w:asciiTheme="majorHAnsi" w:hAnsiTheme="majorHAnsi"/>
          <w:b/>
          <w:iCs/>
          <w:color w:val="548DD4" w:themeColor="text2" w:themeTint="99"/>
          <w:sz w:val="22"/>
          <w:szCs w:val="22"/>
        </w:rPr>
        <w:t>202</w:t>
      </w:r>
      <w:r w:rsidR="00EA4078" w:rsidRPr="00387DE6">
        <w:rPr>
          <w:rFonts w:asciiTheme="majorHAnsi" w:hAnsiTheme="majorHAnsi"/>
          <w:b/>
          <w:iCs/>
          <w:color w:val="548DD4" w:themeColor="text2" w:themeTint="99"/>
          <w:sz w:val="22"/>
          <w:szCs w:val="22"/>
        </w:rPr>
        <w:t>6</w:t>
      </w:r>
      <w:r w:rsidRPr="00387DE6">
        <w:rPr>
          <w:rFonts w:asciiTheme="majorHAnsi" w:hAnsiTheme="majorHAnsi"/>
          <w:b/>
          <w:iCs/>
          <w:color w:val="548DD4" w:themeColor="text2" w:themeTint="99"/>
          <w:sz w:val="22"/>
          <w:szCs w:val="22"/>
        </w:rPr>
        <w:t xml:space="preserve"> m.</w:t>
      </w:r>
      <w:r w:rsidR="00BE67E8" w:rsidRPr="00387DE6">
        <w:rPr>
          <w:rFonts w:asciiTheme="majorHAnsi" w:hAnsiTheme="majorHAnsi"/>
          <w:b/>
          <w:iCs/>
          <w:color w:val="548DD4" w:themeColor="text2" w:themeTint="99"/>
          <w:sz w:val="22"/>
          <w:szCs w:val="22"/>
        </w:rPr>
        <w:t xml:space="preserve"> </w:t>
      </w:r>
      <w:r w:rsidR="00F05741" w:rsidRPr="00387DE6">
        <w:rPr>
          <w:rFonts w:asciiTheme="majorHAnsi" w:hAnsiTheme="majorHAnsi"/>
          <w:b/>
          <w:iCs/>
          <w:color w:val="548DD4" w:themeColor="text2" w:themeTint="99"/>
          <w:sz w:val="22"/>
          <w:szCs w:val="22"/>
        </w:rPr>
        <w:t xml:space="preserve">kovo </w:t>
      </w:r>
      <w:r w:rsidR="00387DE6" w:rsidRPr="00387DE6">
        <w:rPr>
          <w:rFonts w:asciiTheme="majorHAnsi" w:hAnsiTheme="majorHAnsi"/>
          <w:b/>
          <w:iCs/>
          <w:color w:val="548DD4" w:themeColor="text2" w:themeTint="99"/>
          <w:sz w:val="22"/>
          <w:szCs w:val="22"/>
        </w:rPr>
        <w:t>26</w:t>
      </w:r>
      <w:r w:rsidR="006C59CB" w:rsidRPr="00387DE6">
        <w:rPr>
          <w:rFonts w:asciiTheme="majorHAnsi" w:hAnsiTheme="majorHAnsi"/>
          <w:b/>
          <w:iCs/>
          <w:color w:val="548DD4" w:themeColor="text2" w:themeTint="99"/>
          <w:sz w:val="22"/>
          <w:szCs w:val="22"/>
        </w:rPr>
        <w:t xml:space="preserve"> </w:t>
      </w:r>
      <w:r w:rsidR="00E958C2" w:rsidRPr="00387DE6">
        <w:rPr>
          <w:rFonts w:asciiTheme="majorHAnsi" w:hAnsiTheme="majorHAnsi"/>
          <w:b/>
          <w:iCs/>
          <w:color w:val="548DD4" w:themeColor="text2" w:themeTint="99"/>
          <w:sz w:val="22"/>
          <w:szCs w:val="22"/>
        </w:rPr>
        <w:t>d. 0</w:t>
      </w:r>
      <w:r w:rsidR="00F21792" w:rsidRPr="00387DE6">
        <w:rPr>
          <w:rFonts w:asciiTheme="majorHAnsi" w:hAnsiTheme="majorHAnsi"/>
          <w:b/>
          <w:iCs/>
          <w:color w:val="548DD4" w:themeColor="text2" w:themeTint="99"/>
          <w:sz w:val="22"/>
          <w:szCs w:val="22"/>
        </w:rPr>
        <w:t>8</w:t>
      </w:r>
      <w:r w:rsidR="005823A0" w:rsidRPr="00387DE6">
        <w:rPr>
          <w:rFonts w:asciiTheme="majorHAnsi" w:hAnsiTheme="majorHAnsi"/>
          <w:b/>
          <w:iCs/>
          <w:color w:val="548DD4" w:themeColor="text2" w:themeTint="99"/>
          <w:sz w:val="22"/>
          <w:szCs w:val="22"/>
        </w:rPr>
        <w:t xml:space="preserve"> val. </w:t>
      </w:r>
      <w:r w:rsidR="00647129" w:rsidRPr="00387DE6">
        <w:rPr>
          <w:rFonts w:asciiTheme="majorHAnsi" w:hAnsiTheme="majorHAnsi"/>
          <w:b/>
          <w:iCs/>
          <w:color w:val="548DD4" w:themeColor="text2" w:themeTint="99"/>
          <w:sz w:val="22"/>
          <w:szCs w:val="22"/>
        </w:rPr>
        <w:t>45</w:t>
      </w:r>
      <w:r w:rsidRPr="00387DE6">
        <w:rPr>
          <w:rFonts w:asciiTheme="majorHAnsi" w:hAnsiTheme="majorHAnsi"/>
          <w:b/>
          <w:iCs/>
          <w:color w:val="548DD4" w:themeColor="text2" w:themeTint="99"/>
          <w:sz w:val="22"/>
          <w:szCs w:val="22"/>
        </w:rPr>
        <w:t xml:space="preserve"> min</w:t>
      </w:r>
      <w:r w:rsidRPr="00387DE6">
        <w:rPr>
          <w:rFonts w:asciiTheme="majorHAnsi" w:hAnsiTheme="majorHAnsi"/>
          <w:b/>
          <w:iCs/>
          <w:sz w:val="22"/>
          <w:szCs w:val="22"/>
        </w:rPr>
        <w:t>.</w:t>
      </w:r>
      <w:r w:rsidRPr="00387DE6">
        <w:rPr>
          <w:rFonts w:asciiTheme="majorHAnsi" w:hAnsiTheme="majorHAnsi"/>
          <w:iCs/>
          <w:sz w:val="22"/>
          <w:szCs w:val="22"/>
        </w:rPr>
        <w:t xml:space="preserve"> </w:t>
      </w:r>
      <w:r w:rsidRPr="00387DE6">
        <w:rPr>
          <w:rFonts w:asciiTheme="majorHAnsi" w:hAnsiTheme="majorHAnsi"/>
          <w:iCs/>
          <w:sz w:val="22"/>
          <w:szCs w:val="22"/>
          <w:u w:val="single"/>
        </w:rPr>
        <w:t xml:space="preserve">Jei pasiūlymas teikiamas šifruotas, slaptažodis turi būti pateiktas </w:t>
      </w:r>
      <w:r w:rsidR="009B3BF7" w:rsidRPr="00387DE6">
        <w:rPr>
          <w:rFonts w:asciiTheme="majorHAnsi" w:hAnsiTheme="majorHAnsi"/>
          <w:b/>
          <w:iCs/>
          <w:color w:val="548DD4" w:themeColor="text2" w:themeTint="99"/>
          <w:sz w:val="22"/>
          <w:szCs w:val="22"/>
          <w:u w:val="single"/>
        </w:rPr>
        <w:t>202</w:t>
      </w:r>
      <w:r w:rsidR="00EA4078" w:rsidRPr="00387DE6">
        <w:rPr>
          <w:rFonts w:asciiTheme="majorHAnsi" w:hAnsiTheme="majorHAnsi"/>
          <w:b/>
          <w:iCs/>
          <w:color w:val="548DD4" w:themeColor="text2" w:themeTint="99"/>
          <w:sz w:val="22"/>
          <w:szCs w:val="22"/>
          <w:u w:val="single"/>
        </w:rPr>
        <w:t>6</w:t>
      </w:r>
      <w:r w:rsidR="005A189F" w:rsidRPr="00387DE6">
        <w:rPr>
          <w:rFonts w:asciiTheme="majorHAnsi" w:hAnsiTheme="majorHAnsi"/>
          <w:b/>
          <w:iCs/>
          <w:color w:val="548DD4" w:themeColor="text2" w:themeTint="99"/>
          <w:sz w:val="22"/>
          <w:szCs w:val="22"/>
          <w:u w:val="single"/>
        </w:rPr>
        <w:t xml:space="preserve"> m. </w:t>
      </w:r>
      <w:r w:rsidR="00F05741" w:rsidRPr="00387DE6">
        <w:rPr>
          <w:rFonts w:asciiTheme="majorHAnsi" w:hAnsiTheme="majorHAnsi"/>
          <w:b/>
          <w:iCs/>
          <w:color w:val="548DD4" w:themeColor="text2" w:themeTint="99"/>
          <w:sz w:val="22"/>
          <w:szCs w:val="22"/>
          <w:u w:val="single"/>
        </w:rPr>
        <w:t xml:space="preserve">kovo </w:t>
      </w:r>
      <w:r w:rsidR="00387DE6" w:rsidRPr="00387DE6">
        <w:rPr>
          <w:rFonts w:asciiTheme="majorHAnsi" w:hAnsiTheme="majorHAnsi"/>
          <w:b/>
          <w:iCs/>
          <w:color w:val="548DD4" w:themeColor="text2" w:themeTint="99"/>
          <w:sz w:val="22"/>
          <w:szCs w:val="22"/>
          <w:u w:val="single"/>
        </w:rPr>
        <w:t>26</w:t>
      </w:r>
      <w:r w:rsidR="006C59CB" w:rsidRPr="00387DE6">
        <w:rPr>
          <w:rFonts w:asciiTheme="majorHAnsi" w:hAnsiTheme="majorHAnsi"/>
          <w:b/>
          <w:iCs/>
          <w:color w:val="548DD4" w:themeColor="text2" w:themeTint="99"/>
          <w:sz w:val="22"/>
          <w:szCs w:val="22"/>
          <w:u w:val="single"/>
        </w:rPr>
        <w:t xml:space="preserve"> </w:t>
      </w:r>
      <w:r w:rsidRPr="00387DE6">
        <w:rPr>
          <w:rFonts w:asciiTheme="majorHAnsi" w:hAnsiTheme="majorHAnsi"/>
          <w:b/>
          <w:iCs/>
          <w:color w:val="548DD4" w:themeColor="text2" w:themeTint="99"/>
          <w:sz w:val="22"/>
          <w:szCs w:val="22"/>
          <w:u w:val="single"/>
        </w:rPr>
        <w:t>d.</w:t>
      </w:r>
      <w:r w:rsidRPr="00387DE6">
        <w:rPr>
          <w:rFonts w:asciiTheme="majorHAnsi" w:hAnsiTheme="majorHAnsi"/>
          <w:iCs/>
          <w:color w:val="548DD4" w:themeColor="text2" w:themeTint="99"/>
          <w:sz w:val="22"/>
          <w:szCs w:val="22"/>
          <w:u w:val="single"/>
        </w:rPr>
        <w:t xml:space="preserve"> intervale </w:t>
      </w:r>
      <w:r w:rsidR="00E958C2" w:rsidRPr="00387DE6">
        <w:rPr>
          <w:rFonts w:asciiTheme="majorHAnsi" w:hAnsiTheme="majorHAnsi"/>
          <w:b/>
          <w:iCs/>
          <w:color w:val="548DD4" w:themeColor="text2" w:themeTint="99"/>
          <w:sz w:val="22"/>
          <w:szCs w:val="22"/>
          <w:u w:val="single"/>
        </w:rPr>
        <w:t>0</w:t>
      </w:r>
      <w:r w:rsidR="00F21792" w:rsidRPr="00387DE6">
        <w:rPr>
          <w:rFonts w:asciiTheme="majorHAnsi" w:hAnsiTheme="majorHAnsi"/>
          <w:b/>
          <w:iCs/>
          <w:color w:val="548DD4" w:themeColor="text2" w:themeTint="99"/>
          <w:sz w:val="22"/>
          <w:szCs w:val="22"/>
          <w:u w:val="single"/>
        </w:rPr>
        <w:t>8</w:t>
      </w:r>
      <w:r w:rsidR="005823A0" w:rsidRPr="00387DE6">
        <w:rPr>
          <w:rFonts w:asciiTheme="majorHAnsi" w:hAnsiTheme="majorHAnsi"/>
          <w:b/>
          <w:iCs/>
          <w:color w:val="548DD4" w:themeColor="text2" w:themeTint="99"/>
          <w:sz w:val="22"/>
          <w:szCs w:val="22"/>
          <w:u w:val="single"/>
        </w:rPr>
        <w:t>.</w:t>
      </w:r>
      <w:r w:rsidR="00647129" w:rsidRPr="00387DE6">
        <w:rPr>
          <w:rFonts w:asciiTheme="majorHAnsi" w:hAnsiTheme="majorHAnsi"/>
          <w:b/>
          <w:iCs/>
          <w:color w:val="548DD4" w:themeColor="text2" w:themeTint="99"/>
          <w:sz w:val="22"/>
          <w:szCs w:val="22"/>
          <w:u w:val="single"/>
        </w:rPr>
        <w:t>15</w:t>
      </w:r>
      <w:r w:rsidR="00652BA3" w:rsidRPr="00387DE6">
        <w:rPr>
          <w:rFonts w:asciiTheme="majorHAnsi" w:hAnsiTheme="majorHAnsi"/>
          <w:b/>
          <w:iCs/>
          <w:color w:val="548DD4" w:themeColor="text2" w:themeTint="99"/>
          <w:sz w:val="22"/>
          <w:szCs w:val="22"/>
          <w:u w:val="single"/>
        </w:rPr>
        <w:t>–</w:t>
      </w:r>
      <w:r w:rsidR="009B15AA" w:rsidRPr="00387DE6">
        <w:rPr>
          <w:rFonts w:asciiTheme="majorHAnsi" w:hAnsiTheme="majorHAnsi"/>
          <w:b/>
          <w:iCs/>
          <w:color w:val="548DD4" w:themeColor="text2" w:themeTint="99"/>
          <w:sz w:val="22"/>
          <w:szCs w:val="22"/>
          <w:u w:val="single"/>
        </w:rPr>
        <w:t xml:space="preserve"> </w:t>
      </w:r>
      <w:r w:rsidR="00E958C2" w:rsidRPr="00387DE6">
        <w:rPr>
          <w:rFonts w:asciiTheme="majorHAnsi" w:hAnsiTheme="majorHAnsi"/>
          <w:b/>
          <w:iCs/>
          <w:color w:val="548DD4" w:themeColor="text2" w:themeTint="99"/>
          <w:sz w:val="22"/>
          <w:szCs w:val="22"/>
          <w:u w:val="single"/>
        </w:rPr>
        <w:t>0</w:t>
      </w:r>
      <w:r w:rsidR="00F21792" w:rsidRPr="00387DE6">
        <w:rPr>
          <w:rFonts w:asciiTheme="majorHAnsi" w:hAnsiTheme="majorHAnsi"/>
          <w:b/>
          <w:iCs/>
          <w:color w:val="548DD4" w:themeColor="text2" w:themeTint="99"/>
          <w:sz w:val="22"/>
          <w:szCs w:val="22"/>
          <w:u w:val="single"/>
        </w:rPr>
        <w:t>8</w:t>
      </w:r>
      <w:r w:rsidR="005823A0" w:rsidRPr="00387DE6">
        <w:rPr>
          <w:rFonts w:asciiTheme="majorHAnsi" w:hAnsiTheme="majorHAnsi"/>
          <w:b/>
          <w:iCs/>
          <w:color w:val="548DD4" w:themeColor="text2" w:themeTint="99"/>
          <w:sz w:val="22"/>
          <w:szCs w:val="22"/>
          <w:u w:val="single"/>
        </w:rPr>
        <w:t>.</w:t>
      </w:r>
      <w:r w:rsidR="00647129" w:rsidRPr="00387DE6">
        <w:rPr>
          <w:rFonts w:asciiTheme="majorHAnsi" w:hAnsiTheme="majorHAnsi"/>
          <w:b/>
          <w:iCs/>
          <w:color w:val="548DD4" w:themeColor="text2" w:themeTint="99"/>
          <w:sz w:val="22"/>
          <w:szCs w:val="22"/>
          <w:u w:val="single"/>
        </w:rPr>
        <w:t>45</w:t>
      </w:r>
      <w:r w:rsidRPr="00387DE6">
        <w:rPr>
          <w:rFonts w:asciiTheme="majorHAnsi" w:hAnsiTheme="majorHAnsi"/>
          <w:b/>
          <w:iCs/>
          <w:color w:val="548DD4" w:themeColor="text2" w:themeTint="99"/>
          <w:sz w:val="22"/>
          <w:szCs w:val="22"/>
          <w:u w:val="single"/>
        </w:rPr>
        <w:t xml:space="preserve"> val.</w:t>
      </w:r>
      <w:r w:rsidRPr="00387DE6">
        <w:rPr>
          <w:rFonts w:asciiTheme="majorHAnsi" w:hAnsiTheme="majorHAnsi"/>
          <w:b/>
          <w:iCs/>
          <w:sz w:val="22"/>
          <w:szCs w:val="22"/>
          <w:u w:val="single"/>
        </w:rPr>
        <w:t xml:space="preserve"> </w:t>
      </w:r>
      <w:r w:rsidRPr="00387DE6">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r w:rsidR="00F05741">
        <w:rPr>
          <w:rFonts w:asciiTheme="majorHAnsi" w:hAnsiTheme="majorHAnsi" w:cs="Times New Roman"/>
        </w:rPr>
        <w:t>.</w:t>
      </w:r>
    </w:p>
    <w:p w:rsidR="00F05741" w:rsidRPr="003714C3" w:rsidRDefault="00F05741" w:rsidP="005F63F3">
      <w:pPr>
        <w:pStyle w:val="Body2"/>
        <w:spacing w:after="0"/>
        <w:rPr>
          <w:rFonts w:asciiTheme="majorHAnsi" w:hAnsiTheme="majorHAnsi" w:cs="Times New Roman"/>
        </w:rPr>
      </w:pPr>
    </w:p>
    <w:p w:rsidR="00B50198" w:rsidRDefault="00B50198" w:rsidP="00F05741">
      <w:pPr>
        <w:pStyle w:val="Antrat1"/>
        <w:numPr>
          <w:ilvl w:val="0"/>
          <w:numId w:val="3"/>
        </w:numPr>
        <w:spacing w:before="0" w:after="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F05741" w:rsidRPr="00F05741" w:rsidRDefault="00F05741" w:rsidP="00F05741">
      <w:pPr>
        <w:rPr>
          <w:lang w:val="lt-LT" w:eastAsia="lt-LT"/>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EA4078" w:rsidRDefault="00EA4078" w:rsidP="000A1E20">
      <w:pPr>
        <w:pStyle w:val="Body2"/>
        <w:rPr>
          <w:rFonts w:asciiTheme="majorHAnsi" w:hAnsiTheme="majorHAnsi"/>
        </w:rPr>
      </w:pPr>
    </w:p>
    <w:p w:rsidR="00F05741" w:rsidRDefault="00F05741"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3A55F7" w:rsidRDefault="00EA4078" w:rsidP="00EA4078">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F05741">
        <w:rPr>
          <w:rFonts w:asciiTheme="majorHAnsi" w:hAnsiTheme="majorHAnsi"/>
          <w:b/>
          <w:highlight w:val="green"/>
        </w:rPr>
        <w:t>56.000,00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E3795E" w:rsidRPr="00E3795E" w:rsidRDefault="00E3795E" w:rsidP="00E3795E">
      <w:pPr>
        <w:suppressAutoHyphens/>
        <w:jc w:val="both"/>
        <w:rPr>
          <w:rFonts w:asciiTheme="majorHAnsi" w:hAnsiTheme="majorHAnsi"/>
          <w:sz w:val="22"/>
          <w:szCs w:val="22"/>
        </w:rPr>
      </w:pPr>
    </w:p>
    <w:p w:rsidR="00A56EA4" w:rsidRPr="00035972"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035972">
        <w:rPr>
          <w:rFonts w:ascii="Cambria" w:eastAsia="Arial Unicode MS" w:hAnsi="Cambria"/>
          <w:b/>
          <w:bCs/>
          <w:caps/>
          <w:spacing w:val="4"/>
          <w:bdr w:val="nil"/>
        </w:rPr>
        <w:t>PASIŪLYMŲ VERTINIMO KRITERIJAI</w:t>
      </w:r>
    </w:p>
    <w:p w:rsidR="00A56EA4" w:rsidRPr="00A56EA4" w:rsidRDefault="00A56EA4" w:rsidP="00A56EA4">
      <w:pPr>
        <w:suppressAutoHyphens/>
        <w:jc w:val="both"/>
        <w:rPr>
          <w:rFonts w:asciiTheme="majorHAnsi" w:hAnsiTheme="majorHAnsi"/>
          <w:sz w:val="22"/>
          <w:szCs w:val="22"/>
        </w:rPr>
      </w:pPr>
    </w:p>
    <w:p w:rsidR="00A56EA4" w:rsidRPr="00A56EA4" w:rsidRDefault="00A56EA4" w:rsidP="00A56EA4">
      <w:pPr>
        <w:suppressAutoHyphens/>
        <w:ind w:firstLine="567"/>
        <w:jc w:val="both"/>
        <w:rPr>
          <w:rFonts w:asciiTheme="majorHAnsi" w:hAnsiTheme="majorHAnsi"/>
          <w:sz w:val="22"/>
          <w:szCs w:val="22"/>
        </w:rPr>
      </w:pPr>
      <w:r w:rsidRPr="00A56EA4">
        <w:rPr>
          <w:rFonts w:asciiTheme="majorHAnsi" w:hAnsiTheme="majorHAnsi"/>
          <w:sz w:val="22"/>
          <w:szCs w:val="22"/>
        </w:rPr>
        <w:t xml:space="preserve">Nustatomas maksimalus bendras balų skaičius – 100 balų. Kriterijų tarpusavio santykis bendrame bale yra nustatomas pagal lyginamuosius svorius: </w:t>
      </w:r>
    </w:p>
    <w:p w:rsidR="00F05741" w:rsidRPr="00181667" w:rsidRDefault="00F05741" w:rsidP="00F05741">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81667">
        <w:rPr>
          <w:rFonts w:ascii="Cambria" w:eastAsia="Times New Roman" w:hAnsi="Cambria"/>
          <w:noProof/>
          <w:color w:val="000000"/>
          <w:sz w:val="22"/>
          <w:szCs w:val="22"/>
          <w:lang w:val="lt-LT"/>
        </w:rPr>
        <w:t xml:space="preserve">1) kaina (K) – </w:t>
      </w:r>
      <w:r w:rsidRPr="00181667">
        <w:rPr>
          <w:rFonts w:ascii="Cambria" w:eastAsia="Times New Roman" w:hAnsi="Cambria"/>
          <w:noProof/>
          <w:color w:val="000000" w:themeColor="text1"/>
          <w:sz w:val="22"/>
          <w:szCs w:val="22"/>
          <w:lang w:val="lt-LT"/>
        </w:rPr>
        <w:t>60;</w:t>
      </w:r>
    </w:p>
    <w:p w:rsidR="00F05741" w:rsidRPr="00181667" w:rsidRDefault="00F05741" w:rsidP="00F05741">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181667">
        <w:rPr>
          <w:rFonts w:ascii="Cambria" w:eastAsia="Times New Roman" w:hAnsi="Cambria"/>
          <w:noProof/>
          <w:color w:val="000000" w:themeColor="text1"/>
          <w:sz w:val="22"/>
          <w:szCs w:val="22"/>
          <w:lang w:val="lt-LT"/>
        </w:rPr>
        <w:t>2) techniniai pranašumai (T) – 40;</w:t>
      </w:r>
    </w:p>
    <w:p w:rsidR="00A56EA4" w:rsidRPr="00A56EA4" w:rsidRDefault="00A56EA4" w:rsidP="00A56EA4">
      <w:pPr>
        <w:suppressAutoHyphens/>
        <w:jc w:val="both"/>
        <w:rPr>
          <w:rFonts w:asciiTheme="majorHAnsi" w:hAnsiTheme="majorHAnsi"/>
          <w:sz w:val="22"/>
          <w:szCs w:val="22"/>
        </w:rPr>
      </w:pPr>
    </w:p>
    <w:p w:rsidR="00A56EA4" w:rsidRDefault="00A56EA4" w:rsidP="00A56EA4">
      <w:pPr>
        <w:ind w:left="567"/>
        <w:jc w:val="both"/>
        <w:rPr>
          <w:rFonts w:asciiTheme="majorHAnsi" w:hAnsiTheme="majorHAnsi"/>
          <w:sz w:val="22"/>
          <w:szCs w:val="22"/>
        </w:rPr>
      </w:pPr>
      <w:r w:rsidRPr="00A56EA4">
        <w:rPr>
          <w:rFonts w:asciiTheme="majorHAnsi" w:hAnsiTheme="majorHAnsi"/>
          <w:sz w:val="22"/>
          <w:szCs w:val="22"/>
        </w:rPr>
        <w:t>Vertinimo kriterijai ir jų parametrų lyginamieji svoriai:</w:t>
      </w:r>
    </w:p>
    <w:tbl>
      <w:tblPr>
        <w:tblW w:w="5127" w:type="pct"/>
        <w:jc w:val="center"/>
        <w:tblCellMar>
          <w:left w:w="10" w:type="dxa"/>
          <w:right w:w="10" w:type="dxa"/>
        </w:tblCellMar>
        <w:tblLook w:val="04A0" w:firstRow="1" w:lastRow="0" w:firstColumn="1" w:lastColumn="0" w:noHBand="0" w:noVBand="1"/>
      </w:tblPr>
      <w:tblGrid>
        <w:gridCol w:w="555"/>
        <w:gridCol w:w="4329"/>
        <w:gridCol w:w="1453"/>
        <w:gridCol w:w="1466"/>
        <w:gridCol w:w="2063"/>
      </w:tblGrid>
      <w:tr w:rsidR="00F05741" w:rsidRPr="00181667" w:rsidTr="00A94893">
        <w:trPr>
          <w:trHeight w:hRule="exact" w:val="1082"/>
          <w:jc w:val="center"/>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5741" w:rsidRPr="00181667" w:rsidRDefault="00F05741" w:rsidP="00A94893">
            <w:pPr>
              <w:tabs>
                <w:tab w:val="left" w:pos="14175"/>
              </w:tabs>
              <w:ind w:right="678"/>
              <w:jc w:val="center"/>
              <w:rPr>
                <w:rFonts w:ascii="Cambria" w:hAnsi="Cambria"/>
                <w:noProof/>
                <w:color w:val="000000"/>
                <w:sz w:val="22"/>
                <w:szCs w:val="22"/>
                <w:lang w:val="lt-LT"/>
              </w:rPr>
            </w:pPr>
            <w:r w:rsidRPr="00181667">
              <w:rPr>
                <w:rFonts w:ascii="Cambria" w:hAnsi="Cambria"/>
                <w:b/>
                <w:noProof/>
                <w:color w:val="000000"/>
                <w:sz w:val="22"/>
                <w:szCs w:val="22"/>
                <w:lang w:val="lt-LT"/>
              </w:rPr>
              <w:t>Vertinimo kriterijai</w:t>
            </w:r>
          </w:p>
        </w:tc>
        <w:tc>
          <w:tcPr>
            <w:tcW w:w="103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5741" w:rsidRPr="00181667" w:rsidRDefault="00F05741" w:rsidP="00A94893">
            <w:pPr>
              <w:tabs>
                <w:tab w:val="left" w:pos="14175"/>
              </w:tabs>
              <w:ind w:left="-14" w:right="60"/>
              <w:jc w:val="center"/>
              <w:rPr>
                <w:rFonts w:ascii="Cambria" w:hAnsi="Cambria"/>
                <w:b/>
                <w:noProof/>
                <w:color w:val="000000"/>
                <w:sz w:val="22"/>
                <w:szCs w:val="22"/>
                <w:lang w:val="lt-LT"/>
              </w:rPr>
            </w:pPr>
            <w:r w:rsidRPr="00181667">
              <w:rPr>
                <w:rFonts w:ascii="Cambria" w:hAnsi="Cambria"/>
                <w:b/>
                <w:noProof/>
                <w:color w:val="000000"/>
                <w:sz w:val="22"/>
                <w:szCs w:val="22"/>
                <w:lang w:val="lt-LT"/>
              </w:rPr>
              <w:t>Parametro lyginamasis svoris</w:t>
            </w:r>
          </w:p>
        </w:tc>
        <w:tc>
          <w:tcPr>
            <w:tcW w:w="21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5741" w:rsidRPr="00181667" w:rsidRDefault="00F05741" w:rsidP="00A94893">
            <w:pPr>
              <w:tabs>
                <w:tab w:val="left" w:pos="14175"/>
              </w:tabs>
              <w:ind w:right="145"/>
              <w:jc w:val="center"/>
              <w:rPr>
                <w:rFonts w:ascii="Cambria" w:hAnsi="Cambria"/>
                <w:b/>
                <w:noProof/>
                <w:color w:val="000000"/>
                <w:sz w:val="22"/>
                <w:szCs w:val="22"/>
                <w:lang w:val="lt-LT"/>
              </w:rPr>
            </w:pPr>
            <w:r w:rsidRPr="00181667">
              <w:rPr>
                <w:rFonts w:ascii="Cambria" w:hAnsi="Cambria"/>
                <w:b/>
                <w:noProof/>
                <w:color w:val="000000"/>
                <w:sz w:val="22"/>
                <w:szCs w:val="22"/>
                <w:lang w:val="lt-LT"/>
              </w:rPr>
              <w:t>Lyginamasis svoris ekonominio naudingumo įvertinime</w:t>
            </w:r>
          </w:p>
        </w:tc>
      </w:tr>
      <w:tr w:rsidR="00F05741" w:rsidRPr="00181667" w:rsidTr="00A94893">
        <w:trPr>
          <w:trHeight w:hRule="exact" w:val="286"/>
          <w:jc w:val="center"/>
        </w:trPr>
        <w:tc>
          <w:tcPr>
            <w:tcW w:w="8269" w:type="dxa"/>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5741" w:rsidRPr="00181667" w:rsidRDefault="00F05741" w:rsidP="00A94893">
            <w:pPr>
              <w:tabs>
                <w:tab w:val="left" w:pos="14175"/>
              </w:tabs>
              <w:ind w:right="-92"/>
              <w:rPr>
                <w:rFonts w:ascii="Cambria" w:hAnsi="Cambria"/>
                <w:noProof/>
                <w:color w:val="000000"/>
                <w:sz w:val="22"/>
                <w:szCs w:val="22"/>
                <w:lang w:val="lt-LT"/>
              </w:rPr>
            </w:pPr>
            <w:r w:rsidRPr="00181667">
              <w:rPr>
                <w:rFonts w:ascii="Cambria" w:hAnsi="Cambria"/>
                <w:b/>
                <w:noProof/>
                <w:color w:val="000000"/>
                <w:sz w:val="22"/>
                <w:szCs w:val="22"/>
                <w:lang w:val="lt-LT"/>
              </w:rPr>
              <w:t>Kaina (K)</w:t>
            </w:r>
          </w:p>
        </w:tc>
        <w:tc>
          <w:tcPr>
            <w:tcW w:w="21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F05741" w:rsidRPr="00181667" w:rsidRDefault="00F05741" w:rsidP="00A94893">
            <w:pPr>
              <w:tabs>
                <w:tab w:val="left" w:pos="14175"/>
              </w:tabs>
              <w:ind w:right="-92"/>
              <w:jc w:val="center"/>
              <w:rPr>
                <w:rFonts w:ascii="Cambria" w:hAnsi="Cambria"/>
                <w:noProof/>
                <w:color w:val="000000"/>
                <w:sz w:val="22"/>
                <w:szCs w:val="22"/>
                <w:lang w:val="lt-LT"/>
              </w:rPr>
            </w:pPr>
            <w:r w:rsidRPr="00181667">
              <w:rPr>
                <w:rFonts w:ascii="Cambria" w:hAnsi="Cambria"/>
                <w:b/>
                <w:noProof/>
                <w:color w:val="000000"/>
                <w:sz w:val="22"/>
                <w:szCs w:val="22"/>
                <w:lang w:val="lt-LT"/>
              </w:rPr>
              <w:t>X=60</w:t>
            </w:r>
          </w:p>
        </w:tc>
      </w:tr>
      <w:tr w:rsidR="00F05741" w:rsidRPr="00181667" w:rsidTr="00A94893">
        <w:trPr>
          <w:trHeight w:hRule="exact" w:val="289"/>
          <w:jc w:val="center"/>
        </w:trPr>
        <w:tc>
          <w:tcPr>
            <w:tcW w:w="8269" w:type="dxa"/>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F05741" w:rsidRPr="00181667" w:rsidRDefault="00F05741" w:rsidP="00A94893">
            <w:pPr>
              <w:tabs>
                <w:tab w:val="left" w:pos="14175"/>
              </w:tabs>
              <w:ind w:right="-92"/>
              <w:rPr>
                <w:rFonts w:ascii="Cambria" w:hAnsi="Cambria"/>
                <w:b/>
                <w:noProof/>
                <w:color w:val="000000"/>
                <w:sz w:val="22"/>
                <w:szCs w:val="22"/>
                <w:lang w:val="lt-LT"/>
              </w:rPr>
            </w:pPr>
            <w:r w:rsidRPr="00181667">
              <w:rPr>
                <w:rFonts w:ascii="Cambria" w:hAnsi="Cambria"/>
                <w:b/>
                <w:noProof/>
                <w:color w:val="000000"/>
                <w:sz w:val="22"/>
                <w:szCs w:val="22"/>
                <w:lang w:val="lt-LT"/>
              </w:rPr>
              <w:t>Funkciniai pranašumai (T)</w:t>
            </w:r>
          </w:p>
        </w:tc>
        <w:tc>
          <w:tcPr>
            <w:tcW w:w="218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F05741" w:rsidRPr="00181667" w:rsidRDefault="00F05741" w:rsidP="00A94893">
            <w:pPr>
              <w:tabs>
                <w:tab w:val="left" w:pos="14175"/>
              </w:tabs>
              <w:ind w:right="-92"/>
              <w:jc w:val="center"/>
              <w:rPr>
                <w:rFonts w:ascii="Cambria" w:hAnsi="Cambria"/>
                <w:noProof/>
                <w:color w:val="000000"/>
                <w:sz w:val="22"/>
                <w:szCs w:val="22"/>
                <w:lang w:val="lt-LT"/>
              </w:rPr>
            </w:pPr>
            <w:r w:rsidRPr="00181667">
              <w:rPr>
                <w:rFonts w:ascii="Cambria" w:hAnsi="Cambria"/>
                <w:b/>
                <w:noProof/>
                <w:color w:val="000000"/>
                <w:sz w:val="22"/>
                <w:szCs w:val="22"/>
                <w:lang w:val="lt-LT"/>
              </w:rPr>
              <w:t>Y=40</w:t>
            </w:r>
          </w:p>
        </w:tc>
      </w:tr>
      <w:tr w:rsidR="00F05741" w:rsidRPr="00181667" w:rsidTr="00A94893">
        <w:trPr>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5741" w:rsidRPr="00181667" w:rsidRDefault="00F05741" w:rsidP="00A94893">
            <w:pPr>
              <w:tabs>
                <w:tab w:val="left" w:pos="14175"/>
              </w:tabs>
              <w:ind w:right="-92"/>
              <w:jc w:val="center"/>
              <w:rPr>
                <w:rFonts w:ascii="Cambria" w:hAnsi="Cambria"/>
                <w:b/>
                <w:noProof/>
                <w:color w:val="000000"/>
                <w:sz w:val="22"/>
                <w:szCs w:val="22"/>
                <w:lang w:val="lt-LT"/>
              </w:rPr>
            </w:pPr>
            <w:r w:rsidRPr="00181667">
              <w:rPr>
                <w:rFonts w:ascii="Cambria" w:hAnsi="Cambria"/>
                <w:b/>
                <w:noProof/>
                <w:color w:val="000000"/>
                <w:sz w:val="22"/>
                <w:szCs w:val="22"/>
                <w:lang w:val="lt-LT"/>
              </w:rPr>
              <w:t>Nr.</w:t>
            </w:r>
          </w:p>
        </w:tc>
        <w:tc>
          <w:tcPr>
            <w:tcW w:w="5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5741" w:rsidRPr="00181667" w:rsidRDefault="00F05741" w:rsidP="00A94893">
            <w:pPr>
              <w:tabs>
                <w:tab w:val="left" w:pos="14175"/>
              </w:tabs>
              <w:ind w:right="-92"/>
              <w:jc w:val="center"/>
              <w:rPr>
                <w:rFonts w:ascii="Cambria" w:hAnsi="Cambria"/>
                <w:b/>
                <w:noProof/>
                <w:color w:val="000000"/>
                <w:sz w:val="22"/>
                <w:szCs w:val="22"/>
                <w:lang w:val="lt-LT"/>
              </w:rPr>
            </w:pPr>
            <w:r w:rsidRPr="00181667">
              <w:rPr>
                <w:rFonts w:ascii="Cambria" w:hAnsi="Cambria"/>
                <w:b/>
                <w:noProof/>
                <w:sz w:val="22"/>
                <w:szCs w:val="22"/>
                <w:lang w:val="lt-LT"/>
              </w:rPr>
              <w:t>Parametrai</w:t>
            </w:r>
          </w:p>
        </w:tc>
        <w:tc>
          <w:tcPr>
            <w:tcW w:w="2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5741" w:rsidRPr="00181667" w:rsidRDefault="00F05741" w:rsidP="00A94893">
            <w:pPr>
              <w:tabs>
                <w:tab w:val="left" w:pos="14175"/>
              </w:tabs>
              <w:ind w:right="-92"/>
              <w:jc w:val="center"/>
              <w:rPr>
                <w:rFonts w:ascii="Cambria" w:hAnsi="Cambria"/>
                <w:b/>
                <w:bCs/>
                <w:noProof/>
                <w:color w:val="000000"/>
                <w:sz w:val="22"/>
                <w:szCs w:val="22"/>
                <w:lang w:val="lt-LT"/>
              </w:rPr>
            </w:pPr>
            <w:r w:rsidRPr="00181667">
              <w:rPr>
                <w:rFonts w:ascii="Cambria" w:hAnsi="Cambria"/>
                <w:b/>
                <w:noProof/>
                <w:sz w:val="22"/>
                <w:szCs w:val="22"/>
                <w:lang w:val="lt-LT"/>
              </w:rPr>
              <w:t>Vertinimo būdas</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5741" w:rsidRPr="00181667" w:rsidRDefault="00F05741" w:rsidP="00A94893">
            <w:pPr>
              <w:tabs>
                <w:tab w:val="left" w:pos="14175"/>
              </w:tabs>
              <w:ind w:right="-92"/>
              <w:rPr>
                <w:rFonts w:ascii="Cambria" w:hAnsi="Cambria"/>
                <w:b/>
                <w:noProof/>
                <w:color w:val="000000"/>
                <w:sz w:val="22"/>
                <w:szCs w:val="22"/>
                <w:lang w:val="lt-LT"/>
              </w:rPr>
            </w:pPr>
          </w:p>
        </w:tc>
      </w:tr>
      <w:tr w:rsidR="00F05741" w:rsidRPr="00181667" w:rsidTr="00A94893">
        <w:trPr>
          <w:trHeight w:val="2431"/>
          <w:jc w:val="center"/>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05741" w:rsidRPr="00181667" w:rsidRDefault="00F05741" w:rsidP="00A94893">
            <w:pPr>
              <w:tabs>
                <w:tab w:val="left" w:pos="14175"/>
              </w:tabs>
              <w:ind w:right="-92"/>
              <w:jc w:val="center"/>
              <w:rPr>
                <w:rFonts w:ascii="Cambria" w:hAnsi="Cambria"/>
                <w:noProof/>
                <w:color w:val="000000"/>
                <w:sz w:val="22"/>
                <w:szCs w:val="22"/>
                <w:vertAlign w:val="subscript"/>
                <w:lang w:val="lt-LT"/>
              </w:rPr>
            </w:pPr>
            <w:r w:rsidRPr="00181667">
              <w:rPr>
                <w:rFonts w:ascii="Cambria" w:hAnsi="Cambria"/>
                <w:noProof/>
                <w:color w:val="000000"/>
                <w:sz w:val="22"/>
                <w:szCs w:val="22"/>
                <w:lang w:val="lt-LT"/>
              </w:rPr>
              <w:t>T</w:t>
            </w:r>
            <w:r w:rsidRPr="00181667">
              <w:rPr>
                <w:rFonts w:ascii="Cambria" w:hAnsi="Cambria"/>
                <w:noProof/>
                <w:color w:val="000000"/>
                <w:sz w:val="22"/>
                <w:szCs w:val="22"/>
                <w:vertAlign w:val="subscript"/>
                <w:lang w:val="lt-LT"/>
              </w:rPr>
              <w:t>1</w:t>
            </w:r>
          </w:p>
        </w:tc>
        <w:tc>
          <w:tcPr>
            <w:tcW w:w="5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5741" w:rsidRPr="00181667" w:rsidRDefault="00F05741" w:rsidP="00A94893">
            <w:pPr>
              <w:tabs>
                <w:tab w:val="left" w:pos="14175"/>
              </w:tabs>
              <w:ind w:right="80"/>
              <w:rPr>
                <w:rFonts w:ascii="Cambria" w:hAnsi="Cambria"/>
                <w:noProof/>
                <w:sz w:val="22"/>
                <w:szCs w:val="22"/>
                <w:lang w:val="lt-LT"/>
              </w:rPr>
            </w:pPr>
            <w:r w:rsidRPr="00181667">
              <w:rPr>
                <w:rFonts w:ascii="Cambria" w:hAnsi="Cambria"/>
                <w:noProof/>
                <w:color w:val="000000"/>
                <w:sz w:val="22"/>
                <w:szCs w:val="22"/>
                <w:lang w:val="lt-LT"/>
              </w:rPr>
              <w:t xml:space="preserve">Tūrinių ir švirkštinių pompų sistemų integracija </w:t>
            </w:r>
            <w:r w:rsidRPr="00181667">
              <w:rPr>
                <w:rFonts w:ascii="Cambria" w:hAnsi="Cambria"/>
                <w:noProof/>
                <w:sz w:val="22"/>
                <w:szCs w:val="22"/>
                <w:lang w:val="lt-LT"/>
              </w:rPr>
              <w:t xml:space="preserve">į </w:t>
            </w:r>
            <w:r w:rsidRPr="00181667">
              <w:rPr>
                <w:rFonts w:ascii="Cambria" w:hAnsi="Cambria"/>
                <w:bCs/>
                <w:noProof/>
                <w:sz w:val="22"/>
                <w:szCs w:val="22"/>
                <w:lang w:val="lt-LT"/>
              </w:rPr>
              <w:t>Vaikų intensyviosios terapijos skyriuje naudojamą</w:t>
            </w:r>
            <w:r w:rsidRPr="00181667">
              <w:rPr>
                <w:rFonts w:ascii="Cambria" w:hAnsi="Cambria"/>
                <w:noProof/>
                <w:sz w:val="22"/>
                <w:szCs w:val="22"/>
                <w:lang w:val="lt-LT"/>
              </w:rPr>
              <w:t xml:space="preserve"> gamintojo </w:t>
            </w:r>
            <w:r w:rsidRPr="00181667">
              <w:rPr>
                <w:rFonts w:ascii="Cambria" w:hAnsi="Cambria"/>
                <w:bCs/>
                <w:noProof/>
                <w:sz w:val="22"/>
                <w:szCs w:val="22"/>
                <w:lang w:val="lt-LT"/>
              </w:rPr>
              <w:t xml:space="preserve">„Mindray“ </w:t>
            </w:r>
            <w:r w:rsidRPr="00181667">
              <w:rPr>
                <w:rFonts w:ascii="Cambria" w:hAnsi="Cambria"/>
                <w:noProof/>
                <w:sz w:val="22"/>
                <w:szCs w:val="22"/>
                <w:lang w:val="lt-LT"/>
              </w:rPr>
              <w:t>centrinę monitoravimo stotį, užtikrinant:</w:t>
            </w:r>
          </w:p>
          <w:p w:rsidR="00F05741" w:rsidRPr="00181667" w:rsidRDefault="00F05741" w:rsidP="00A94893">
            <w:pPr>
              <w:tabs>
                <w:tab w:val="left" w:pos="14175"/>
              </w:tabs>
              <w:ind w:right="80"/>
              <w:rPr>
                <w:rFonts w:ascii="Cambria" w:hAnsi="Cambria"/>
                <w:noProof/>
                <w:sz w:val="22"/>
                <w:szCs w:val="22"/>
                <w:lang w:val="lt-LT"/>
              </w:rPr>
            </w:pPr>
            <w:r w:rsidRPr="00181667">
              <w:rPr>
                <w:rFonts w:ascii="Cambria" w:hAnsi="Cambria"/>
                <w:noProof/>
                <w:sz w:val="22"/>
                <w:szCs w:val="22"/>
                <w:lang w:val="lt-LT"/>
              </w:rPr>
              <w:t>1. Galimybę siųsti aliarmo signalus į centrinę monitoravimo stotį;</w:t>
            </w:r>
          </w:p>
          <w:p w:rsidR="00F05741" w:rsidRPr="00181667" w:rsidRDefault="00F05741" w:rsidP="00A94893">
            <w:pPr>
              <w:tabs>
                <w:tab w:val="left" w:pos="14175"/>
              </w:tabs>
              <w:ind w:right="80"/>
              <w:rPr>
                <w:rFonts w:ascii="Cambria" w:hAnsi="Cambria"/>
                <w:noProof/>
                <w:sz w:val="22"/>
                <w:szCs w:val="22"/>
                <w:lang w:val="lt-LT"/>
              </w:rPr>
            </w:pPr>
            <w:r w:rsidRPr="00181667">
              <w:rPr>
                <w:rFonts w:ascii="Cambria" w:hAnsi="Cambria"/>
                <w:noProof/>
                <w:sz w:val="22"/>
                <w:szCs w:val="22"/>
                <w:lang w:val="lt-LT"/>
              </w:rPr>
              <w:t>2. Galimybę realiuoju laiku atvaizduoti infuzijos parametrus tame pačiame ekrane kartu su paciento monitoriaus rodmenimis.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5741" w:rsidRPr="00181667" w:rsidRDefault="00F05741" w:rsidP="00A94893">
            <w:pPr>
              <w:tabs>
                <w:tab w:val="left" w:pos="14175"/>
              </w:tabs>
              <w:ind w:right="-92"/>
              <w:jc w:val="center"/>
              <w:rPr>
                <w:rFonts w:ascii="Cambria" w:hAnsi="Cambria"/>
                <w:noProof/>
                <w:color w:val="000000"/>
                <w:sz w:val="22"/>
                <w:szCs w:val="22"/>
                <w:lang w:val="lt-LT"/>
              </w:rPr>
            </w:pPr>
            <w:r w:rsidRPr="00181667">
              <w:rPr>
                <w:rFonts w:ascii="Cambria" w:hAnsi="Cambria"/>
                <w:noProof/>
                <w:color w:val="000000"/>
                <w:sz w:val="22"/>
                <w:szCs w:val="22"/>
                <w:lang w:val="lt-LT"/>
              </w:rPr>
              <w:t xml:space="preserve">Statinis: </w:t>
            </w:r>
          </w:p>
          <w:p w:rsidR="00F05741" w:rsidRPr="00181667" w:rsidRDefault="00F05741" w:rsidP="00A94893">
            <w:pPr>
              <w:tabs>
                <w:tab w:val="left" w:pos="14175"/>
              </w:tabs>
              <w:ind w:right="-92"/>
              <w:jc w:val="center"/>
              <w:rPr>
                <w:rFonts w:ascii="Cambria" w:hAnsi="Cambria"/>
                <w:noProof/>
                <w:color w:val="000000"/>
                <w:sz w:val="22"/>
                <w:szCs w:val="22"/>
                <w:lang w:val="lt-LT"/>
              </w:rPr>
            </w:pPr>
            <w:r w:rsidRPr="00181667">
              <w:rPr>
                <w:rFonts w:ascii="Cambria" w:hAnsi="Cambria"/>
                <w:noProof/>
                <w:color w:val="000000"/>
                <w:sz w:val="22"/>
                <w:szCs w:val="22"/>
                <w:lang w:val="lt-LT"/>
              </w:rPr>
              <w:t>(taip/ne)</w:t>
            </w:r>
          </w:p>
          <w:p w:rsidR="00F05741" w:rsidRPr="00181667" w:rsidRDefault="00F05741" w:rsidP="00A94893">
            <w:pPr>
              <w:tabs>
                <w:tab w:val="left" w:pos="14175"/>
              </w:tabs>
              <w:ind w:right="-92"/>
              <w:jc w:val="center"/>
              <w:rPr>
                <w:rFonts w:ascii="Cambria" w:hAnsi="Cambria"/>
                <w:noProof/>
                <w:color w:val="000000"/>
                <w:sz w:val="22"/>
                <w:szCs w:val="22"/>
                <w:lang w:val="lt-LT"/>
              </w:rPr>
            </w:pP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5741" w:rsidRPr="00181667" w:rsidRDefault="00F05741" w:rsidP="00A94893">
            <w:pPr>
              <w:tabs>
                <w:tab w:val="left" w:pos="14175"/>
              </w:tabs>
              <w:ind w:right="-92"/>
              <w:jc w:val="center"/>
              <w:rPr>
                <w:rFonts w:ascii="Cambria" w:hAnsi="Cambria"/>
                <w:b/>
                <w:bCs/>
                <w:noProof/>
                <w:color w:val="000000"/>
                <w:sz w:val="22"/>
                <w:szCs w:val="22"/>
                <w:lang w:val="lt-LT"/>
              </w:rPr>
            </w:pPr>
            <w:r w:rsidRPr="00181667">
              <w:rPr>
                <w:rFonts w:ascii="Cambria" w:hAnsi="Cambria"/>
                <w:noProof/>
                <w:color w:val="000000"/>
                <w:sz w:val="22"/>
                <w:szCs w:val="22"/>
                <w:lang w:val="lt-LT"/>
              </w:rPr>
              <w:t>L</w:t>
            </w:r>
            <w:r w:rsidRPr="00181667">
              <w:rPr>
                <w:rFonts w:ascii="Cambria" w:hAnsi="Cambria"/>
                <w:noProof/>
                <w:color w:val="000000"/>
                <w:sz w:val="22"/>
                <w:szCs w:val="22"/>
                <w:vertAlign w:val="subscript"/>
                <w:lang w:val="lt-LT"/>
              </w:rPr>
              <w:t>1</w:t>
            </w:r>
            <w:r w:rsidRPr="00181667">
              <w:rPr>
                <w:rFonts w:ascii="Cambria" w:hAnsi="Cambria"/>
                <w:noProof/>
                <w:color w:val="000000"/>
                <w:sz w:val="22"/>
                <w:szCs w:val="22"/>
                <w:lang w:val="lt-LT"/>
              </w:rPr>
              <w:t xml:space="preserve"> = 1</w:t>
            </w:r>
          </w:p>
        </w:tc>
        <w:tc>
          <w:tcPr>
            <w:tcW w:w="2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05741" w:rsidRPr="00181667" w:rsidRDefault="00F05741" w:rsidP="00A94893">
            <w:pPr>
              <w:jc w:val="center"/>
              <w:rPr>
                <w:rFonts w:ascii="Cambria" w:eastAsia="Times New Roman" w:hAnsi="Cambria"/>
                <w:noProof/>
                <w:color w:val="7F7F7F" w:themeColor="text1" w:themeTint="80"/>
                <w:sz w:val="22"/>
                <w:szCs w:val="22"/>
                <w:lang w:val="lt-LT"/>
              </w:rPr>
            </w:pPr>
            <w:r w:rsidRPr="00181667">
              <w:rPr>
                <w:rFonts w:ascii="Cambria" w:eastAsia="Times New Roman" w:hAnsi="Cambria"/>
                <w:noProof/>
                <w:color w:val="7F7F7F" w:themeColor="text1" w:themeTint="80"/>
                <w:sz w:val="22"/>
                <w:szCs w:val="22"/>
                <w:lang w:val="lt-LT"/>
              </w:rPr>
              <w:t>Įrašyti parametro vertę:</w:t>
            </w:r>
          </w:p>
          <w:p w:rsidR="00F05741" w:rsidRPr="00181667" w:rsidRDefault="00F05741" w:rsidP="00A94893">
            <w:pPr>
              <w:tabs>
                <w:tab w:val="left" w:pos="14175"/>
              </w:tabs>
              <w:ind w:right="-92"/>
              <w:jc w:val="center"/>
              <w:rPr>
                <w:rFonts w:ascii="Cambria" w:hAnsi="Cambria"/>
                <w:noProof/>
                <w:color w:val="000000"/>
                <w:sz w:val="22"/>
                <w:szCs w:val="22"/>
                <w:lang w:val="lt-LT"/>
              </w:rPr>
            </w:pPr>
            <w:r w:rsidRPr="00181667">
              <w:rPr>
                <w:rFonts w:ascii="Cambria" w:eastAsia="Times New Roman" w:hAnsi="Cambria"/>
                <w:noProof/>
                <w:color w:val="7F7F7F" w:themeColor="text1" w:themeTint="80"/>
                <w:sz w:val="22"/>
                <w:szCs w:val="22"/>
                <w:lang w:val="lt-LT"/>
              </w:rPr>
              <w:t>taip/ne</w:t>
            </w:r>
          </w:p>
        </w:tc>
      </w:tr>
    </w:tbl>
    <w:p w:rsidR="00F05741" w:rsidRPr="00181667" w:rsidRDefault="00F05741" w:rsidP="00F05741">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F05741" w:rsidRPr="00181667" w:rsidRDefault="00F05741" w:rsidP="00F05741">
      <w:pPr>
        <w:shd w:val="clear" w:color="auto" w:fill="FFFFFF"/>
        <w:jc w:val="both"/>
        <w:rPr>
          <w:rFonts w:ascii="Cambria" w:hAnsi="Cambria"/>
          <w:noProof/>
          <w:sz w:val="22"/>
          <w:szCs w:val="22"/>
          <w:lang w:val="lt-LT"/>
        </w:rPr>
      </w:pPr>
      <w:r w:rsidRPr="00181667">
        <w:rPr>
          <w:rFonts w:ascii="Cambria" w:hAnsi="Cambria"/>
          <w:noProof/>
          <w:sz w:val="22"/>
          <w:szCs w:val="22"/>
          <w:lang w:val="lt-LT"/>
        </w:rPr>
        <w:t>Pasiūlymo ekonominio naudingumo (kainos ir kokybės santykio) apskaičiavimo tvarka (formulė) yra pateikiama žemiau:</w:t>
      </w:r>
    </w:p>
    <w:p w:rsidR="00F05741" w:rsidRPr="00181667" w:rsidRDefault="00F05741" w:rsidP="00F05741">
      <w:pPr>
        <w:pStyle w:val="Sraopastraipa"/>
        <w:shd w:val="clear" w:color="auto" w:fill="FFFFFF"/>
        <w:ind w:left="0"/>
        <w:jc w:val="both"/>
        <w:rPr>
          <w:rFonts w:ascii="Cambria" w:hAnsi="Cambria"/>
          <w:noProof/>
        </w:rPr>
      </w:pPr>
      <w:r w:rsidRPr="00181667">
        <w:rPr>
          <w:rFonts w:ascii="Cambria" w:hAnsi="Cambria"/>
          <w:noProof/>
        </w:rPr>
        <w:t>1. Pasiūlymo ekonominis naudingumas (E) apskaičiuojamas sudedant tiekėjo pasiūlymo kainos (K) ir techninių pranašumų (T) balus:</w:t>
      </w:r>
    </w:p>
    <w:p w:rsidR="00F05741" w:rsidRPr="00181667" w:rsidRDefault="00F05741" w:rsidP="00F05741">
      <w:pPr>
        <w:shd w:val="clear" w:color="auto" w:fill="FFFFFF"/>
        <w:jc w:val="center"/>
        <w:rPr>
          <w:rFonts w:ascii="Cambria" w:hAnsi="Cambria"/>
          <w:noProof/>
          <w:sz w:val="22"/>
          <w:szCs w:val="22"/>
          <w:lang w:val="lt-LT"/>
        </w:rPr>
      </w:pPr>
      <w:r w:rsidRPr="00181667">
        <w:rPr>
          <w:rFonts w:ascii="Cambria" w:hAnsi="Cambria"/>
          <w:i/>
          <w:iCs/>
          <w:noProof/>
          <w:sz w:val="22"/>
          <w:szCs w:val="22"/>
          <w:lang w:val="lt-LT"/>
        </w:rPr>
        <w:t xml:space="preserve">E </w:t>
      </w:r>
      <w:r w:rsidRPr="00181667">
        <w:rPr>
          <w:rFonts w:ascii="Cambria" w:hAnsi="Cambria"/>
          <w:noProof/>
          <w:sz w:val="22"/>
          <w:szCs w:val="22"/>
          <w:lang w:val="lt-LT"/>
        </w:rPr>
        <w:t xml:space="preserve">= </w:t>
      </w:r>
      <w:r w:rsidRPr="00181667">
        <w:rPr>
          <w:rFonts w:ascii="Cambria" w:hAnsi="Cambria"/>
          <w:i/>
          <w:noProof/>
          <w:sz w:val="22"/>
          <w:szCs w:val="22"/>
          <w:lang w:val="lt-LT"/>
        </w:rPr>
        <w:t>K</w:t>
      </w:r>
      <w:r w:rsidRPr="00181667">
        <w:rPr>
          <w:rFonts w:ascii="Cambria" w:hAnsi="Cambria"/>
          <w:i/>
          <w:iCs/>
          <w:noProof/>
          <w:sz w:val="22"/>
          <w:szCs w:val="22"/>
          <w:lang w:val="lt-LT"/>
        </w:rPr>
        <w:t>+ T</w:t>
      </w:r>
    </w:p>
    <w:p w:rsidR="00F05741" w:rsidRPr="00181667" w:rsidRDefault="00F05741" w:rsidP="00F05741">
      <w:pPr>
        <w:pStyle w:val="Sraopastraipa"/>
        <w:shd w:val="clear" w:color="auto" w:fill="FFFFFF"/>
        <w:ind w:left="0"/>
        <w:jc w:val="both"/>
        <w:rPr>
          <w:rFonts w:ascii="Cambria" w:hAnsi="Cambria"/>
          <w:noProof/>
        </w:rPr>
      </w:pPr>
      <w:r w:rsidRPr="00181667">
        <w:rPr>
          <w:rFonts w:ascii="Cambria" w:hAnsi="Cambria"/>
          <w:noProof/>
        </w:rPr>
        <w:t>2. Pasiūlymo kainos (K) balai apskaičiuojami mažiausios pasiūlytos kainos (K</w:t>
      </w:r>
      <w:r w:rsidRPr="00181667">
        <w:rPr>
          <w:rFonts w:ascii="Cambria" w:hAnsi="Cambria"/>
          <w:noProof/>
          <w:vertAlign w:val="subscript"/>
        </w:rPr>
        <w:t>min</w:t>
      </w:r>
      <w:r w:rsidRPr="00181667">
        <w:rPr>
          <w:rFonts w:ascii="Cambria" w:hAnsi="Cambria"/>
          <w:noProof/>
        </w:rPr>
        <w:t>) ir vertinamo pasiūlymo kainos (K</w:t>
      </w:r>
      <w:r w:rsidRPr="00181667">
        <w:rPr>
          <w:rFonts w:ascii="Cambria" w:hAnsi="Cambria"/>
          <w:noProof/>
          <w:vertAlign w:val="subscript"/>
        </w:rPr>
        <w:t>v</w:t>
      </w:r>
      <w:r w:rsidRPr="00181667">
        <w:rPr>
          <w:rFonts w:ascii="Cambria" w:hAnsi="Cambria"/>
          <w:noProof/>
        </w:rPr>
        <w:t>) santykį padauginant iš kainos lyginamojo svorio (X):</w:t>
      </w:r>
    </w:p>
    <w:p w:rsidR="00F05741" w:rsidRPr="00181667" w:rsidRDefault="00F05741" w:rsidP="00F05741">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F05741" w:rsidRPr="00181667" w:rsidRDefault="00F05741" w:rsidP="00F05741">
      <w:pPr>
        <w:jc w:val="both"/>
        <w:rPr>
          <w:rFonts w:ascii="Cambria" w:hAnsi="Cambria"/>
          <w:noProof/>
          <w:color w:val="000000" w:themeColor="text1"/>
          <w:sz w:val="22"/>
          <w:szCs w:val="22"/>
          <w:bdr w:val="none" w:sz="0" w:space="0" w:color="auto" w:frame="1"/>
          <w:lang w:val="lt-LT"/>
        </w:rPr>
      </w:pPr>
      <w:r w:rsidRPr="00181667">
        <w:rPr>
          <w:rFonts w:ascii="Cambria" w:hAnsi="Cambria"/>
          <w:noProof/>
          <w:color w:val="000000" w:themeColor="text1"/>
          <w:sz w:val="22"/>
          <w:szCs w:val="22"/>
          <w:bdr w:val="none" w:sz="0" w:space="0" w:color="auto" w:frame="1"/>
          <w:lang w:val="lt-LT"/>
        </w:rPr>
        <w:t>3. Siūlomo objekto T</w:t>
      </w:r>
      <w:r w:rsidRPr="00181667">
        <w:rPr>
          <w:rFonts w:ascii="Cambria" w:hAnsi="Cambria"/>
          <w:noProof/>
          <w:color w:val="000000" w:themeColor="text1"/>
          <w:sz w:val="22"/>
          <w:szCs w:val="22"/>
          <w:bdr w:val="none" w:sz="0" w:space="0" w:color="auto" w:frame="1"/>
          <w:vertAlign w:val="subscript"/>
          <w:lang w:val="lt-LT"/>
        </w:rPr>
        <w:t>i</w:t>
      </w:r>
      <w:r w:rsidRPr="00181667">
        <w:rPr>
          <w:rFonts w:ascii="Cambria" w:hAnsi="Cambria"/>
          <w:noProof/>
          <w:color w:val="000000" w:themeColor="text1"/>
          <w:sz w:val="22"/>
          <w:szCs w:val="22"/>
          <w:bdr w:val="none" w:sz="0" w:space="0" w:color="auto" w:frame="1"/>
          <w:lang w:val="lt-LT"/>
        </w:rPr>
        <w:t xml:space="preserve"> techninis parametras aprašomas statiniu vertinimo būdu ir neturi skaitinių išraiškų (yra arba nėra), todėl parametro įvertinimas apskaičiuojamas pagal formulę:</w:t>
      </w:r>
    </w:p>
    <w:p w:rsidR="00F05741" w:rsidRPr="00181667" w:rsidRDefault="00F05741" w:rsidP="00F05741">
      <w:pPr>
        <w:ind w:firstLine="1134"/>
        <w:jc w:val="both"/>
        <w:rPr>
          <w:rFonts w:ascii="Cambria" w:hAnsi="Cambria"/>
          <w:noProof/>
          <w:color w:val="000000" w:themeColor="text1"/>
          <w:sz w:val="22"/>
          <w:szCs w:val="22"/>
          <w:bdr w:val="none" w:sz="0" w:space="0" w:color="auto" w:frame="1"/>
          <w:lang w:val="lt-LT"/>
        </w:rPr>
      </w:pPr>
      <w:r w:rsidRPr="00181667">
        <w:rPr>
          <w:rFonts w:ascii="Cambria" w:hAnsi="Cambria"/>
          <w:noProof/>
          <w:color w:val="000000" w:themeColor="text1"/>
          <w:sz w:val="22"/>
          <w:szCs w:val="22"/>
          <w:bdr w:val="none" w:sz="0" w:space="0" w:color="auto" w:frame="1"/>
          <w:lang w:val="lt-LT"/>
        </w:rPr>
        <w:t xml:space="preserve">Jei siūlomas objektas turi nurodytą pranašumą: </w:t>
      </w:r>
      <w:r w:rsidRPr="00181667">
        <w:rPr>
          <w:rFonts w:ascii="Cambria" w:hAnsi="Cambria"/>
          <w:i/>
          <w:noProof/>
          <w:color w:val="000000" w:themeColor="text1"/>
          <w:sz w:val="22"/>
          <w:szCs w:val="22"/>
          <w:bdr w:val="none" w:sz="0" w:space="0" w:color="auto" w:frame="1"/>
          <w:lang w:val="lt-LT"/>
        </w:rPr>
        <w:t>T</w:t>
      </w:r>
      <w:r w:rsidRPr="00181667">
        <w:rPr>
          <w:rFonts w:ascii="Cambria" w:hAnsi="Cambria"/>
          <w:i/>
          <w:noProof/>
          <w:color w:val="000000" w:themeColor="text1"/>
          <w:sz w:val="22"/>
          <w:szCs w:val="22"/>
          <w:bdr w:val="none" w:sz="0" w:space="0" w:color="auto" w:frame="1"/>
          <w:vertAlign w:val="subscript"/>
          <w:lang w:val="lt-LT"/>
        </w:rPr>
        <w:t>i</w:t>
      </w:r>
      <w:r w:rsidRPr="00181667">
        <w:rPr>
          <w:rFonts w:ascii="Cambria" w:hAnsi="Cambria"/>
          <w:i/>
          <w:noProof/>
          <w:color w:val="000000" w:themeColor="text1"/>
          <w:sz w:val="22"/>
          <w:szCs w:val="22"/>
          <w:bdr w:val="none" w:sz="0" w:space="0" w:color="auto" w:frame="1"/>
          <w:lang w:val="lt-LT"/>
        </w:rPr>
        <w:t xml:space="preserve"> = L</w:t>
      </w:r>
      <w:r w:rsidRPr="00181667">
        <w:rPr>
          <w:rFonts w:ascii="Cambria" w:hAnsi="Cambria"/>
          <w:i/>
          <w:noProof/>
          <w:color w:val="000000" w:themeColor="text1"/>
          <w:sz w:val="22"/>
          <w:szCs w:val="22"/>
          <w:bdr w:val="none" w:sz="0" w:space="0" w:color="auto" w:frame="1"/>
          <w:vertAlign w:val="subscript"/>
          <w:lang w:val="lt-LT"/>
        </w:rPr>
        <w:t>i</w:t>
      </w:r>
      <w:r w:rsidRPr="00181667">
        <w:rPr>
          <w:rFonts w:ascii="Cambria" w:hAnsi="Cambria"/>
          <w:i/>
          <w:noProof/>
          <w:color w:val="000000" w:themeColor="text1"/>
          <w:sz w:val="22"/>
          <w:szCs w:val="22"/>
          <w:bdr w:val="none" w:sz="0" w:space="0" w:color="auto" w:frame="1"/>
          <w:lang w:val="lt-LT"/>
        </w:rPr>
        <w:t>;</w:t>
      </w:r>
    </w:p>
    <w:p w:rsidR="00F05741" w:rsidRPr="00181667" w:rsidRDefault="00F05741" w:rsidP="00F05741">
      <w:pPr>
        <w:ind w:firstLine="1134"/>
        <w:rPr>
          <w:rFonts w:ascii="Cambria" w:hAnsi="Cambria"/>
          <w:i/>
          <w:noProof/>
          <w:color w:val="000000" w:themeColor="text1"/>
          <w:sz w:val="22"/>
          <w:szCs w:val="22"/>
          <w:bdr w:val="none" w:sz="0" w:space="0" w:color="auto" w:frame="1"/>
          <w:lang w:val="lt-LT"/>
        </w:rPr>
      </w:pPr>
      <w:r w:rsidRPr="00181667">
        <w:rPr>
          <w:rFonts w:ascii="Cambria" w:hAnsi="Cambria"/>
          <w:noProof/>
          <w:color w:val="000000" w:themeColor="text1"/>
          <w:sz w:val="22"/>
          <w:szCs w:val="22"/>
          <w:bdr w:val="none" w:sz="0" w:space="0" w:color="auto" w:frame="1"/>
          <w:lang w:val="lt-LT"/>
        </w:rPr>
        <w:t xml:space="preserve">Jei siūlomas objektas neturi nurodyto pranašumo: </w:t>
      </w:r>
      <w:r w:rsidRPr="00181667">
        <w:rPr>
          <w:rFonts w:ascii="Cambria" w:hAnsi="Cambria"/>
          <w:i/>
          <w:noProof/>
          <w:color w:val="000000" w:themeColor="text1"/>
          <w:sz w:val="22"/>
          <w:szCs w:val="22"/>
          <w:bdr w:val="none" w:sz="0" w:space="0" w:color="auto" w:frame="1"/>
          <w:lang w:val="lt-LT"/>
        </w:rPr>
        <w:t>T</w:t>
      </w:r>
      <w:r w:rsidRPr="00181667">
        <w:rPr>
          <w:rFonts w:ascii="Cambria" w:hAnsi="Cambria"/>
          <w:i/>
          <w:noProof/>
          <w:color w:val="000000" w:themeColor="text1"/>
          <w:sz w:val="22"/>
          <w:szCs w:val="22"/>
          <w:bdr w:val="none" w:sz="0" w:space="0" w:color="auto" w:frame="1"/>
          <w:vertAlign w:val="subscript"/>
          <w:lang w:val="lt-LT"/>
        </w:rPr>
        <w:t>i</w:t>
      </w:r>
      <w:r w:rsidRPr="00181667">
        <w:rPr>
          <w:rFonts w:ascii="Cambria" w:hAnsi="Cambria"/>
          <w:i/>
          <w:noProof/>
          <w:color w:val="000000" w:themeColor="text1"/>
          <w:sz w:val="22"/>
          <w:szCs w:val="22"/>
          <w:bdr w:val="none" w:sz="0" w:space="0" w:color="auto" w:frame="1"/>
          <w:lang w:val="lt-LT"/>
        </w:rPr>
        <w:t xml:space="preserve"> = L</w:t>
      </w:r>
      <w:r w:rsidRPr="00181667">
        <w:rPr>
          <w:rFonts w:ascii="Cambria" w:hAnsi="Cambria"/>
          <w:i/>
          <w:noProof/>
          <w:color w:val="000000" w:themeColor="text1"/>
          <w:sz w:val="22"/>
          <w:szCs w:val="22"/>
          <w:bdr w:val="none" w:sz="0" w:space="0" w:color="auto" w:frame="1"/>
          <w:vertAlign w:val="subscript"/>
          <w:lang w:val="lt-LT"/>
        </w:rPr>
        <w:t>i</w:t>
      </w:r>
      <w:r w:rsidRPr="00181667">
        <w:rPr>
          <w:rFonts w:ascii="Cambria" w:hAnsi="Cambria"/>
          <w:i/>
          <w:noProof/>
          <w:color w:val="000000" w:themeColor="text1"/>
          <w:sz w:val="22"/>
          <w:szCs w:val="22"/>
          <w:bdr w:val="none" w:sz="0" w:space="0" w:color="auto" w:frame="1"/>
          <w:lang w:val="lt-LT"/>
        </w:rPr>
        <w:t>= 0;</w:t>
      </w:r>
    </w:p>
    <w:p w:rsidR="00F05741" w:rsidRPr="00181667" w:rsidRDefault="00F05741" w:rsidP="00F05741">
      <w:pPr>
        <w:shd w:val="clear" w:color="auto" w:fill="FFFFFF"/>
        <w:jc w:val="both"/>
        <w:rPr>
          <w:rFonts w:ascii="Cambria" w:hAnsi="Cambria"/>
          <w:noProof/>
          <w:color w:val="000000" w:themeColor="text1"/>
          <w:sz w:val="22"/>
          <w:szCs w:val="22"/>
          <w:bdr w:val="none" w:sz="0" w:space="0" w:color="auto" w:frame="1"/>
          <w:lang w:val="lt-LT"/>
        </w:rPr>
      </w:pPr>
    </w:p>
    <w:p w:rsidR="00F05741" w:rsidRPr="00181667" w:rsidRDefault="00F05741" w:rsidP="00F05741">
      <w:pPr>
        <w:shd w:val="clear" w:color="auto" w:fill="FFFFFF"/>
        <w:jc w:val="both"/>
        <w:rPr>
          <w:rFonts w:ascii="Cambria" w:hAnsi="Cambria"/>
          <w:noProof/>
          <w:color w:val="000000" w:themeColor="text1"/>
          <w:sz w:val="22"/>
          <w:szCs w:val="22"/>
          <w:bdr w:val="none" w:sz="0" w:space="0" w:color="auto" w:frame="1"/>
          <w:lang w:val="lt-LT"/>
        </w:rPr>
      </w:pPr>
      <w:r w:rsidRPr="00181667">
        <w:rPr>
          <w:rFonts w:ascii="Cambria" w:hAnsi="Cambria"/>
          <w:noProof/>
          <w:color w:val="000000" w:themeColor="text1"/>
          <w:sz w:val="22"/>
          <w:szCs w:val="22"/>
          <w:bdr w:val="none" w:sz="0" w:space="0" w:color="auto" w:frame="1"/>
          <w:lang w:val="lt-LT"/>
        </w:rPr>
        <w:t>Techninių pranašumų (T) balai apskaičiuojami visų techninių kriterijų parametrų įvertinimų sumą padauginant iš techninių pranašumų lyginamojo svorio (Y):</w:t>
      </w:r>
    </w:p>
    <w:p w:rsidR="00F05741" w:rsidRPr="00181667" w:rsidRDefault="00F05741" w:rsidP="00F05741">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1</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F05741" w:rsidRPr="00181667" w:rsidRDefault="00F05741" w:rsidP="00F05741">
      <w:pPr>
        <w:ind w:firstLine="426"/>
        <w:jc w:val="both"/>
        <w:rPr>
          <w:rFonts w:ascii="Cambria" w:hAnsi="Cambria"/>
          <w:noProof/>
          <w:color w:val="000000" w:themeColor="text1"/>
          <w:sz w:val="22"/>
          <w:szCs w:val="22"/>
          <w:lang w:val="lt-LT" w:bidi="hi-IN"/>
        </w:rPr>
      </w:pPr>
    </w:p>
    <w:p w:rsidR="00F05741" w:rsidRPr="00181667" w:rsidRDefault="00F05741" w:rsidP="00F05741">
      <w:pPr>
        <w:ind w:firstLine="426"/>
        <w:jc w:val="both"/>
        <w:rPr>
          <w:rFonts w:ascii="Cambria" w:eastAsia="Calibri" w:hAnsi="Cambria"/>
          <w:noProof/>
          <w:color w:val="000000" w:themeColor="text1"/>
          <w:sz w:val="22"/>
          <w:szCs w:val="22"/>
        </w:rPr>
      </w:pPr>
      <w:r w:rsidRPr="00181667">
        <w:rPr>
          <w:rFonts w:ascii="Cambria" w:hAnsi="Cambria"/>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F05741" w:rsidRPr="00181667" w:rsidRDefault="00F05741" w:rsidP="00F05741">
      <w:pPr>
        <w:ind w:firstLine="426"/>
        <w:jc w:val="both"/>
        <w:rPr>
          <w:rFonts w:ascii="Cambria" w:eastAsia="Times New Roman" w:hAnsi="Cambria"/>
          <w:noProof/>
          <w:color w:val="000000" w:themeColor="text1"/>
          <w:sz w:val="22"/>
          <w:szCs w:val="22"/>
          <w:lang w:val="lt-LT"/>
        </w:rPr>
      </w:pPr>
      <w:r w:rsidRPr="00181667">
        <w:rPr>
          <w:rFonts w:ascii="Cambria" w:eastAsia="Calibri" w:hAnsi="Cambria"/>
          <w:noProof/>
          <w:color w:val="000000" w:themeColor="text1"/>
          <w:sz w:val="22"/>
          <w:szCs w:val="22"/>
          <w:lang w:val="lt-LT"/>
        </w:rPr>
        <w:t>Tais atvejais, kai kelių dalyvių pasiūlymų ekonominis naudingumas yra vienodas, nustatant pasiūlymų eilę, pirmesnis į šią eilę įrašomas dalyvis, kurio pasiūlymas pateiktas anksčiausiai.</w:t>
      </w:r>
      <w:r w:rsidRPr="00181667">
        <w:rPr>
          <w:rFonts w:ascii="Cambria" w:hAnsi="Cambria"/>
          <w:noProof/>
          <w:color w:val="000000" w:themeColor="text1"/>
          <w:sz w:val="22"/>
          <w:szCs w:val="22"/>
          <w:lang w:val="lt-LT"/>
        </w:rPr>
        <w:t xml:space="preserve"> </w:t>
      </w:r>
    </w:p>
    <w:p w:rsidR="00F05741" w:rsidRDefault="00F05741" w:rsidP="00A56EA4">
      <w:pPr>
        <w:ind w:left="567"/>
        <w:jc w:val="both"/>
        <w:rPr>
          <w:rFonts w:asciiTheme="majorHAnsi" w:hAnsiTheme="majorHAnsi"/>
          <w:sz w:val="22"/>
          <w:szCs w:val="22"/>
        </w:rPr>
      </w:pPr>
    </w:p>
    <w:p w:rsidR="00A56EA4" w:rsidRPr="00035972" w:rsidRDefault="00A56EA4" w:rsidP="00A56EA4">
      <w:pPr>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lastRenderedPageBreak/>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w:t>
      </w:r>
      <w:r w:rsidRPr="003714C3">
        <w:rPr>
          <w:rFonts w:asciiTheme="majorHAnsi" w:hAnsiTheme="majorHAnsi"/>
          <w:bCs/>
        </w:rPr>
        <w:lastRenderedPageBreak/>
        <w:t xml:space="preserve">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26796E">
        <w:rPr>
          <w:rFonts w:asciiTheme="majorHAnsi" w:hAnsiTheme="majorHAnsi"/>
          <w:b/>
          <w:bCs/>
          <w:sz w:val="22"/>
          <w:szCs w:val="22"/>
          <w:lang w:val="lt-LT"/>
        </w:rPr>
        <w:t xml:space="preserve">TŪRINIŲ </w:t>
      </w:r>
      <w:r w:rsidR="00095D96">
        <w:rPr>
          <w:rFonts w:asciiTheme="majorHAnsi" w:hAnsiTheme="majorHAnsi"/>
          <w:b/>
          <w:bCs/>
          <w:sz w:val="22"/>
          <w:szCs w:val="22"/>
          <w:lang w:val="lt-LT"/>
        </w:rPr>
        <w:t xml:space="preserve">IR </w:t>
      </w:r>
      <w:r w:rsidR="0026796E">
        <w:rPr>
          <w:rFonts w:asciiTheme="majorHAnsi" w:hAnsiTheme="majorHAnsi"/>
          <w:b/>
          <w:bCs/>
          <w:sz w:val="22"/>
          <w:szCs w:val="22"/>
          <w:lang w:val="lt-LT"/>
        </w:rPr>
        <w:t>ŠVIRKŠTINIŲ POMPŲ SISTEMOS</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lastRenderedPageBreak/>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374A4A" w:rsidRPr="003714C3" w:rsidTr="00EA4078">
        <w:trPr>
          <w:trHeight w:val="510"/>
        </w:trPr>
        <w:tc>
          <w:tcPr>
            <w:tcW w:w="704" w:type="dxa"/>
            <w:vAlign w:val="center"/>
          </w:tcPr>
          <w:p w:rsidR="00374A4A" w:rsidRPr="003714C3" w:rsidRDefault="00374A4A" w:rsidP="00374A4A">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374A4A" w:rsidRPr="00181667" w:rsidRDefault="00374A4A" w:rsidP="00374A4A">
            <w:pPr>
              <w:tabs>
                <w:tab w:val="left" w:pos="14175"/>
              </w:tabs>
              <w:ind w:right="80"/>
              <w:rPr>
                <w:rFonts w:ascii="Cambria" w:hAnsi="Cambria"/>
                <w:noProof/>
                <w:sz w:val="22"/>
                <w:szCs w:val="22"/>
                <w:lang w:val="lt-LT"/>
              </w:rPr>
            </w:pPr>
            <w:r w:rsidRPr="00181667">
              <w:rPr>
                <w:rFonts w:ascii="Cambria" w:hAnsi="Cambria"/>
                <w:noProof/>
                <w:color w:val="000000"/>
                <w:sz w:val="22"/>
                <w:szCs w:val="22"/>
                <w:lang w:val="lt-LT"/>
              </w:rPr>
              <w:t xml:space="preserve">Tūrinių ir švirkštinių pompų sistemų integracija </w:t>
            </w:r>
            <w:r w:rsidRPr="00181667">
              <w:rPr>
                <w:rFonts w:ascii="Cambria" w:hAnsi="Cambria"/>
                <w:noProof/>
                <w:sz w:val="22"/>
                <w:szCs w:val="22"/>
                <w:lang w:val="lt-LT"/>
              </w:rPr>
              <w:t xml:space="preserve">į </w:t>
            </w:r>
            <w:r w:rsidRPr="00181667">
              <w:rPr>
                <w:rFonts w:ascii="Cambria" w:hAnsi="Cambria"/>
                <w:bCs/>
                <w:noProof/>
                <w:sz w:val="22"/>
                <w:szCs w:val="22"/>
                <w:lang w:val="lt-LT"/>
              </w:rPr>
              <w:t>Vaikų intensyviosios terapijos skyriuje naudojamą</w:t>
            </w:r>
            <w:r w:rsidRPr="00181667">
              <w:rPr>
                <w:rFonts w:ascii="Cambria" w:hAnsi="Cambria"/>
                <w:noProof/>
                <w:sz w:val="22"/>
                <w:szCs w:val="22"/>
                <w:lang w:val="lt-LT"/>
              </w:rPr>
              <w:t xml:space="preserve"> gamintojo </w:t>
            </w:r>
            <w:r w:rsidRPr="00181667">
              <w:rPr>
                <w:rFonts w:ascii="Cambria" w:hAnsi="Cambria"/>
                <w:bCs/>
                <w:noProof/>
                <w:sz w:val="22"/>
                <w:szCs w:val="22"/>
                <w:lang w:val="lt-LT"/>
              </w:rPr>
              <w:t xml:space="preserve">„Mindray“ </w:t>
            </w:r>
            <w:r w:rsidRPr="00181667">
              <w:rPr>
                <w:rFonts w:ascii="Cambria" w:hAnsi="Cambria"/>
                <w:noProof/>
                <w:sz w:val="22"/>
                <w:szCs w:val="22"/>
                <w:lang w:val="lt-LT"/>
              </w:rPr>
              <w:t>centrinę monitoravimo stotį, užtikrinant:</w:t>
            </w:r>
          </w:p>
          <w:p w:rsidR="00374A4A" w:rsidRPr="00181667" w:rsidRDefault="00374A4A" w:rsidP="00374A4A">
            <w:pPr>
              <w:tabs>
                <w:tab w:val="left" w:pos="14175"/>
              </w:tabs>
              <w:ind w:right="80"/>
              <w:rPr>
                <w:rFonts w:ascii="Cambria" w:hAnsi="Cambria"/>
                <w:noProof/>
                <w:sz w:val="22"/>
                <w:szCs w:val="22"/>
                <w:lang w:val="lt-LT"/>
              </w:rPr>
            </w:pPr>
            <w:r w:rsidRPr="00181667">
              <w:rPr>
                <w:rFonts w:ascii="Cambria" w:hAnsi="Cambria"/>
                <w:noProof/>
                <w:sz w:val="22"/>
                <w:szCs w:val="22"/>
                <w:lang w:val="lt-LT"/>
              </w:rPr>
              <w:t>1. Galimybę siųsti aliarmo signalus į centrinę monitoravimo stotį;</w:t>
            </w:r>
          </w:p>
          <w:p w:rsidR="00374A4A" w:rsidRPr="00181667" w:rsidRDefault="00374A4A" w:rsidP="00374A4A">
            <w:pPr>
              <w:tabs>
                <w:tab w:val="left" w:pos="14175"/>
              </w:tabs>
              <w:ind w:right="80"/>
              <w:rPr>
                <w:rFonts w:ascii="Cambria" w:hAnsi="Cambria"/>
                <w:noProof/>
                <w:sz w:val="22"/>
                <w:szCs w:val="22"/>
                <w:lang w:val="lt-LT"/>
              </w:rPr>
            </w:pPr>
            <w:r w:rsidRPr="00181667">
              <w:rPr>
                <w:rFonts w:ascii="Cambria" w:hAnsi="Cambria"/>
                <w:noProof/>
                <w:sz w:val="22"/>
                <w:szCs w:val="22"/>
                <w:lang w:val="lt-LT"/>
              </w:rPr>
              <w:t>2. Galimybę realiuoju laiku atvaizduoti infuzijos parametrus tame pačiame ekrane kartu su paciento monitoriaus rodmenimis.</w:t>
            </w:r>
          </w:p>
        </w:tc>
        <w:tc>
          <w:tcPr>
            <w:tcW w:w="2126" w:type="dxa"/>
            <w:vAlign w:val="center"/>
          </w:tcPr>
          <w:p w:rsidR="00374A4A" w:rsidRPr="003714C3" w:rsidRDefault="00374A4A" w:rsidP="00374A4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374A4A" w:rsidRPr="003714C3" w:rsidRDefault="00374A4A" w:rsidP="00374A4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374A4A" w:rsidRPr="003714C3" w:rsidRDefault="00374A4A" w:rsidP="00374A4A">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w:t>
            </w:r>
            <w:r w:rsidRPr="003714C3">
              <w:rPr>
                <w:rFonts w:asciiTheme="majorHAnsi" w:hAnsiTheme="majorHAnsi"/>
                <w:b/>
                <w:sz w:val="22"/>
                <w:szCs w:val="22"/>
                <w:u w:val="single"/>
                <w:lang w:eastAsia="lt-LT"/>
              </w:rPr>
              <w:lastRenderedPageBreak/>
              <w:t xml:space="preserve">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3D8" w:rsidRDefault="004A53D8" w:rsidP="00922417">
      <w:r>
        <w:separator/>
      </w:r>
    </w:p>
  </w:endnote>
  <w:endnote w:type="continuationSeparator" w:id="0">
    <w:p w:rsidR="004A53D8" w:rsidRDefault="004A53D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566" w:rsidRDefault="00687566">
    <w:pPr>
      <w:pStyle w:val="Porat"/>
      <w:jc w:val="right"/>
    </w:pPr>
  </w:p>
  <w:p w:rsidR="00687566" w:rsidRDefault="0068756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566" w:rsidRDefault="00687566">
    <w:pPr>
      <w:pStyle w:val="Porat"/>
      <w:jc w:val="right"/>
    </w:pPr>
  </w:p>
  <w:p w:rsidR="00687566" w:rsidRDefault="006875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3D8" w:rsidRDefault="004A53D8" w:rsidP="00922417">
      <w:r>
        <w:separator/>
      </w:r>
    </w:p>
  </w:footnote>
  <w:footnote w:type="continuationSeparator" w:id="0">
    <w:p w:rsidR="004A53D8" w:rsidRDefault="004A53D8" w:rsidP="00922417">
      <w:r>
        <w:continuationSeparator/>
      </w:r>
    </w:p>
  </w:footnote>
  <w:footnote w:id="1">
    <w:p w:rsidR="00687566" w:rsidRPr="00C54A7B" w:rsidRDefault="00687566"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87566" w:rsidRPr="00C54A7B" w:rsidRDefault="00687566" w:rsidP="00401D35">
      <w:pPr>
        <w:pStyle w:val="Puslapioinaostekstas"/>
        <w:numPr>
          <w:ilvl w:val="0"/>
          <w:numId w:val="6"/>
        </w:numPr>
        <w:rPr>
          <w:rFonts w:eastAsia="Yu Mincho"/>
          <w:i/>
          <w:iCs/>
        </w:rPr>
      </w:pPr>
      <w:r w:rsidRPr="00C54A7B">
        <w:rPr>
          <w:rFonts w:eastAsia="Yu Mincho"/>
          <w:i/>
          <w:iCs/>
        </w:rPr>
        <w:t xml:space="preserve">priesaikos deklaracija; </w:t>
      </w:r>
    </w:p>
    <w:p w:rsidR="00687566" w:rsidRDefault="00687566"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87566" w:rsidRPr="00551FCA" w:rsidRDefault="00687566"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D96"/>
    <w:rsid w:val="00095FCD"/>
    <w:rsid w:val="000968A8"/>
    <w:rsid w:val="000972EE"/>
    <w:rsid w:val="000A0E88"/>
    <w:rsid w:val="000A1AD3"/>
    <w:rsid w:val="000A1CBA"/>
    <w:rsid w:val="000A1E20"/>
    <w:rsid w:val="000A4A2D"/>
    <w:rsid w:val="000A671F"/>
    <w:rsid w:val="000A6E92"/>
    <w:rsid w:val="000A7C2C"/>
    <w:rsid w:val="000B34D7"/>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A4D"/>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6796E"/>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4A4A"/>
    <w:rsid w:val="00375E30"/>
    <w:rsid w:val="00380886"/>
    <w:rsid w:val="0038515A"/>
    <w:rsid w:val="00385857"/>
    <w:rsid w:val="00387D8F"/>
    <w:rsid w:val="00387DE6"/>
    <w:rsid w:val="00392274"/>
    <w:rsid w:val="003A54E7"/>
    <w:rsid w:val="003A55F7"/>
    <w:rsid w:val="003A56C6"/>
    <w:rsid w:val="003A66BF"/>
    <w:rsid w:val="003A74BA"/>
    <w:rsid w:val="003B1782"/>
    <w:rsid w:val="003B19E9"/>
    <w:rsid w:val="003B24ED"/>
    <w:rsid w:val="003B5040"/>
    <w:rsid w:val="003B554A"/>
    <w:rsid w:val="003B55D9"/>
    <w:rsid w:val="003C05AF"/>
    <w:rsid w:val="003C4A59"/>
    <w:rsid w:val="003C536E"/>
    <w:rsid w:val="003C6DEE"/>
    <w:rsid w:val="003D145B"/>
    <w:rsid w:val="003D22F8"/>
    <w:rsid w:val="003D3513"/>
    <w:rsid w:val="003D57DE"/>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523F0"/>
    <w:rsid w:val="00460EA2"/>
    <w:rsid w:val="00464C20"/>
    <w:rsid w:val="00470DEE"/>
    <w:rsid w:val="0047544F"/>
    <w:rsid w:val="00475601"/>
    <w:rsid w:val="00480756"/>
    <w:rsid w:val="004843E4"/>
    <w:rsid w:val="00492763"/>
    <w:rsid w:val="00495AD3"/>
    <w:rsid w:val="00496080"/>
    <w:rsid w:val="004A222B"/>
    <w:rsid w:val="004A53D8"/>
    <w:rsid w:val="004A67C3"/>
    <w:rsid w:val="004A70B6"/>
    <w:rsid w:val="004B35FC"/>
    <w:rsid w:val="004C26C8"/>
    <w:rsid w:val="004D48AC"/>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01A"/>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10613"/>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129"/>
    <w:rsid w:val="00647583"/>
    <w:rsid w:val="00652BA3"/>
    <w:rsid w:val="00662BC6"/>
    <w:rsid w:val="00663868"/>
    <w:rsid w:val="0067098C"/>
    <w:rsid w:val="0067791E"/>
    <w:rsid w:val="006819E8"/>
    <w:rsid w:val="00681F0E"/>
    <w:rsid w:val="00681FE5"/>
    <w:rsid w:val="00685500"/>
    <w:rsid w:val="00687566"/>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1ADF"/>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B7D36"/>
    <w:rsid w:val="008C1BE4"/>
    <w:rsid w:val="008C1BEA"/>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6EA4"/>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0CDE"/>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11C3"/>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271C9"/>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1D69"/>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146F"/>
    <w:rsid w:val="00C35E7B"/>
    <w:rsid w:val="00C447B8"/>
    <w:rsid w:val="00C45D3C"/>
    <w:rsid w:val="00C47D5F"/>
    <w:rsid w:val="00C540FC"/>
    <w:rsid w:val="00C54234"/>
    <w:rsid w:val="00C54EFF"/>
    <w:rsid w:val="00C555ED"/>
    <w:rsid w:val="00C56BF0"/>
    <w:rsid w:val="00C62315"/>
    <w:rsid w:val="00C62C70"/>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55EB"/>
    <w:rsid w:val="00CC60FC"/>
    <w:rsid w:val="00CC7ADE"/>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E7125"/>
    <w:rsid w:val="00DF0F1C"/>
    <w:rsid w:val="00DF6C20"/>
    <w:rsid w:val="00DF6C2D"/>
    <w:rsid w:val="00E022E0"/>
    <w:rsid w:val="00E0269F"/>
    <w:rsid w:val="00E04176"/>
    <w:rsid w:val="00E12313"/>
    <w:rsid w:val="00E215FC"/>
    <w:rsid w:val="00E229C9"/>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5741"/>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06F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29827-B580-46A0-BCA0-CC7A4DEE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24</Pages>
  <Words>45266</Words>
  <Characters>25802</Characters>
  <Application>Microsoft Office Word</Application>
  <DocSecurity>0</DocSecurity>
  <Lines>215</Lines>
  <Paragraphs>141</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15. PASIŪLYMŲ EILĖ IR LAIMĖTOJO NUSTATYMAS</vt:lpstr>
      <vt:lpstr>16. PRETENZIJŲ IR SKUNDŲ NAGRINĖJIMAS</vt:lpstr>
      <vt:lpstr>17. PIRKIMO SUTARTIES PASIRAŠYMAS IR SĄLYGOS</vt:lpstr>
      <vt:lpstr/>
    </vt:vector>
  </TitlesOfParts>
  <Company/>
  <LinksUpToDate>false</LinksUpToDate>
  <CharactersWithSpaces>70927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236</cp:revision>
  <cp:lastPrinted>2024-03-22T12:28:00Z</cp:lastPrinted>
  <dcterms:created xsi:type="dcterms:W3CDTF">2023-11-14T08:29:00Z</dcterms:created>
  <dcterms:modified xsi:type="dcterms:W3CDTF">2026-02-17T15:00:00Z</dcterms:modified>
</cp:coreProperties>
</file>