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5C73" w14:textId="5A4A7B6A" w:rsidR="001A610A" w:rsidRPr="00D33BCC" w:rsidRDefault="001A610A" w:rsidP="001A610A">
      <w:pPr>
        <w:spacing w:after="0"/>
        <w:jc w:val="center"/>
        <w:rPr>
          <w:rFonts w:ascii="Times New Roman" w:hAnsi="Times New Roman"/>
          <w:sz w:val="24"/>
          <w:szCs w:val="24"/>
        </w:rPr>
      </w:pPr>
      <w:r w:rsidRPr="00D33BCC">
        <w:rPr>
          <w:rFonts w:ascii="Times New Roman" w:hAnsi="Times New Roman"/>
          <w:b/>
          <w:sz w:val="24"/>
          <w:szCs w:val="24"/>
        </w:rPr>
        <w:t>[PIRKIMO PAVADINIMAS] PIRKIMO</w:t>
      </w:r>
    </w:p>
    <w:p w14:paraId="71B16285" w14:textId="4D421921" w:rsidR="001A610A" w:rsidRPr="00D33BCC" w:rsidRDefault="001A610A" w:rsidP="001A610A">
      <w:pPr>
        <w:spacing w:after="0" w:line="256" w:lineRule="auto"/>
        <w:ind w:right="50"/>
        <w:jc w:val="center"/>
        <w:rPr>
          <w:rFonts w:ascii="Times New Roman" w:hAnsi="Times New Roman"/>
          <w:sz w:val="24"/>
          <w:szCs w:val="24"/>
        </w:rPr>
      </w:pPr>
      <w:r w:rsidRPr="00D33BCC">
        <w:rPr>
          <w:rFonts w:ascii="Times New Roman" w:hAnsi="Times New Roman"/>
          <w:b/>
          <w:sz w:val="24"/>
          <w:szCs w:val="24"/>
        </w:rPr>
        <w:t>[NURODYKITE PIRKIMO ETAPĄ] SUTARTIS Nr.__________</w:t>
      </w:r>
    </w:p>
    <w:p w14:paraId="3D1D71BE" w14:textId="77777777" w:rsidR="001A610A" w:rsidRPr="00D33BCC" w:rsidRDefault="001A610A" w:rsidP="001A610A">
      <w:pPr>
        <w:spacing w:after="0" w:line="256" w:lineRule="auto"/>
        <w:ind w:right="50"/>
        <w:jc w:val="center"/>
        <w:rPr>
          <w:rFonts w:ascii="Times New Roman" w:hAnsi="Times New Roman"/>
          <w:sz w:val="24"/>
          <w:szCs w:val="24"/>
        </w:rPr>
      </w:pPr>
    </w:p>
    <w:p w14:paraId="2DA14F61" w14:textId="77777777" w:rsidR="001A610A" w:rsidRPr="00D33BCC" w:rsidRDefault="001A610A" w:rsidP="001A610A">
      <w:pPr>
        <w:spacing w:after="3" w:line="264" w:lineRule="auto"/>
        <w:ind w:right="50"/>
        <w:jc w:val="center"/>
        <w:rPr>
          <w:rFonts w:ascii="Times New Roman" w:hAnsi="Times New Roman"/>
          <w:sz w:val="24"/>
          <w:szCs w:val="24"/>
        </w:rPr>
      </w:pPr>
      <w:r w:rsidRPr="00D33BCC">
        <w:rPr>
          <w:rFonts w:ascii="Times New Roman" w:hAnsi="Times New Roman"/>
          <w:sz w:val="24"/>
          <w:szCs w:val="24"/>
        </w:rPr>
        <w:t>20[...] m. [...] [...] d.</w:t>
      </w:r>
    </w:p>
    <w:p w14:paraId="206F0F69" w14:textId="77777777" w:rsidR="001A610A" w:rsidRPr="00D33BCC" w:rsidRDefault="001A610A" w:rsidP="001A610A">
      <w:pPr>
        <w:spacing w:after="120"/>
        <w:jc w:val="center"/>
        <w:rPr>
          <w:rFonts w:ascii="Times New Roman" w:hAnsi="Times New Roman"/>
          <w:sz w:val="24"/>
          <w:szCs w:val="24"/>
        </w:rPr>
      </w:pPr>
      <w:r w:rsidRPr="00D33BCC">
        <w:rPr>
          <w:rFonts w:ascii="Times New Roman" w:hAnsi="Times New Roman"/>
          <w:sz w:val="24"/>
          <w:szCs w:val="24"/>
        </w:rPr>
        <w:t>Vilnius</w:t>
      </w:r>
    </w:p>
    <w:p w14:paraId="5FAEFA72" w14:textId="77777777" w:rsidR="001A610A" w:rsidRPr="00D33BCC" w:rsidRDefault="001A610A" w:rsidP="001A610A">
      <w:pPr>
        <w:spacing w:after="120"/>
        <w:ind w:left="153" w:right="51"/>
        <w:jc w:val="both"/>
        <w:rPr>
          <w:rFonts w:ascii="Times New Roman" w:hAnsi="Times New Roman"/>
          <w:sz w:val="24"/>
          <w:szCs w:val="24"/>
        </w:rPr>
      </w:pPr>
      <w:r w:rsidRPr="00D33BCC">
        <w:rPr>
          <w:rFonts w:ascii="Times New Roman" w:hAnsi="Times New Roman"/>
          <w:b/>
          <w:sz w:val="24"/>
          <w:szCs w:val="24"/>
        </w:rPr>
        <w:t>[perkančiosios organizacijos pavadinimas]</w:t>
      </w:r>
      <w:r w:rsidRPr="00D33BCC">
        <w:rPr>
          <w:rFonts w:ascii="Times New Roman" w:hAnsi="Times New Roman"/>
          <w:sz w:val="24"/>
          <w:szCs w:val="24"/>
        </w:rPr>
        <w:t xml:space="preserve">, juridinio asmens kodas [...], buveinės adresas [...], kurios duomenys kaupiami ir saugomi Juridinių asmenų registre, atstovaujama [sutartį pasirašančio asmens pareigos, vardas ir pavardė], veikiančio pagal [nurodykite dokumentą, kuris įgalioja pasirašantį asmenį pasirašyti sutartį] (toliau – </w:t>
      </w:r>
      <w:r w:rsidRPr="00D33BCC">
        <w:rPr>
          <w:rFonts w:ascii="Times New Roman" w:hAnsi="Times New Roman"/>
          <w:b/>
          <w:sz w:val="24"/>
          <w:szCs w:val="24"/>
        </w:rPr>
        <w:t>PO</w:t>
      </w:r>
      <w:r w:rsidRPr="00D33BCC">
        <w:rPr>
          <w:rFonts w:ascii="Times New Roman" w:hAnsi="Times New Roman"/>
          <w:sz w:val="24"/>
          <w:szCs w:val="24"/>
        </w:rPr>
        <w:t>),</w:t>
      </w:r>
    </w:p>
    <w:p w14:paraId="56CAD64F" w14:textId="77777777" w:rsidR="001A610A" w:rsidRPr="00D33BCC" w:rsidRDefault="001A610A" w:rsidP="001A610A">
      <w:pPr>
        <w:spacing w:after="120"/>
        <w:ind w:left="153" w:right="51"/>
        <w:rPr>
          <w:rFonts w:ascii="Times New Roman" w:hAnsi="Times New Roman"/>
          <w:sz w:val="24"/>
          <w:szCs w:val="24"/>
        </w:rPr>
      </w:pPr>
      <w:r w:rsidRPr="00D33BCC">
        <w:rPr>
          <w:rFonts w:ascii="Times New Roman" w:hAnsi="Times New Roman"/>
          <w:sz w:val="24"/>
          <w:szCs w:val="24"/>
        </w:rPr>
        <w:t xml:space="preserve">ir </w:t>
      </w:r>
    </w:p>
    <w:p w14:paraId="3E8C67F2" w14:textId="77777777" w:rsidR="001A610A" w:rsidRPr="00D33BCC" w:rsidRDefault="001A610A" w:rsidP="001A610A">
      <w:pPr>
        <w:spacing w:after="120"/>
        <w:ind w:left="153" w:right="51"/>
        <w:jc w:val="both"/>
        <w:rPr>
          <w:rFonts w:ascii="Times New Roman" w:hAnsi="Times New Roman"/>
          <w:sz w:val="24"/>
          <w:szCs w:val="24"/>
        </w:rPr>
      </w:pPr>
      <w:r w:rsidRPr="00D33BCC">
        <w:rPr>
          <w:rFonts w:ascii="Times New Roman" w:hAnsi="Times New Roman"/>
          <w:b/>
          <w:sz w:val="24"/>
          <w:szCs w:val="24"/>
        </w:rPr>
        <w:t>[Dalyvio pavadinimas]</w:t>
      </w:r>
      <w:r w:rsidRPr="00D33BCC">
        <w:rPr>
          <w:rFonts w:ascii="Times New Roman" w:hAnsi="Times New Roman"/>
          <w:sz w:val="24"/>
          <w:szCs w:val="24"/>
        </w:rPr>
        <w:t xml:space="preserve">, juridinio asmens kodas [...], buveinės adresas [...], kurios duomenys kaupiami ir saugomi Juridinių asmenų registre, atstovaujama [sutartį pasirašančio asmens pareigos, vardas ir pavardė], veikiančio pagal [nurodykite dokumentą, kuris įgalioja pasirašantį asmenį pasirašyti sutartį] (toliau – </w:t>
      </w:r>
      <w:r w:rsidRPr="00D33BCC">
        <w:rPr>
          <w:rFonts w:ascii="Times New Roman" w:hAnsi="Times New Roman"/>
          <w:b/>
          <w:sz w:val="24"/>
          <w:szCs w:val="24"/>
        </w:rPr>
        <w:t>Dalyvis</w:t>
      </w:r>
      <w:r w:rsidRPr="00D33BCC">
        <w:rPr>
          <w:rFonts w:ascii="Times New Roman" w:hAnsi="Times New Roman"/>
          <w:sz w:val="24"/>
          <w:szCs w:val="24"/>
        </w:rPr>
        <w:t>) (toliau kartu vadinami „</w:t>
      </w:r>
      <w:r w:rsidRPr="00D33BCC">
        <w:rPr>
          <w:rFonts w:ascii="Times New Roman" w:hAnsi="Times New Roman"/>
          <w:b/>
          <w:sz w:val="24"/>
          <w:szCs w:val="24"/>
        </w:rPr>
        <w:t>Šalimis</w:t>
      </w:r>
      <w:r w:rsidRPr="00D33BCC">
        <w:rPr>
          <w:rFonts w:ascii="Times New Roman" w:hAnsi="Times New Roman"/>
          <w:sz w:val="24"/>
          <w:szCs w:val="24"/>
        </w:rPr>
        <w:t>“, o kiekvienas atskirai – „</w:t>
      </w:r>
      <w:r w:rsidRPr="00D33BCC">
        <w:rPr>
          <w:rFonts w:ascii="Times New Roman" w:hAnsi="Times New Roman"/>
          <w:b/>
          <w:sz w:val="24"/>
          <w:szCs w:val="24"/>
        </w:rPr>
        <w:t>Šalimi</w:t>
      </w:r>
      <w:r w:rsidRPr="00D33BCC">
        <w:rPr>
          <w:rFonts w:ascii="Times New Roman" w:hAnsi="Times New Roman"/>
          <w:sz w:val="24"/>
          <w:szCs w:val="24"/>
        </w:rPr>
        <w:t xml:space="preserve">“), </w:t>
      </w:r>
    </w:p>
    <w:p w14:paraId="2B7C8130" w14:textId="5D777879" w:rsidR="001A610A" w:rsidRPr="00D33BCC" w:rsidRDefault="001A610A" w:rsidP="001A610A">
      <w:pPr>
        <w:spacing w:after="120"/>
        <w:ind w:left="153" w:right="51"/>
        <w:jc w:val="both"/>
        <w:rPr>
          <w:rFonts w:ascii="Times New Roman" w:hAnsi="Times New Roman"/>
          <w:sz w:val="24"/>
          <w:szCs w:val="24"/>
        </w:rPr>
      </w:pPr>
      <w:r w:rsidRPr="00D33BCC">
        <w:rPr>
          <w:rFonts w:ascii="Times New Roman" w:hAnsi="Times New Roman"/>
          <w:sz w:val="24"/>
          <w:szCs w:val="24"/>
        </w:rPr>
        <w:t xml:space="preserve">sudarė šią [nurodykite pirkimo objekto pavadinimą] pirkimo [nurodykite pirkimo etapą] sutartį (toliau – </w:t>
      </w:r>
      <w:r w:rsidRPr="00D33BCC">
        <w:rPr>
          <w:rFonts w:ascii="Times New Roman" w:hAnsi="Times New Roman"/>
          <w:b/>
          <w:sz w:val="24"/>
          <w:szCs w:val="24"/>
        </w:rPr>
        <w:t>Sutartis</w:t>
      </w:r>
      <w:r w:rsidRPr="00D33BCC">
        <w:rPr>
          <w:rFonts w:ascii="Times New Roman" w:hAnsi="Times New Roman"/>
          <w:sz w:val="24"/>
          <w:szCs w:val="24"/>
        </w:rPr>
        <w:t xml:space="preserve">) ir susitarė dėl žemiau išvardintų sąlygų. </w:t>
      </w:r>
    </w:p>
    <w:p w14:paraId="6274D2D8" w14:textId="77777777" w:rsidR="001A610A" w:rsidRPr="00D33BCC" w:rsidRDefault="001A610A" w:rsidP="001A610A">
      <w:pPr>
        <w:pStyle w:val="Heading6"/>
        <w:numPr>
          <w:ilvl w:val="0"/>
          <w:numId w:val="1"/>
        </w:numPr>
        <w:tabs>
          <w:tab w:val="num" w:pos="360"/>
        </w:tabs>
        <w:spacing w:before="120" w:after="120" w:line="240" w:lineRule="auto"/>
        <w:ind w:left="510" w:right="51" w:hanging="357"/>
        <w:jc w:val="both"/>
        <w:rPr>
          <w:rFonts w:ascii="Times New Roman" w:hAnsi="Times New Roman" w:cs="Times New Roman"/>
          <w:b/>
          <w:color w:val="auto"/>
          <w:sz w:val="24"/>
          <w:szCs w:val="24"/>
        </w:rPr>
      </w:pPr>
      <w:r w:rsidRPr="00D33BCC">
        <w:rPr>
          <w:rFonts w:ascii="Times New Roman" w:hAnsi="Times New Roman" w:cs="Times New Roman"/>
          <w:b/>
          <w:color w:val="auto"/>
          <w:sz w:val="24"/>
          <w:szCs w:val="24"/>
        </w:rPr>
        <w:t>Sutarties dalykas.</w:t>
      </w:r>
    </w:p>
    <w:p w14:paraId="36C9A274" w14:textId="35F79BB7" w:rsidR="001A610A" w:rsidRPr="00D33BCC"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D33BCC">
        <w:rPr>
          <w:rFonts w:ascii="Times New Roman" w:hAnsi="Times New Roman"/>
          <w:sz w:val="24"/>
          <w:szCs w:val="24"/>
        </w:rPr>
        <w:t>Šia Sutartimi Dalyvis įsipareigoja šioje Sutartyje nustatyta tvarka ir sąlygomis [pasirinkite pirkimo etapo objektą: sukurti [nurodykite pirkimo objekto pavadinimą] pirkimo prototipą/sukurti [nurodykite pirkimo objekto pavadinimą] pirkimo inovatyviojo produkto bandomąją partiją, apimančią/neapimančią nekomercinės apimties inovatyvių produktų pirkimą(-o)]. (toliau –</w:t>
      </w:r>
      <w:r w:rsidRPr="00D33BCC">
        <w:rPr>
          <w:rFonts w:ascii="Times New Roman" w:hAnsi="Times New Roman"/>
          <w:b/>
          <w:sz w:val="24"/>
          <w:szCs w:val="24"/>
        </w:rPr>
        <w:t>pirkimo rezultatas</w:t>
      </w:r>
      <w:r w:rsidRPr="00D33BCC">
        <w:rPr>
          <w:rFonts w:ascii="Times New Roman" w:hAnsi="Times New Roman"/>
          <w:sz w:val="24"/>
          <w:szCs w:val="24"/>
        </w:rPr>
        <w:t xml:space="preserve">). </w:t>
      </w:r>
    </w:p>
    <w:p w14:paraId="706A0AE3" w14:textId="771D7AB8" w:rsidR="001A610A" w:rsidRPr="00D33BCC"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D33BCC">
        <w:rPr>
          <w:rFonts w:ascii="Times New Roman" w:hAnsi="Times New Roman"/>
          <w:sz w:val="24"/>
          <w:szCs w:val="24"/>
        </w:rPr>
        <w:t xml:space="preserve">Šia Sutartimi PO įsipareigoja šioje Sutartyje nustatyta tvarka ir sąlygomis sumokėti Dalyviui už tinkamai ir laiku sukurtą pirkimo rezultatą. </w:t>
      </w:r>
    </w:p>
    <w:p w14:paraId="2F30A2FF" w14:textId="26AAF4E5" w:rsidR="001A610A" w:rsidRPr="00D33BCC" w:rsidRDefault="0072061C"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Pr>
          <w:rFonts w:ascii="Times New Roman" w:hAnsi="Times New Roman"/>
          <w:sz w:val="24"/>
          <w:szCs w:val="24"/>
        </w:rPr>
        <w:t>P</w:t>
      </w:r>
      <w:r w:rsidR="001A610A" w:rsidRPr="00D33BCC">
        <w:rPr>
          <w:rFonts w:ascii="Times New Roman" w:hAnsi="Times New Roman"/>
          <w:sz w:val="24"/>
          <w:szCs w:val="24"/>
        </w:rPr>
        <w:t xml:space="preserve">irkimo rezultatas ir reikalavimai jo sukūrimui yra numatyti šios Sutarties priede Nr. 1 „Techninė specifikacija“. </w:t>
      </w:r>
    </w:p>
    <w:p w14:paraId="77E9E647" w14:textId="77777777" w:rsidR="001A610A" w:rsidRPr="00D33BCC" w:rsidRDefault="001A610A" w:rsidP="001A610A">
      <w:pPr>
        <w:pStyle w:val="Heading6"/>
        <w:numPr>
          <w:ilvl w:val="0"/>
          <w:numId w:val="1"/>
        </w:numPr>
        <w:tabs>
          <w:tab w:val="num" w:pos="360"/>
        </w:tabs>
        <w:spacing w:before="120" w:after="120" w:line="250" w:lineRule="auto"/>
        <w:ind w:left="510" w:right="51" w:hanging="357"/>
        <w:jc w:val="both"/>
        <w:rPr>
          <w:rFonts w:ascii="Times New Roman" w:hAnsi="Times New Roman" w:cs="Times New Roman"/>
          <w:b/>
          <w:color w:val="auto"/>
          <w:sz w:val="24"/>
          <w:szCs w:val="24"/>
        </w:rPr>
      </w:pPr>
      <w:r w:rsidRPr="00D33BCC">
        <w:rPr>
          <w:rFonts w:ascii="Times New Roman" w:hAnsi="Times New Roman" w:cs="Times New Roman"/>
          <w:b/>
          <w:color w:val="auto"/>
          <w:sz w:val="24"/>
          <w:szCs w:val="24"/>
        </w:rPr>
        <w:t>Sutarties kaina (kainodaros taisyklės) ir mokėjimo sąlygos.</w:t>
      </w:r>
    </w:p>
    <w:p w14:paraId="6334233C" w14:textId="14C5F312" w:rsidR="001A610A" w:rsidRPr="00D33BCC"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D33BCC">
        <w:rPr>
          <w:rFonts w:ascii="Times New Roman" w:hAnsi="Times New Roman"/>
          <w:sz w:val="24"/>
          <w:szCs w:val="24"/>
        </w:rPr>
        <w:t xml:space="preserve">Bendra pirkimo rezultato sukūrimo vertė [nurodykite vertę eurais skaičiais ir žodžiais] iš kurių Dalyviui tenkanti išlaidų dalis yra [nurodykite vertę eurais skaičiais ir žodžiais], o PO – tenkanti išlaidų dalis yra [nurodykite vertę eurais skaičiais ir žodžiais]. Dalyviui už tinkamai ir laiku sukurtą pirkimo rezultatą PO šioje Sutartyje nustatyta tvarka sumoka [nurodykite vertę eurais skaičiais ir žodžiais] (toliau apibendrintai vadinama – </w:t>
      </w:r>
      <w:r w:rsidRPr="00D33BCC">
        <w:rPr>
          <w:rFonts w:ascii="Times New Roman" w:hAnsi="Times New Roman"/>
          <w:b/>
          <w:sz w:val="24"/>
          <w:szCs w:val="24"/>
        </w:rPr>
        <w:t>Kaina</w:t>
      </w:r>
      <w:r w:rsidRPr="00D33BCC">
        <w:rPr>
          <w:rFonts w:ascii="Times New Roman" w:hAnsi="Times New Roman"/>
          <w:sz w:val="24"/>
          <w:szCs w:val="24"/>
        </w:rPr>
        <w:t xml:space="preserve">). </w:t>
      </w:r>
    </w:p>
    <w:p w14:paraId="62388EEF"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Kaina yra maksimali ir fiksuota.  </w:t>
      </w:r>
    </w:p>
    <w:p w14:paraId="2ED0545F" w14:textId="7BEC697B"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Jeigu PO nustato, kad pirkimo rezultatas ar jo techniniai, funkciniai, kiekybės ir kokybės kriterijai neatitinka Sutartyje ir pirkimo dokumentuose nustatytų reikalavimų, Dalyviui mokėtina Kaina mažinama proporcingai pasiektiems rezultatams. </w:t>
      </w:r>
    </w:p>
    <w:p w14:paraId="0941896C" w14:textId="37978E7E"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Kainos mažinimas nustatomas bendru rašytiniu Šalių susitarimu. Minėtas susitarimas tarp Šalių privalo būti pasiektas ne vėliau kaip per 15 (penkiolika) darbo dienų, skaičiuojant nuo PO raštiško kreipimosi į Dalyvį informuojant dėl Kainos mažinimo. Šalims nesutarus dėl proporcingai mažinamos Kainos, PO privalo raštu kreiptis į pirkimus koordinuojančią organizaciją ir prašyti pasitelkus ekspertus, nustatyti kokia dalimi Kaina turi būti sumažinta. </w:t>
      </w:r>
    </w:p>
    <w:p w14:paraId="32419D99" w14:textId="259858D9"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lastRenderedPageBreak/>
        <w:t xml:space="preserve">Jeigu pirkimo objektas ar jo techniniai, funkciniai, kiekybės ir kokybės kriterijai neatitinka šioje Sutartyje ir pirkimo dokumentuose nustatytų reikalavimų dėl Dalyvio kaltės, Kaina </w:t>
      </w:r>
      <w:r>
        <w:rPr>
          <w:rFonts w:ascii="Times New Roman" w:hAnsi="Times New Roman"/>
          <w:sz w:val="24"/>
          <w:szCs w:val="24"/>
        </w:rPr>
        <w:t>D</w:t>
      </w:r>
      <w:r w:rsidRPr="005371AB">
        <w:rPr>
          <w:rFonts w:ascii="Times New Roman" w:hAnsi="Times New Roman"/>
          <w:sz w:val="24"/>
          <w:szCs w:val="24"/>
        </w:rPr>
        <w:t xml:space="preserve">alyviui nemokama. </w:t>
      </w:r>
    </w:p>
    <w:p w14:paraId="1A47B440" w14:textId="3C90798C"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PO sumoka Dalyviui </w:t>
      </w:r>
      <w:r w:rsidRPr="00D33BCC">
        <w:rPr>
          <w:rFonts w:ascii="Times New Roman" w:hAnsi="Times New Roman"/>
          <w:sz w:val="24"/>
          <w:szCs w:val="24"/>
        </w:rPr>
        <w:t>[...]</w:t>
      </w:r>
      <w:r w:rsidRPr="005371AB">
        <w:rPr>
          <w:rFonts w:ascii="Times New Roman" w:hAnsi="Times New Roman"/>
          <w:sz w:val="24"/>
          <w:szCs w:val="24"/>
        </w:rPr>
        <w:t xml:space="preserve"> proc. </w:t>
      </w:r>
      <w:r w:rsidR="001A7838">
        <w:rPr>
          <w:rFonts w:ascii="Times New Roman" w:hAnsi="Times New Roman"/>
          <w:sz w:val="24"/>
          <w:szCs w:val="24"/>
        </w:rPr>
        <w:t>k</w:t>
      </w:r>
      <w:r w:rsidRPr="005371AB">
        <w:rPr>
          <w:rFonts w:ascii="Times New Roman" w:hAnsi="Times New Roman"/>
          <w:sz w:val="24"/>
          <w:szCs w:val="24"/>
        </w:rPr>
        <w:t xml:space="preserve">ainos dydžio avansą per </w:t>
      </w:r>
      <w:r w:rsidR="003471E7">
        <w:rPr>
          <w:rFonts w:ascii="Times New Roman" w:hAnsi="Times New Roman"/>
          <w:sz w:val="24"/>
          <w:szCs w:val="24"/>
          <w:lang w:val="en-US"/>
        </w:rPr>
        <w:t>1</w:t>
      </w:r>
      <w:r w:rsidR="001A7838">
        <w:rPr>
          <w:rFonts w:ascii="Times New Roman" w:hAnsi="Times New Roman"/>
          <w:sz w:val="24"/>
          <w:szCs w:val="24"/>
          <w:lang w:val="en-US"/>
        </w:rPr>
        <w:t>0</w:t>
      </w:r>
      <w:r w:rsidRPr="005371AB">
        <w:rPr>
          <w:rFonts w:ascii="Times New Roman" w:hAnsi="Times New Roman"/>
          <w:sz w:val="24"/>
          <w:szCs w:val="24"/>
        </w:rPr>
        <w:t xml:space="preserve"> dien</w:t>
      </w:r>
      <w:r w:rsidR="001A7838">
        <w:rPr>
          <w:rFonts w:ascii="Times New Roman" w:hAnsi="Times New Roman"/>
          <w:sz w:val="24"/>
          <w:szCs w:val="24"/>
        </w:rPr>
        <w:t>ų</w:t>
      </w:r>
      <w:r w:rsidRPr="005371AB">
        <w:rPr>
          <w:rFonts w:ascii="Times New Roman" w:hAnsi="Times New Roman"/>
          <w:sz w:val="24"/>
          <w:szCs w:val="24"/>
        </w:rPr>
        <w:t xml:space="preserve"> nuo šios Sutarties pasirašymo ir išankstinės </w:t>
      </w:r>
      <w:r w:rsidR="00A97925">
        <w:rPr>
          <w:rFonts w:ascii="Times New Roman" w:hAnsi="Times New Roman"/>
          <w:sz w:val="24"/>
          <w:szCs w:val="24"/>
        </w:rPr>
        <w:t xml:space="preserve">mokėjimo </w:t>
      </w:r>
      <w:r w:rsidRPr="005371AB">
        <w:rPr>
          <w:rFonts w:ascii="Times New Roman" w:hAnsi="Times New Roman"/>
          <w:sz w:val="24"/>
          <w:szCs w:val="24"/>
        </w:rPr>
        <w:t>sąskaitos gavimo dienos,</w:t>
      </w:r>
      <w:r w:rsidR="003B4FF8">
        <w:rPr>
          <w:rFonts w:ascii="Times New Roman" w:hAnsi="Times New Roman"/>
          <w:sz w:val="24"/>
          <w:szCs w:val="24"/>
        </w:rPr>
        <w:t xml:space="preserve"> </w:t>
      </w:r>
      <w:r w:rsidR="00896585" w:rsidRPr="005371AB">
        <w:rPr>
          <w:rFonts w:ascii="Times New Roman" w:hAnsi="Times New Roman"/>
          <w:sz w:val="24"/>
          <w:szCs w:val="24"/>
        </w:rPr>
        <w:t>pervesdama į Dalyvio sąskaitą banke, nurodytą Sutartyje</w:t>
      </w:r>
      <w:r w:rsidR="00896585">
        <w:rPr>
          <w:rFonts w:ascii="Times New Roman" w:hAnsi="Times New Roman"/>
          <w:sz w:val="24"/>
          <w:szCs w:val="24"/>
        </w:rPr>
        <w:t>,</w:t>
      </w:r>
      <w:r w:rsidR="00896585" w:rsidRPr="005371AB">
        <w:rPr>
          <w:rFonts w:ascii="Times New Roman" w:hAnsi="Times New Roman"/>
          <w:sz w:val="24"/>
          <w:szCs w:val="24"/>
        </w:rPr>
        <w:t xml:space="preserve"> </w:t>
      </w:r>
      <w:r w:rsidR="003B4FF8">
        <w:rPr>
          <w:rFonts w:ascii="Times New Roman" w:hAnsi="Times New Roman"/>
          <w:sz w:val="24"/>
          <w:szCs w:val="24"/>
        </w:rPr>
        <w:t>tačiau Dalyvis turi pateikti PO avanso užtikrinimą – banko garantiją arba draudimo bendrovės</w:t>
      </w:r>
      <w:r w:rsidR="00056612">
        <w:rPr>
          <w:rFonts w:ascii="Times New Roman" w:hAnsi="Times New Roman"/>
          <w:sz w:val="24"/>
          <w:szCs w:val="24"/>
        </w:rPr>
        <w:t xml:space="preserve"> raštą arba kitą sutartinių įsipareigojimų įvykdymo užtikrinimą ne mažesnei nei </w:t>
      </w:r>
      <w:r w:rsidR="00896585">
        <w:rPr>
          <w:rFonts w:ascii="Times New Roman" w:hAnsi="Times New Roman"/>
          <w:sz w:val="24"/>
          <w:szCs w:val="24"/>
        </w:rPr>
        <w:t xml:space="preserve">šiame punkte nurodytai sumai. </w:t>
      </w:r>
    </w:p>
    <w:p w14:paraId="4BDAC188" w14:textId="47198351"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20E8F973">
        <w:rPr>
          <w:rFonts w:ascii="Times New Roman" w:hAnsi="Times New Roman"/>
          <w:sz w:val="24"/>
          <w:szCs w:val="24"/>
        </w:rPr>
        <w:t>Šios Sutarties rezultatą PO iš Dalyvio priima pasirašytinai. Priimdama šios Sutarties rezultatą, PO privalo įsitikinti, kad pirkimo objektas, jo techniniai, funkciniai, kiekybės ir kokybės kriterijai atitinka pirkimo sutartyje ir pirkimo dokumentuose nustatytus reikalavimus ir nepažeistos kitos Sutartyje nustatytos sąlygos. PO sumoka Dalyviui už suteikt</w:t>
      </w:r>
      <w:r w:rsidR="007E53BC">
        <w:rPr>
          <w:rFonts w:ascii="Times New Roman" w:hAnsi="Times New Roman"/>
          <w:sz w:val="24"/>
          <w:szCs w:val="24"/>
        </w:rPr>
        <w:t>ą</w:t>
      </w:r>
      <w:r w:rsidRPr="20E8F973">
        <w:rPr>
          <w:rFonts w:ascii="Times New Roman" w:hAnsi="Times New Roman"/>
          <w:sz w:val="24"/>
          <w:szCs w:val="24"/>
        </w:rPr>
        <w:t xml:space="preserve"> tinkamą ir Sutarties sąlygas atitinkant</w:t>
      </w:r>
      <w:r w:rsidR="5D5212E9" w:rsidRPr="20E8F973">
        <w:rPr>
          <w:rFonts w:ascii="Times New Roman" w:hAnsi="Times New Roman"/>
          <w:sz w:val="24"/>
          <w:szCs w:val="24"/>
        </w:rPr>
        <w:t>į</w:t>
      </w:r>
      <w:r w:rsidRPr="20E8F973">
        <w:rPr>
          <w:rFonts w:ascii="Times New Roman" w:hAnsi="Times New Roman"/>
          <w:sz w:val="24"/>
          <w:szCs w:val="24"/>
        </w:rPr>
        <w:t xml:space="preserve"> pirkimo rezultatą ne vėliau kaip per 30 (trisdešimt) kalendorinių dienų nuo PVM sąskaitos-faktūros gavimo dienos ir nuo pirkimo rezultato priėmimo-perdavimo akto (Sutarties priedas Nr. 2 „</w:t>
      </w:r>
      <w:r w:rsidR="0072061C">
        <w:rPr>
          <w:rFonts w:ascii="Times New Roman" w:hAnsi="Times New Roman"/>
          <w:sz w:val="24"/>
          <w:szCs w:val="24"/>
        </w:rPr>
        <w:t>P</w:t>
      </w:r>
      <w:r w:rsidRPr="20E8F973">
        <w:rPr>
          <w:rFonts w:ascii="Times New Roman" w:hAnsi="Times New Roman"/>
          <w:sz w:val="24"/>
          <w:szCs w:val="24"/>
        </w:rPr>
        <w:t xml:space="preserve">irkimo rezultato priėmimo-perdavimo akto forma“) pasirašymo dienos (nuo vėlesnės iš nurodytų datų).  </w:t>
      </w:r>
    </w:p>
    <w:p w14:paraId="223F66C9" w14:textId="77777777" w:rsidR="001A610A" w:rsidRPr="005371AB" w:rsidRDefault="001A610A" w:rsidP="001A610A">
      <w:pPr>
        <w:pStyle w:val="Heading6"/>
        <w:numPr>
          <w:ilvl w:val="0"/>
          <w:numId w:val="1"/>
        </w:numPr>
        <w:tabs>
          <w:tab w:val="num" w:pos="360"/>
        </w:tabs>
        <w:spacing w:before="120" w:after="120" w:line="250" w:lineRule="auto"/>
        <w:ind w:left="510" w:right="51" w:hanging="357"/>
        <w:jc w:val="both"/>
        <w:rPr>
          <w:rFonts w:ascii="Times New Roman" w:hAnsi="Times New Roman" w:cs="Times New Roman"/>
          <w:b/>
          <w:color w:val="auto"/>
          <w:sz w:val="24"/>
          <w:szCs w:val="24"/>
        </w:rPr>
      </w:pPr>
      <w:r w:rsidRPr="005371AB">
        <w:rPr>
          <w:rFonts w:ascii="Times New Roman" w:hAnsi="Times New Roman" w:cs="Times New Roman"/>
          <w:b/>
          <w:color w:val="auto"/>
          <w:sz w:val="24"/>
          <w:szCs w:val="24"/>
        </w:rPr>
        <w:t>Šalių teisės ir pareigos.</w:t>
      </w:r>
    </w:p>
    <w:p w14:paraId="7556E177" w14:textId="25EEB3EB"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Dalyvis įsipareigoja sukurti pirkimo rezultatą, vadovaudamasis Sutarties nuostatomis ir teisės aktų reikalavimais ir užtikrinti, kad pirkimo rezultatas atitiks Sutarties priede Nr. 1 </w:t>
      </w:r>
      <w:r>
        <w:rPr>
          <w:rFonts w:ascii="Times New Roman" w:hAnsi="Times New Roman"/>
          <w:sz w:val="24"/>
          <w:szCs w:val="24"/>
        </w:rPr>
        <w:t>„</w:t>
      </w:r>
      <w:r w:rsidRPr="005371AB">
        <w:rPr>
          <w:rFonts w:ascii="Times New Roman" w:hAnsi="Times New Roman"/>
          <w:sz w:val="24"/>
          <w:szCs w:val="24"/>
        </w:rPr>
        <w:t>Techninė specifikacija</w:t>
      </w:r>
      <w:r>
        <w:rPr>
          <w:rFonts w:ascii="Times New Roman" w:hAnsi="Times New Roman"/>
          <w:sz w:val="24"/>
          <w:szCs w:val="24"/>
        </w:rPr>
        <w:t>“</w:t>
      </w:r>
      <w:r w:rsidRPr="005371AB">
        <w:rPr>
          <w:rFonts w:ascii="Times New Roman" w:hAnsi="Times New Roman"/>
          <w:sz w:val="24"/>
          <w:szCs w:val="24"/>
        </w:rPr>
        <w:t xml:space="preserve"> nurodytus reikalavimus, bei vykdyti visas savo pareigas, kylančias iš šios Sutarties, pagal Sutartyje nustatytą tvarką, veikti sąžiningai ir vykdant savo įsipareigojimus pagal šią Sutartį bendradarbiauti su PO. </w:t>
      </w:r>
    </w:p>
    <w:p w14:paraId="21149821"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Dalyvis įsipareigoja sudaryti sąlygas PO bei kitoms kompetentingoms institucijoms, kurioms šią teisę suteikia įstatymai ar kiti teisės aktai, tikrinti Sutarties įgyvendinimą. </w:t>
      </w:r>
    </w:p>
    <w:p w14:paraId="2E1CF43E"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143471B3">
        <w:rPr>
          <w:rFonts w:ascii="Times New Roman" w:hAnsi="Times New Roman"/>
          <w:sz w:val="24"/>
          <w:szCs w:val="24"/>
        </w:rPr>
        <w:t xml:space="preserve">Sutarties vykdymui Dalyvis turi teisę pasitelkti subtiekėją (-us), jeigu savo pasiūlyme Dalyvis nurodo, kad ketina pasitelkti subtiekėją (-us). </w:t>
      </w:r>
    </w:p>
    <w:p w14:paraId="27D2C897"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PO įsipareigoja sumokėti šioje Sutartyje numatytą Kainą Sutartyje nustatyta tvarka ir terminais bei vykdyti visas savo pareigas, kylančias iš šios Sutarties, pagal Sutartyje nustatytą tvarką ir veikti sąžiningai, nepažeisti šios Sutarties ir teisės aktų reikalavimų bei vykdant šią Sutartį bendradarbiauti su Dalyviu. </w:t>
      </w:r>
    </w:p>
    <w:p w14:paraId="5C660911" w14:textId="27F439BC"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PO ar jo paskirtas atstovas turi teisę gauti iš Dalyvio visą reikiamą informaciją, susijusią su pirkimo rezultato sukūrimu, susipažinti su dokumentais ar informacija, susijusiais su pirkimo rezultatu ir šios Sutarties vykdymu, vykdyti Sutarties vykdymo stebėseną ir patikras vietoje. </w:t>
      </w:r>
    </w:p>
    <w:p w14:paraId="5176C491" w14:textId="77777777" w:rsidR="001A610A" w:rsidRPr="005371AB" w:rsidRDefault="001A610A" w:rsidP="001A610A">
      <w:pPr>
        <w:pStyle w:val="Heading6"/>
        <w:numPr>
          <w:ilvl w:val="0"/>
          <w:numId w:val="1"/>
        </w:numPr>
        <w:tabs>
          <w:tab w:val="num" w:pos="360"/>
        </w:tabs>
        <w:spacing w:before="120" w:after="120" w:line="250" w:lineRule="auto"/>
        <w:ind w:left="510" w:right="51" w:hanging="357"/>
        <w:jc w:val="both"/>
        <w:rPr>
          <w:rFonts w:ascii="Times New Roman" w:hAnsi="Times New Roman" w:cs="Times New Roman"/>
          <w:color w:val="auto"/>
          <w:sz w:val="24"/>
          <w:szCs w:val="24"/>
        </w:rPr>
      </w:pPr>
      <w:r w:rsidRPr="005371AB">
        <w:rPr>
          <w:rFonts w:ascii="Times New Roman" w:hAnsi="Times New Roman" w:cs="Times New Roman"/>
          <w:b/>
          <w:color w:val="auto"/>
          <w:sz w:val="24"/>
          <w:szCs w:val="24"/>
        </w:rPr>
        <w:t>Patvirtinimai ir garantijos</w:t>
      </w:r>
      <w:r w:rsidRPr="005371AB">
        <w:rPr>
          <w:rFonts w:ascii="Times New Roman" w:hAnsi="Times New Roman" w:cs="Times New Roman"/>
          <w:color w:val="auto"/>
          <w:sz w:val="24"/>
          <w:szCs w:val="24"/>
        </w:rPr>
        <w:t>.</w:t>
      </w:r>
    </w:p>
    <w:p w14:paraId="545FBE06"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Kiekviena iš Šalių pareiškia ir garantuoja kitai Šaliai, kad: </w:t>
      </w:r>
    </w:p>
    <w:p w14:paraId="7809D3BA" w14:textId="77777777" w:rsidR="001A610A" w:rsidRPr="005371AB" w:rsidRDefault="001A610A" w:rsidP="001A610A">
      <w:pPr>
        <w:pStyle w:val="ListParagraph"/>
        <w:numPr>
          <w:ilvl w:val="2"/>
          <w:numId w:val="1"/>
        </w:numPr>
        <w:tabs>
          <w:tab w:val="left" w:pos="851"/>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Šalis turi visas teises, įgaliojimus ir patvirtinimus, reikalingus sudaryti ir vykdyti Sutartį; 4.1.2.  Šalis atliko visus reikalingus teisinius veiksmus, kad ši Sutartis būtų tinkamai sudaryta ir galiotų, ir turi visus teisės aktais numatytus leidimus, licencijas, darbuotojus, reikalingus Paslaugoms teikti ar gauti; 4.1.3. 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 </w:t>
      </w:r>
    </w:p>
    <w:p w14:paraId="2C0C87D3" w14:textId="77777777" w:rsidR="001A610A" w:rsidRPr="005371AB" w:rsidRDefault="001A610A" w:rsidP="001A610A">
      <w:pPr>
        <w:pStyle w:val="Heading6"/>
        <w:numPr>
          <w:ilvl w:val="0"/>
          <w:numId w:val="1"/>
        </w:numPr>
        <w:tabs>
          <w:tab w:val="num" w:pos="360"/>
        </w:tabs>
        <w:spacing w:before="120" w:after="120" w:line="250" w:lineRule="auto"/>
        <w:ind w:left="510" w:right="51" w:hanging="357"/>
        <w:jc w:val="both"/>
        <w:rPr>
          <w:rFonts w:ascii="Times New Roman" w:hAnsi="Times New Roman" w:cs="Times New Roman"/>
          <w:b/>
          <w:color w:val="auto"/>
          <w:sz w:val="24"/>
          <w:szCs w:val="24"/>
        </w:rPr>
      </w:pPr>
      <w:r w:rsidRPr="005371AB">
        <w:rPr>
          <w:rFonts w:ascii="Times New Roman" w:hAnsi="Times New Roman" w:cs="Times New Roman"/>
          <w:b/>
          <w:color w:val="auto"/>
          <w:sz w:val="24"/>
          <w:szCs w:val="24"/>
        </w:rPr>
        <w:lastRenderedPageBreak/>
        <w:t>Atsakomybė.</w:t>
      </w:r>
    </w:p>
    <w:p w14:paraId="77C369DD" w14:textId="69494A52" w:rsidR="001A610A" w:rsidRPr="005371AB" w:rsidRDefault="474776A6"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5A65C882">
        <w:rPr>
          <w:rFonts w:ascii="Times New Roman" w:hAnsi="Times New Roman"/>
          <w:sz w:val="24"/>
          <w:szCs w:val="24"/>
        </w:rPr>
        <w:t xml:space="preserve">Jei Dalyvis dėl savo kaltės vėluoja sukurti pirkimo rezultatą per Sutartyje nustatytą laikotarpį, PO gali, be raštiško įspėjimo ir neprarasdama teisės į kitas savo teisių gynimo priemones pagal Sutartį, pareikalauti 0,02 proc. dydžio delspinigių nuo Kainos už kiekvieną uždelstą dieną, skaičiuojant nuo Sutartyje pirkimo rezultato sukūrimo laikotarpio pabaigos iki dienos, kai vėluojamas pirkimo rezultatas buvo faktiškai sukurtas ir perduotas. Delspinigiai gali būti išskaičiuojami iš Dalyviui mokėtinos Kainos.  </w:t>
      </w:r>
    </w:p>
    <w:p w14:paraId="1EC136AD"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Neatlikusi mokėjimo nustatytais terminais, PO, Dalyviui pareikalavus, privalo sumokėti 0,02 procento dydžio delspinigius nuo laiku nesumokėtos Kainos sumos už kiekvieną uždelstą dieną. </w:t>
      </w:r>
    </w:p>
    <w:p w14:paraId="755B5A32"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Delspinigių sumokėjimas neatleidžia Šalių nuo pareigos vykdyti šioje Sutartyje prisiimtus įsipareigojimus. </w:t>
      </w:r>
    </w:p>
    <w:p w14:paraId="4CA017B7"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Jei Dalyvis negali laiku ir (ar) tinkamai įvykdyti šioje Sutartyje numatytų įsipareigojimų dėl PO kaltės ir (ar) nuo PO priklausančių aplinkybių ir (ar) dėl bet kokių kitų aplinkybių, nepriklausančių nuo Dalyvio, Dalyviui netaikoma šioje Sutarties dalyje numatyta atsakomybė ir neskaičiuojami delspinigiai. </w:t>
      </w:r>
    </w:p>
    <w:p w14:paraId="34BAA285"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Šalis, nevykdanti ar netinkamai vykdanti savo įsipareigojimus pagal Sutartį, privalo atlyginti kitai Šaliai visus dėl to padarytus tiesioginius nuostolius. </w:t>
      </w:r>
    </w:p>
    <w:p w14:paraId="76F99663"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Visais atvejais Sutarties Šalis pagal Sutartį atlygina tik tiesioginius nuostolius, o atlyginamų nuostolių dydis negali viršyti Kainos. Šis atsakomybės ribojamas netaikomas tais atvejais, kai nuostoliai kyla dėl Sutarties Šalies tyčinių veiksmų ar didelio neatsargumo. </w:t>
      </w:r>
    </w:p>
    <w:p w14:paraId="600B5E81"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Dalyviui pažeidus Sutartyje numatytus įsipareigojimus (išskyrus Sutarties 2.4 p. numatytą atvejį), PO turi teisę apie tai raštu informuoti Dalyvį ir numatyti protingą terminą pažeidimams pašalinti. Jeigu Dalyvis nepašalina pažeidimų per PO nurodytą terminą, PO turi teisę vienašališkai nutraukti Sutartį ir reikalauti atlyginti dėl pažeidimo patirtus nuostolius. </w:t>
      </w:r>
    </w:p>
    <w:p w14:paraId="2F357586" w14:textId="77777777" w:rsidR="001A610A" w:rsidRPr="005371AB" w:rsidRDefault="001A610A" w:rsidP="001A610A">
      <w:pPr>
        <w:pStyle w:val="Heading6"/>
        <w:numPr>
          <w:ilvl w:val="0"/>
          <w:numId w:val="1"/>
        </w:numPr>
        <w:tabs>
          <w:tab w:val="num" w:pos="360"/>
        </w:tabs>
        <w:spacing w:before="120" w:after="120" w:line="250" w:lineRule="auto"/>
        <w:ind w:left="510" w:right="51" w:hanging="357"/>
        <w:jc w:val="both"/>
        <w:rPr>
          <w:rFonts w:ascii="Times New Roman" w:hAnsi="Times New Roman" w:cs="Times New Roman"/>
          <w:color w:val="auto"/>
          <w:sz w:val="24"/>
          <w:szCs w:val="24"/>
        </w:rPr>
      </w:pPr>
      <w:r w:rsidRPr="005371AB">
        <w:rPr>
          <w:rFonts w:ascii="Times New Roman" w:hAnsi="Times New Roman" w:cs="Times New Roman"/>
          <w:b/>
          <w:color w:val="auto"/>
          <w:sz w:val="24"/>
          <w:szCs w:val="24"/>
        </w:rPr>
        <w:t xml:space="preserve">Sutarties galiojimas, keitimas, pasibaigimas </w:t>
      </w:r>
      <w:r w:rsidRPr="00FA243F">
        <w:rPr>
          <w:rFonts w:ascii="Times New Roman" w:hAnsi="Times New Roman" w:cs="Times New Roman"/>
          <w:b/>
          <w:color w:val="auto"/>
          <w:sz w:val="24"/>
          <w:szCs w:val="24"/>
        </w:rPr>
        <w:t>ir nutraukimas</w:t>
      </w:r>
      <w:r w:rsidRPr="00FA243F">
        <w:rPr>
          <w:rFonts w:ascii="Times New Roman" w:hAnsi="Times New Roman" w:cs="Times New Roman"/>
          <w:color w:val="auto"/>
          <w:sz w:val="24"/>
          <w:szCs w:val="24"/>
        </w:rPr>
        <w:t xml:space="preserve">. </w:t>
      </w:r>
    </w:p>
    <w:p w14:paraId="30EA566B" w14:textId="022411AA"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Sutartis įsigalioja pasirašymo dieną. Sutartis galioja iki įsipareigojimų tinkamo visiško įsipareigojimų įvykdymo, bet ne vėliau kaip iki 20</w:t>
      </w:r>
      <w:r w:rsidRPr="00D33BCC">
        <w:rPr>
          <w:rFonts w:ascii="Times New Roman" w:hAnsi="Times New Roman"/>
          <w:sz w:val="24"/>
          <w:szCs w:val="24"/>
        </w:rPr>
        <w:t>[...] m. [...] [...]</w:t>
      </w:r>
      <w:r w:rsidRPr="005371AB">
        <w:rPr>
          <w:rFonts w:ascii="Times New Roman" w:hAnsi="Times New Roman"/>
          <w:sz w:val="24"/>
          <w:szCs w:val="24"/>
        </w:rPr>
        <w:t xml:space="preserve"> d. </w:t>
      </w:r>
    </w:p>
    <w:p w14:paraId="13DFB92D" w14:textId="3BB50E9F" w:rsidR="00B83233"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Sutarties sąlygos, kol Sutartis galioja, negali būti keičiamos, išskyrus tokias Sutarties sąlygas, kurias pakeitus nebūtų pažeisti pirkimų principai. Sutarties pakeitimai įforminami papildomu susitarimu, pasirašomu abiejų Sutarties Šalių. </w:t>
      </w:r>
    </w:p>
    <w:p w14:paraId="29021E50" w14:textId="276190E5" w:rsidR="001A610A" w:rsidRDefault="00B83233"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Pr>
          <w:rFonts w:ascii="Times New Roman" w:hAnsi="Times New Roman"/>
          <w:sz w:val="24"/>
          <w:szCs w:val="24"/>
        </w:rPr>
        <w:t>Sutartis gali būti keičiama/pratęsiama šiais atvejais:</w:t>
      </w:r>
    </w:p>
    <w:p w14:paraId="033840A4" w14:textId="24E62E95" w:rsidR="00B83233" w:rsidRDefault="00B83233" w:rsidP="00B83233">
      <w:pPr>
        <w:pStyle w:val="ListParagraph"/>
        <w:tabs>
          <w:tab w:val="left" w:pos="709"/>
        </w:tabs>
        <w:spacing w:after="5" w:line="266" w:lineRule="auto"/>
        <w:ind w:left="155" w:right="50"/>
        <w:jc w:val="both"/>
        <w:rPr>
          <w:rFonts w:ascii="Times New Roman" w:hAnsi="Times New Roman"/>
          <w:sz w:val="24"/>
          <w:szCs w:val="24"/>
        </w:rPr>
      </w:pPr>
      <w:r>
        <w:rPr>
          <w:rFonts w:ascii="Times New Roman" w:hAnsi="Times New Roman"/>
          <w:sz w:val="24"/>
          <w:szCs w:val="24"/>
        </w:rPr>
        <w:t>6.3.1.</w:t>
      </w:r>
    </w:p>
    <w:p w14:paraId="65F5EC44" w14:textId="0DA5E3D3" w:rsidR="00B83233" w:rsidRPr="005371AB" w:rsidRDefault="00B83233" w:rsidP="007D555A">
      <w:pPr>
        <w:pStyle w:val="ListParagraph"/>
        <w:tabs>
          <w:tab w:val="left" w:pos="709"/>
        </w:tabs>
        <w:spacing w:after="5" w:line="266" w:lineRule="auto"/>
        <w:ind w:left="155" w:right="50"/>
        <w:jc w:val="both"/>
        <w:rPr>
          <w:rFonts w:ascii="Times New Roman" w:hAnsi="Times New Roman"/>
          <w:sz w:val="24"/>
          <w:szCs w:val="24"/>
        </w:rPr>
      </w:pPr>
      <w:r>
        <w:rPr>
          <w:rFonts w:ascii="Times New Roman" w:hAnsi="Times New Roman"/>
          <w:sz w:val="24"/>
          <w:szCs w:val="24"/>
        </w:rPr>
        <w:t>6.3.2.</w:t>
      </w:r>
    </w:p>
    <w:p w14:paraId="5151BBED" w14:textId="289FABC2" w:rsidR="001A610A" w:rsidRPr="005371AB" w:rsidRDefault="474776A6"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5A65C882">
        <w:rPr>
          <w:rFonts w:ascii="Times New Roman" w:hAnsi="Times New Roman"/>
          <w:sz w:val="24"/>
          <w:szCs w:val="24"/>
        </w:rPr>
        <w:t>Riziką dėl kitų mokesčių ir išlaidų prisiima Dalyvis. Pakitus mokestinei aplinkai ir atsiradus kitiems mokesčiams ar atsiradus išlaidoms ar dėl bendro kainų lygio pasikeitimo bei paslaugų grupių kainų pokyčių Kaina nebus perskaičiuojama</w:t>
      </w:r>
      <w:r w:rsidR="6E00225D" w:rsidRPr="5A65C882">
        <w:rPr>
          <w:rFonts w:ascii="Times New Roman" w:hAnsi="Times New Roman"/>
          <w:sz w:val="24"/>
          <w:szCs w:val="24"/>
        </w:rPr>
        <w:t>.</w:t>
      </w:r>
    </w:p>
    <w:p w14:paraId="47A35D45"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Sutartis be joje numatytų nutraukimo atvejų, gali būti nutraukta Lietuvos Respublikos civilinio kodekso ir (ar) kitų teisės aktų nustatyta tvarka ir atvejais. </w:t>
      </w:r>
    </w:p>
    <w:p w14:paraId="613E08AA" w14:textId="77777777" w:rsidR="001A610A" w:rsidRPr="005371AB" w:rsidRDefault="001A610A" w:rsidP="001A610A">
      <w:pPr>
        <w:pStyle w:val="Heading6"/>
        <w:numPr>
          <w:ilvl w:val="0"/>
          <w:numId w:val="1"/>
        </w:numPr>
        <w:tabs>
          <w:tab w:val="num" w:pos="360"/>
        </w:tabs>
        <w:spacing w:before="120" w:after="120" w:line="250" w:lineRule="auto"/>
        <w:ind w:left="510" w:right="51" w:hanging="357"/>
        <w:jc w:val="both"/>
        <w:rPr>
          <w:rFonts w:ascii="Times New Roman" w:hAnsi="Times New Roman" w:cs="Times New Roman"/>
          <w:b/>
          <w:color w:val="auto"/>
          <w:sz w:val="24"/>
          <w:szCs w:val="24"/>
        </w:rPr>
      </w:pPr>
      <w:r w:rsidRPr="005371AB">
        <w:rPr>
          <w:rFonts w:ascii="Times New Roman" w:hAnsi="Times New Roman" w:cs="Times New Roman"/>
          <w:b/>
          <w:color w:val="auto"/>
          <w:sz w:val="24"/>
          <w:szCs w:val="24"/>
        </w:rPr>
        <w:t xml:space="preserve">Nenugalimos jėgos aplinkybės. </w:t>
      </w:r>
    </w:p>
    <w:p w14:paraId="23DF517A"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Šalis nėra laikoma atsakinga už bet kokių įsipareigojimų pagal šią Sutartį neįvykdymą ar  netinkamą įvykdymą, jeigu Šalis įrodo, kad tai įvyko dėl aplinkybių, kurių Šalis negalėjo kontroliuoti ir protingai numatyti, išvengti ar pašalinti jokiomis priemonėmis, pavyzdžiui, Vyriausybės sprendimai ir kiti aktai, kurie turėjo poveikį Šalies veiklai, politiniai neramumai, streikai, paskelbti ir nepaskelbti karai, kiti ginkluoti susirėmimai, gaisrai, potvyniai, kitos stichinės </w:t>
      </w:r>
      <w:r w:rsidRPr="005371AB">
        <w:rPr>
          <w:rFonts w:ascii="Times New Roman" w:hAnsi="Times New Roman"/>
          <w:sz w:val="24"/>
          <w:szCs w:val="24"/>
        </w:rPr>
        <w:lastRenderedPageBreak/>
        <w:t xml:space="preserve">nelaimės (toliau – </w:t>
      </w:r>
      <w:r w:rsidRPr="005371AB">
        <w:rPr>
          <w:rFonts w:ascii="Times New Roman" w:hAnsi="Times New Roman"/>
          <w:b/>
          <w:sz w:val="24"/>
          <w:szCs w:val="24"/>
        </w:rPr>
        <w:t>Nenugalimos jėgos aplinkybės</w:t>
      </w:r>
      <w:r w:rsidRPr="005371AB">
        <w:rPr>
          <w:rFonts w:ascii="Times New Roman" w:hAnsi="Times New Roman"/>
          <w:sz w:val="24"/>
          <w:szCs w:val="24"/>
        </w:rPr>
        <w:t>). Esant nenugalimos jėgos aplinkybėms, Šalys Lietuvos Respublikos teisės aktuose nustatyta tvarka yra atleidžiamos nuo atsakomybės už Sutartyje numatytų įsipareigojimų neįvykdymą ar netinkamą įvykdymą, o įsipareigojimų vykdymo terminas pratęsiamas.</w:t>
      </w:r>
    </w:p>
    <w:p w14:paraId="4945887E"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 </w:t>
      </w:r>
    </w:p>
    <w:p w14:paraId="0B921514"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atlyginti kitai Šaliai žalą, kurią ši patyrė dėl laiku nepateikto pranešimo arba dėl to, kad nebuvo jokio pranešimo. </w:t>
      </w:r>
    </w:p>
    <w:p w14:paraId="7E3F68CB"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Jei Nenugalimos jėgos aplinkybės trunka ilgiau kaip 30 (trisdešimt) kalendorinių dienų, bet kuri Šalis turi teisę nutraukti Sutartį įspėdama apie tai kitą šalį prieš ne vėliau kaip prieš 10 (dešimt) kalendorinių dienų iki Sutarties nutraukimo dienos. </w:t>
      </w:r>
    </w:p>
    <w:p w14:paraId="61A42D5A" w14:textId="77777777" w:rsidR="001A610A" w:rsidRPr="005371AB" w:rsidRDefault="001A610A" w:rsidP="001A610A">
      <w:pPr>
        <w:pStyle w:val="Heading6"/>
        <w:numPr>
          <w:ilvl w:val="0"/>
          <w:numId w:val="1"/>
        </w:numPr>
        <w:tabs>
          <w:tab w:val="num" w:pos="360"/>
        </w:tabs>
        <w:spacing w:before="120" w:after="120" w:line="250" w:lineRule="auto"/>
        <w:ind w:left="510" w:right="51" w:hanging="357"/>
        <w:jc w:val="both"/>
        <w:rPr>
          <w:rFonts w:ascii="Times New Roman" w:hAnsi="Times New Roman" w:cs="Times New Roman"/>
          <w:color w:val="auto"/>
          <w:sz w:val="24"/>
          <w:szCs w:val="24"/>
        </w:rPr>
      </w:pPr>
      <w:r w:rsidRPr="005371AB">
        <w:rPr>
          <w:rFonts w:ascii="Times New Roman" w:hAnsi="Times New Roman" w:cs="Times New Roman"/>
          <w:b/>
          <w:color w:val="auto"/>
          <w:sz w:val="24"/>
          <w:szCs w:val="24"/>
        </w:rPr>
        <w:t>Sutarties vykdymo užtikrinimas</w:t>
      </w:r>
      <w:r w:rsidRPr="005371AB">
        <w:rPr>
          <w:rFonts w:ascii="Times New Roman" w:hAnsi="Times New Roman" w:cs="Times New Roman"/>
          <w:color w:val="auto"/>
          <w:sz w:val="24"/>
          <w:szCs w:val="24"/>
        </w:rPr>
        <w:t xml:space="preserve">. </w:t>
      </w:r>
    </w:p>
    <w:p w14:paraId="726CCE67" w14:textId="2BFEB3A4"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Dalyvis ne vėliau kaip per 5 (penkias) darbo dienas nuo Sutarties pasirašymo dienos privalo Sutarties įvykdymo užtikrinimui pateikti Lietuvos Respublikoje ar užsienyje registruoto banko garantiją arba draudimo bendrovės laidavimo raštą, tai kaip tai numatyta pirkimo sąlygose. Užtikrinimo vertė turi būti ne mažesnė kaip [</w:t>
      </w:r>
      <w:r w:rsidRPr="00D33BCC">
        <w:rPr>
          <w:rFonts w:ascii="Times New Roman" w:hAnsi="Times New Roman"/>
          <w:sz w:val="24"/>
          <w:szCs w:val="24"/>
        </w:rPr>
        <w:t>nurodykite užtikrinimo sumą eurais skaičiais ir žodžiais</w:t>
      </w:r>
      <w:r w:rsidRPr="005371AB">
        <w:rPr>
          <w:rFonts w:ascii="Times New Roman" w:hAnsi="Times New Roman"/>
          <w:sz w:val="24"/>
          <w:szCs w:val="24"/>
        </w:rPr>
        <w:t xml:space="preserve">]. Sutartis įsigalioja tik Dalyviui pateikus reikalaujamą Sutarties įvykdymo užtikrinimą. </w:t>
      </w:r>
    </w:p>
    <w:p w14:paraId="53373729" w14:textId="77777777" w:rsidR="001A610A" w:rsidRPr="005371AB" w:rsidRDefault="001A610A" w:rsidP="001A610A">
      <w:pPr>
        <w:pStyle w:val="Heading6"/>
        <w:numPr>
          <w:ilvl w:val="0"/>
          <w:numId w:val="1"/>
        </w:numPr>
        <w:tabs>
          <w:tab w:val="num" w:pos="360"/>
        </w:tabs>
        <w:spacing w:before="120" w:after="120" w:line="250" w:lineRule="auto"/>
        <w:ind w:left="510" w:right="51" w:hanging="357"/>
        <w:jc w:val="both"/>
        <w:rPr>
          <w:rFonts w:ascii="Times New Roman" w:hAnsi="Times New Roman" w:cs="Times New Roman"/>
          <w:color w:val="auto"/>
          <w:sz w:val="24"/>
          <w:szCs w:val="24"/>
        </w:rPr>
      </w:pPr>
      <w:r w:rsidRPr="005371AB">
        <w:rPr>
          <w:rFonts w:ascii="Times New Roman" w:hAnsi="Times New Roman" w:cs="Times New Roman"/>
          <w:b/>
          <w:color w:val="auto"/>
          <w:sz w:val="24"/>
          <w:szCs w:val="24"/>
        </w:rPr>
        <w:t>Naudojimasis intelektinės nuosavybės teisėmis</w:t>
      </w:r>
      <w:r w:rsidRPr="005371AB">
        <w:rPr>
          <w:rFonts w:ascii="Times New Roman" w:hAnsi="Times New Roman" w:cs="Times New Roman"/>
          <w:color w:val="auto"/>
          <w:sz w:val="24"/>
          <w:szCs w:val="24"/>
        </w:rPr>
        <w:t xml:space="preserve">. </w:t>
      </w:r>
    </w:p>
    <w:p w14:paraId="084BEF8C" w14:textId="2894B814"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Intelektinės nuosavybės objektai, kurie sukuriami ar atsiranda Dalyviui dalyvaujant pirkime ir (ar) teikiant Mokslinių tyrimų ir eksperimentinės plėtros (toliau – </w:t>
      </w:r>
      <w:r w:rsidRPr="005371AB">
        <w:rPr>
          <w:rFonts w:ascii="Times New Roman" w:hAnsi="Times New Roman"/>
          <w:b/>
          <w:sz w:val="24"/>
          <w:szCs w:val="24"/>
        </w:rPr>
        <w:t>MTEP</w:t>
      </w:r>
      <w:r w:rsidRPr="005371AB">
        <w:rPr>
          <w:rFonts w:ascii="Times New Roman" w:hAnsi="Times New Roman"/>
          <w:sz w:val="24"/>
          <w:szCs w:val="24"/>
        </w:rPr>
        <w:t xml:space="preserve">) paslaugas arba prieš tai, jeigu juos Dalyvis naudoja per pirkimą ir (ar) teikdamas MTEP paslaugas, priklauso Dalyviui. </w:t>
      </w:r>
    </w:p>
    <w:p w14:paraId="6431848E" w14:textId="6C66A26B" w:rsidR="001A610A" w:rsidRPr="005371AB" w:rsidRDefault="001A610A" w:rsidP="001A610A">
      <w:pPr>
        <w:ind w:left="152" w:right="50"/>
        <w:rPr>
          <w:rFonts w:ascii="Times New Roman" w:hAnsi="Times New Roman"/>
          <w:sz w:val="24"/>
          <w:szCs w:val="24"/>
        </w:rPr>
      </w:pPr>
      <w:r w:rsidRPr="005371AB">
        <w:rPr>
          <w:rFonts w:ascii="Times New Roman" w:hAnsi="Times New Roman"/>
          <w:sz w:val="24"/>
          <w:szCs w:val="24"/>
        </w:rPr>
        <w:t>9.2.</w:t>
      </w:r>
      <w:r w:rsidRPr="005371AB">
        <w:rPr>
          <w:rFonts w:ascii="Times New Roman" w:eastAsia="Arial" w:hAnsi="Times New Roman"/>
          <w:sz w:val="24"/>
          <w:szCs w:val="24"/>
        </w:rPr>
        <w:t xml:space="preserve"> </w:t>
      </w:r>
      <w:r w:rsidRPr="005371AB">
        <w:rPr>
          <w:rFonts w:ascii="Times New Roman" w:hAnsi="Times New Roman"/>
          <w:sz w:val="24"/>
          <w:szCs w:val="24"/>
        </w:rPr>
        <w:t xml:space="preserve">Dalyvis privalo suteikti PO neribotą teisę neatlygintinai naudotis pirkimo metu sukurtais intelektinės nuosavybės objektais, o trečiosioms šalims – neišimtinę teisę (pavyzdžiui, licenciją rinkos sąlygomis). </w:t>
      </w:r>
    </w:p>
    <w:p w14:paraId="5AB72C5A" w14:textId="3871C3D4" w:rsidR="001A610A" w:rsidRPr="005371AB" w:rsidRDefault="001A610A" w:rsidP="001A610A">
      <w:pPr>
        <w:pStyle w:val="Heading6"/>
        <w:numPr>
          <w:ilvl w:val="0"/>
          <w:numId w:val="1"/>
        </w:numPr>
        <w:tabs>
          <w:tab w:val="num" w:pos="360"/>
        </w:tabs>
        <w:spacing w:before="120" w:after="120" w:line="250" w:lineRule="auto"/>
        <w:ind w:left="510" w:right="51" w:hanging="357"/>
        <w:jc w:val="both"/>
        <w:rPr>
          <w:rFonts w:ascii="Times New Roman" w:hAnsi="Times New Roman" w:cs="Times New Roman"/>
          <w:color w:val="auto"/>
          <w:sz w:val="24"/>
          <w:szCs w:val="24"/>
        </w:rPr>
      </w:pPr>
      <w:r w:rsidRPr="005371AB">
        <w:rPr>
          <w:rFonts w:ascii="Times New Roman" w:hAnsi="Times New Roman" w:cs="Times New Roman"/>
          <w:b/>
          <w:color w:val="auto"/>
          <w:sz w:val="24"/>
          <w:szCs w:val="24"/>
        </w:rPr>
        <w:t>Naudojimasis materialiąja pirkimo metu sukurta nuosavybe</w:t>
      </w:r>
      <w:r w:rsidRPr="005371AB">
        <w:rPr>
          <w:rFonts w:ascii="Times New Roman" w:hAnsi="Times New Roman" w:cs="Times New Roman"/>
          <w:color w:val="auto"/>
          <w:sz w:val="24"/>
          <w:szCs w:val="24"/>
        </w:rPr>
        <w:t>.</w:t>
      </w:r>
    </w:p>
    <w:p w14:paraId="402D60B2" w14:textId="65652120"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Jeigu Dalyvio pirkime sukurti pirkimo rezultatai yra neatsiejamai susiję materialiąja nuosavybe (sukurtas inovatyviojo produkto prototipas ar bandomoji inovatyviojo produkto partija), Dalyvis privalo perduoti šią nuosavybę PO.  </w:t>
      </w:r>
    </w:p>
    <w:p w14:paraId="27E36B00" w14:textId="0E63DD15"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Apie materialiosios nuosavybės perdavimą pažymima pirkimo rezultato priėmimo-perdavimo akte (Sutarties priedas Nr. 2 </w:t>
      </w:r>
      <w:r>
        <w:rPr>
          <w:rFonts w:ascii="Times New Roman" w:hAnsi="Times New Roman"/>
          <w:sz w:val="24"/>
          <w:szCs w:val="24"/>
        </w:rPr>
        <w:t>„</w:t>
      </w:r>
      <w:r w:rsidR="0072061C">
        <w:rPr>
          <w:rFonts w:ascii="Times New Roman" w:hAnsi="Times New Roman"/>
          <w:sz w:val="24"/>
          <w:szCs w:val="24"/>
        </w:rPr>
        <w:t>P</w:t>
      </w:r>
      <w:r w:rsidRPr="005371AB">
        <w:rPr>
          <w:rFonts w:ascii="Times New Roman" w:hAnsi="Times New Roman"/>
          <w:sz w:val="24"/>
          <w:szCs w:val="24"/>
        </w:rPr>
        <w:t>irkimo rezultato priėmimo perdavimo akto forma</w:t>
      </w:r>
      <w:r>
        <w:rPr>
          <w:rFonts w:ascii="Times New Roman" w:hAnsi="Times New Roman"/>
          <w:sz w:val="24"/>
          <w:szCs w:val="24"/>
        </w:rPr>
        <w:t>“</w:t>
      </w:r>
      <w:r w:rsidRPr="005371AB">
        <w:rPr>
          <w:rFonts w:ascii="Times New Roman" w:hAnsi="Times New Roman"/>
          <w:sz w:val="24"/>
          <w:szCs w:val="24"/>
        </w:rPr>
        <w:t xml:space="preserve">).  </w:t>
      </w:r>
    </w:p>
    <w:p w14:paraId="5A8CACC6" w14:textId="77777777" w:rsidR="001A610A" w:rsidRPr="005371AB" w:rsidRDefault="001A610A" w:rsidP="001A610A">
      <w:pPr>
        <w:pStyle w:val="Heading6"/>
        <w:numPr>
          <w:ilvl w:val="0"/>
          <w:numId w:val="1"/>
        </w:numPr>
        <w:tabs>
          <w:tab w:val="num" w:pos="360"/>
        </w:tabs>
        <w:spacing w:before="120" w:after="120" w:line="250" w:lineRule="auto"/>
        <w:ind w:left="510" w:right="51" w:hanging="357"/>
        <w:jc w:val="both"/>
        <w:rPr>
          <w:rFonts w:ascii="Times New Roman" w:hAnsi="Times New Roman" w:cs="Times New Roman"/>
          <w:b/>
          <w:color w:val="auto"/>
          <w:sz w:val="24"/>
          <w:szCs w:val="24"/>
        </w:rPr>
      </w:pPr>
      <w:r w:rsidRPr="005371AB">
        <w:rPr>
          <w:rFonts w:ascii="Times New Roman" w:hAnsi="Times New Roman" w:cs="Times New Roman"/>
          <w:b/>
          <w:color w:val="auto"/>
          <w:sz w:val="24"/>
          <w:szCs w:val="24"/>
        </w:rPr>
        <w:t>Konfidenciali informacija.</w:t>
      </w:r>
    </w:p>
    <w:p w14:paraId="61CD1699"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Šalys susitaria laikyti šią Sutartį (išskyrus Sutarties sudarymo faktą) bei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 nenaudoti konfidencialios informacijos asmeniniams ar trečiųjų asmenų poreikiams. </w:t>
      </w:r>
    </w:p>
    <w:p w14:paraId="13E8D04A"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lastRenderedPageBreak/>
        <w:t>Visa kiekvienos iš Šalių suteikta informacija yra laikoma konfidencialia, nebent kuri nors Šalis raštu patvirtins, kad tam tikra pateikta informacija nėra konfidenciali.</w:t>
      </w:r>
    </w:p>
    <w:p w14:paraId="658B5F27"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Konfidencialia informacija taip pat laikoma:</w:t>
      </w:r>
    </w:p>
    <w:p w14:paraId="2ECE44D1" w14:textId="77777777" w:rsidR="001A610A" w:rsidRPr="005371AB" w:rsidRDefault="001A610A" w:rsidP="001A610A">
      <w:pPr>
        <w:pStyle w:val="ListParagraph"/>
        <w:numPr>
          <w:ilvl w:val="2"/>
          <w:numId w:val="1"/>
        </w:numPr>
        <w:tabs>
          <w:tab w:val="left" w:pos="709"/>
        </w:tabs>
        <w:spacing w:after="5" w:line="266" w:lineRule="auto"/>
        <w:ind w:right="50"/>
        <w:jc w:val="both"/>
        <w:rPr>
          <w:rFonts w:ascii="Times New Roman" w:hAnsi="Times New Roman"/>
          <w:sz w:val="24"/>
          <w:szCs w:val="24"/>
        </w:rPr>
      </w:pPr>
      <w:r w:rsidRPr="005371AB">
        <w:rPr>
          <w:rFonts w:ascii="Times New Roman" w:hAnsi="Times New Roman"/>
          <w:sz w:val="24"/>
          <w:szCs w:val="24"/>
        </w:rPr>
        <w:t>elektronine forma, raštu ar kitu būdu išreikšta informacija, gauta vykdant Sutartį;</w:t>
      </w:r>
    </w:p>
    <w:p w14:paraId="3A32E41C" w14:textId="77777777" w:rsidR="001A610A" w:rsidRPr="005371AB" w:rsidRDefault="001A610A" w:rsidP="001A610A">
      <w:pPr>
        <w:pStyle w:val="ListParagraph"/>
        <w:numPr>
          <w:ilvl w:val="2"/>
          <w:numId w:val="1"/>
        </w:numPr>
        <w:tabs>
          <w:tab w:val="left" w:pos="709"/>
        </w:tabs>
        <w:spacing w:after="5" w:line="266" w:lineRule="auto"/>
        <w:ind w:right="50"/>
        <w:jc w:val="both"/>
        <w:rPr>
          <w:rFonts w:ascii="Times New Roman" w:hAnsi="Times New Roman"/>
          <w:sz w:val="24"/>
          <w:szCs w:val="24"/>
        </w:rPr>
      </w:pPr>
      <w:r w:rsidRPr="005371AB">
        <w:rPr>
          <w:rFonts w:ascii="Times New Roman" w:hAnsi="Times New Roman"/>
          <w:sz w:val="24"/>
          <w:szCs w:val="24"/>
        </w:rPr>
        <w:t>duomenys, asmens duomenys, elektroniniai duomenys, archyvuota informacija ir kita informacija, paruošta Šalies darbuotojų.</w:t>
      </w:r>
    </w:p>
    <w:p w14:paraId="4D65EC60"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Asmuo, kuriam Šalis atskleidžia konfidencialią informaciją, turi prisiimti konfidencialumo įsipareigojimus pagal šio Sutarties skyriaus nuostatas ir naudoti tokią informaciją tik tam tikslui, kuriam ji buvo suteikta. Šio skyriaus nuostatos netaikomos informacijai, kuri yra ar tampa prieinama viešai arba gauta atskleidus ar turi būti atskleista pagal teisės aktų reikalavimus. Šalis, pažeidusi šioje Sutartyje numatytus įsipareigojimus – saugoti konfidencialią informaciją ir jos neatskleisti - privalo atlyginti kitai Šaliai šios Sutarties pažeidimu padarytus nuostolius bei imtis visų protingų veiksmų, kad per trumpiausią laikotarpį ištaisytų tokio atskleidimo pasekmes.</w:t>
      </w:r>
    </w:p>
    <w:p w14:paraId="5A29EF6C"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w:t>
      </w:r>
    </w:p>
    <w:p w14:paraId="15D2E631"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Šalis, pažeidusi Sutartyje numatytą konfidencialumo pareigą, įsipareigoja pagal pagrįstą kitos Šalies reikalavimą sumokėti pastarajai </w:t>
      </w:r>
      <w:r w:rsidRPr="00D33BCC">
        <w:rPr>
          <w:rFonts w:ascii="Times New Roman" w:hAnsi="Times New Roman"/>
          <w:sz w:val="24"/>
          <w:szCs w:val="24"/>
        </w:rPr>
        <w:t>______ Eur (_________ eurų)</w:t>
      </w:r>
      <w:r w:rsidRPr="005371AB">
        <w:rPr>
          <w:rFonts w:ascii="Times New Roman" w:hAnsi="Times New Roman"/>
          <w:sz w:val="24"/>
          <w:szCs w:val="24"/>
        </w:rPr>
        <w:t xml:space="preserve"> dydžio baudą ir atlyginti visus Šalies patirtus tiesioginius ir netiesioginius nuostolius, kiek jų nepadengia numatyta bauda. Šiame punkte nurodyto dydžio bauda Šalių susitarimu laikoma minimaliais nukentėjusios Šalies nuostoliais, patiriamais kiekvienu atveju, kai kita Šalis nesilaiko nustatytų konfidencialumo įsipareigojimų.</w:t>
      </w:r>
    </w:p>
    <w:p w14:paraId="56D5A51D" w14:textId="77777777" w:rsidR="001A610A" w:rsidRPr="005371AB" w:rsidRDefault="001A610A" w:rsidP="001A610A">
      <w:pPr>
        <w:pStyle w:val="Heading6"/>
        <w:numPr>
          <w:ilvl w:val="0"/>
          <w:numId w:val="1"/>
        </w:numPr>
        <w:tabs>
          <w:tab w:val="num" w:pos="360"/>
        </w:tabs>
        <w:spacing w:before="120" w:after="120" w:line="250" w:lineRule="auto"/>
        <w:ind w:left="510" w:right="51" w:hanging="357"/>
        <w:jc w:val="both"/>
        <w:rPr>
          <w:rFonts w:ascii="Times New Roman" w:hAnsi="Times New Roman" w:cs="Times New Roman"/>
          <w:color w:val="auto"/>
          <w:sz w:val="24"/>
          <w:szCs w:val="24"/>
        </w:rPr>
      </w:pPr>
      <w:r w:rsidRPr="005371AB">
        <w:rPr>
          <w:rFonts w:ascii="Times New Roman" w:hAnsi="Times New Roman" w:cs="Times New Roman"/>
          <w:b/>
          <w:color w:val="auto"/>
          <w:sz w:val="24"/>
          <w:szCs w:val="24"/>
        </w:rPr>
        <w:t>Kitos sąlygos</w:t>
      </w:r>
      <w:r w:rsidRPr="005371AB">
        <w:rPr>
          <w:rFonts w:ascii="Times New Roman" w:hAnsi="Times New Roman" w:cs="Times New Roman"/>
          <w:color w:val="auto"/>
          <w:sz w:val="24"/>
          <w:szCs w:val="24"/>
        </w:rPr>
        <w:t xml:space="preserve">. </w:t>
      </w:r>
    </w:p>
    <w:p w14:paraId="5D2C3608"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Šalys pripažįsta, kad sudarydamos šią Sutartį išreiškia savo valią būti saistomomis šios Sutarties. </w:t>
      </w:r>
    </w:p>
    <w:p w14:paraId="0421AB59"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Sutartis yra sudaryta bei turi būti vykdoma ir aiškinama pagal Lietuvos Respublikos įstatymus ir jai taikoma Lietuvos Respublikos teisė. </w:t>
      </w:r>
    </w:p>
    <w:p w14:paraId="1AB73207" w14:textId="77777777"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Jei bet kuri Sutarties nuostata tampa ar pripažįstama visiškai ar iš dalies negaliojančia, tai neturi įtakos kitų Sutarties nuostatų galiojimui. </w:t>
      </w:r>
    </w:p>
    <w:p w14:paraId="0106EEF8" w14:textId="77777777" w:rsidR="001A610A" w:rsidRPr="005371AB" w:rsidRDefault="001A610A" w:rsidP="00C9071A">
      <w:pPr>
        <w:pStyle w:val="ListParagraph"/>
        <w:numPr>
          <w:ilvl w:val="1"/>
          <w:numId w:val="1"/>
        </w:numPr>
        <w:tabs>
          <w:tab w:val="left" w:pos="709"/>
        </w:tabs>
        <w:spacing w:after="5" w:line="266" w:lineRule="auto"/>
        <w:ind w:left="142" w:right="51" w:firstLine="13"/>
        <w:jc w:val="both"/>
        <w:rPr>
          <w:rFonts w:ascii="Times New Roman" w:hAnsi="Times New Roman"/>
          <w:sz w:val="24"/>
          <w:szCs w:val="24"/>
        </w:rPr>
      </w:pPr>
      <w:r w:rsidRPr="005371AB">
        <w:rPr>
          <w:rFonts w:ascii="Times New Roman" w:hAnsi="Times New Roman"/>
          <w:sz w:val="24"/>
          <w:szCs w:val="24"/>
        </w:rPr>
        <w:t xml:space="preserve">Jei Dalyvis Sutarties vykdymui pasitelkia subtiekėją (-us), kuris (-e) netinkamai vykdo įsipareigojimus Dalyviui, taip pat tuo atveju, kai subtiekėjas (-ai) nepajėgus vykdyti įsipareigojimų </w:t>
      </w:r>
    </w:p>
    <w:p w14:paraId="020A4AF5" w14:textId="77777777" w:rsidR="001A610A" w:rsidRPr="005371AB" w:rsidRDefault="474776A6" w:rsidP="007D555A">
      <w:pPr>
        <w:pStyle w:val="ListParagraph"/>
        <w:tabs>
          <w:tab w:val="left" w:pos="709"/>
        </w:tabs>
        <w:ind w:left="155" w:right="51"/>
        <w:jc w:val="both"/>
        <w:rPr>
          <w:rFonts w:ascii="Times New Roman" w:hAnsi="Times New Roman"/>
          <w:sz w:val="24"/>
          <w:szCs w:val="24"/>
        </w:rPr>
      </w:pPr>
      <w:r w:rsidRPr="5A65C882">
        <w:rPr>
          <w:rFonts w:ascii="Times New Roman" w:hAnsi="Times New Roman"/>
          <w:sz w:val="24"/>
          <w:szCs w:val="24"/>
        </w:rPr>
        <w:t xml:space="preserve">Dalyviui dėl iškeltos bankroto bylos ir (ar) panašios padėties, Dalyvis gali pakeisti subtiekėją (-us). Apie tai jis privalo raštu informuoti PO šioje Sutartyje nustatyta tvarka, nurodydamas subtiekėjo (-ų) pakeitimo priežastis. Subtiekėjo (-ų) pakeitimui Šalys sudaro susitarimą dėl subtiekėjo (-ų) pakeitimo. Ši Sutarties sąlyga taikoma tuomet, jei pasiūlyme Dalyvis nurodo, kad ketina pasitelkti subtiekėją (-us). </w:t>
      </w:r>
    </w:p>
    <w:p w14:paraId="5FEA4895" w14:textId="77777777" w:rsidR="001A610A" w:rsidRPr="005371AB" w:rsidRDefault="001A610A" w:rsidP="001A610A">
      <w:pPr>
        <w:pStyle w:val="ListParagraph"/>
        <w:numPr>
          <w:ilvl w:val="1"/>
          <w:numId w:val="1"/>
        </w:numPr>
        <w:tabs>
          <w:tab w:val="left" w:pos="709"/>
        </w:tabs>
        <w:spacing w:after="5" w:line="266" w:lineRule="auto"/>
        <w:ind w:left="142" w:right="51" w:firstLine="13"/>
        <w:jc w:val="both"/>
        <w:rPr>
          <w:rFonts w:ascii="Times New Roman" w:hAnsi="Times New Roman"/>
          <w:sz w:val="24"/>
          <w:szCs w:val="24"/>
        </w:rPr>
      </w:pPr>
      <w:r w:rsidRPr="005371AB">
        <w:rPr>
          <w:rFonts w:ascii="Times New Roman" w:hAnsi="Times New Roman"/>
          <w:sz w:val="24"/>
          <w:szCs w:val="24"/>
        </w:rPr>
        <w:t xml:space="preserve">Ginčai sprendžiami derybų būdu, o nepavykus išspręsti ginčo per 30 (trisdešimt) kalendorinių dienų nuo ginčo pradžios dienos (ginčo pradžios diena laikoma diena, kai viena Sutarties Šalis gauna kitos Šalies Sutartyje nustatyta tvarka pateiktą pretenziją), jis bus nagrinėjamas įstatymų nustatyta tvarka kompetentingame teisme. </w:t>
      </w:r>
    </w:p>
    <w:p w14:paraId="39EF6E95" w14:textId="77777777" w:rsidR="001A610A" w:rsidRPr="005371AB" w:rsidRDefault="001A610A" w:rsidP="001A610A">
      <w:pPr>
        <w:pStyle w:val="ListParagraph"/>
        <w:numPr>
          <w:ilvl w:val="1"/>
          <w:numId w:val="1"/>
        </w:numPr>
        <w:tabs>
          <w:tab w:val="left" w:pos="709"/>
        </w:tabs>
        <w:spacing w:after="5" w:line="266" w:lineRule="auto"/>
        <w:ind w:left="142" w:right="51" w:firstLine="13"/>
        <w:jc w:val="both"/>
        <w:rPr>
          <w:rFonts w:ascii="Times New Roman" w:hAnsi="Times New Roman"/>
          <w:sz w:val="24"/>
          <w:szCs w:val="24"/>
        </w:rPr>
      </w:pPr>
      <w:r w:rsidRPr="005371AB">
        <w:rPr>
          <w:rFonts w:ascii="Times New Roman" w:hAnsi="Times New Roman"/>
          <w:sz w:val="24"/>
          <w:szCs w:val="24"/>
        </w:rPr>
        <w:t xml:space="preserve">Šalys susitaria, kad visas susirašinėjimas tarp Šalių bus vykdomas lietuvių kalba. Visi pranešimai ir kitas susirašinėjimas, kuriuos Šalis gali pateikti kitai Šaliai pagal šią Sutartį, bus laikomi galiojančiais ir įteiktais tinkamai, jeigu yra gautas patvirtinimas apie gavimą arba išsiųsti </w:t>
      </w:r>
      <w:r w:rsidRPr="005371AB">
        <w:rPr>
          <w:rFonts w:ascii="Times New Roman" w:hAnsi="Times New Roman"/>
          <w:sz w:val="24"/>
          <w:szCs w:val="24"/>
        </w:rPr>
        <w:lastRenderedPageBreak/>
        <w:t xml:space="preserve">registruotu paštu, faksu, el. paštu Šalių Sutartyje nurodytais adresais ar fakso numeriais, kitais adresais ar fakso numeriais, kuriuos nurodė viena Šalis, pateikdama pranešimą. </w:t>
      </w:r>
    </w:p>
    <w:p w14:paraId="31720B51" w14:textId="77777777" w:rsidR="001A610A" w:rsidRPr="005371AB" w:rsidRDefault="001A610A" w:rsidP="001A610A">
      <w:pPr>
        <w:pStyle w:val="ListParagraph"/>
        <w:numPr>
          <w:ilvl w:val="1"/>
          <w:numId w:val="1"/>
        </w:numPr>
        <w:tabs>
          <w:tab w:val="left" w:pos="709"/>
        </w:tabs>
        <w:spacing w:after="5" w:line="266" w:lineRule="auto"/>
        <w:ind w:left="142" w:right="51" w:firstLine="13"/>
        <w:jc w:val="both"/>
        <w:rPr>
          <w:rFonts w:ascii="Times New Roman" w:hAnsi="Times New Roman"/>
          <w:sz w:val="24"/>
          <w:szCs w:val="24"/>
        </w:rPr>
      </w:pPr>
      <w:r w:rsidRPr="005371AB">
        <w:rPr>
          <w:rFonts w:ascii="Times New Roman" w:hAnsi="Times New Roman"/>
          <w:sz w:val="24"/>
          <w:szCs w:val="24"/>
        </w:rPr>
        <w:t xml:space="preserve">Jei pasikeičia Šalies adresas ir (ar) kiti kontaktiniai ar atsiskaitymo duomenys, Šalis privalo informuoti kitą Šalį apie įvyksiantį tokių duomenų pasikeitimą, pranešdama ne vėliau kaip prieš 3 (tris) darbo dienas. Jei Šalis nesilaiko pranešimo pareigos, laikoma, kad kita Šalis tinkamai įvykdė savo pareigas, jei jas vykdė remdamasi paskutiniais jai žinomais kontaktiniais ir (ar) atsiskaitymo duomenimis. </w:t>
      </w:r>
    </w:p>
    <w:p w14:paraId="7F28FD4F" w14:textId="108CF9DC" w:rsidR="001A610A" w:rsidRPr="005371AB" w:rsidRDefault="001A610A" w:rsidP="001A610A">
      <w:pPr>
        <w:pStyle w:val="ListParagraph"/>
        <w:numPr>
          <w:ilvl w:val="1"/>
          <w:numId w:val="1"/>
        </w:numPr>
        <w:tabs>
          <w:tab w:val="left" w:pos="709"/>
        </w:tabs>
        <w:spacing w:after="5" w:line="266" w:lineRule="auto"/>
        <w:ind w:left="142" w:right="50" w:firstLine="13"/>
        <w:jc w:val="both"/>
        <w:rPr>
          <w:rFonts w:ascii="Times New Roman" w:hAnsi="Times New Roman"/>
          <w:sz w:val="24"/>
          <w:szCs w:val="24"/>
        </w:rPr>
      </w:pPr>
      <w:r w:rsidRPr="005371AB">
        <w:rPr>
          <w:rFonts w:ascii="Times New Roman" w:hAnsi="Times New Roman"/>
          <w:sz w:val="24"/>
          <w:szCs w:val="24"/>
        </w:rPr>
        <w:t xml:space="preserve">Ši Sutartis </w:t>
      </w:r>
      <w:r w:rsidR="00C9071A">
        <w:rPr>
          <w:rFonts w:ascii="Times New Roman" w:hAnsi="Times New Roman"/>
          <w:sz w:val="24"/>
          <w:szCs w:val="24"/>
        </w:rPr>
        <w:t>pasirašyta kvalifikuotu elektroniniu parašu ir saugoma elektroninių ryšių priemonėmis</w:t>
      </w:r>
      <w:r w:rsidRPr="005371AB">
        <w:rPr>
          <w:rFonts w:ascii="Times New Roman" w:hAnsi="Times New Roman"/>
          <w:sz w:val="24"/>
          <w:szCs w:val="24"/>
        </w:rPr>
        <w:t xml:space="preserve">. </w:t>
      </w:r>
    </w:p>
    <w:p w14:paraId="628ACC90" w14:textId="5A226957" w:rsidR="001A610A" w:rsidRPr="005371AB" w:rsidRDefault="001A610A" w:rsidP="001A610A">
      <w:pPr>
        <w:pStyle w:val="ListParagraph"/>
        <w:numPr>
          <w:ilvl w:val="1"/>
          <w:numId w:val="1"/>
        </w:numPr>
        <w:tabs>
          <w:tab w:val="left" w:pos="709"/>
        </w:tabs>
        <w:spacing w:after="5" w:line="266" w:lineRule="auto"/>
        <w:ind w:left="155" w:right="50" w:firstLine="13"/>
        <w:jc w:val="both"/>
        <w:rPr>
          <w:rFonts w:ascii="Times New Roman" w:hAnsi="Times New Roman"/>
          <w:sz w:val="24"/>
          <w:szCs w:val="24"/>
        </w:rPr>
      </w:pPr>
      <w:r w:rsidRPr="005371AB">
        <w:rPr>
          <w:rFonts w:ascii="Times New Roman" w:hAnsi="Times New Roman"/>
          <w:sz w:val="24"/>
          <w:szCs w:val="24"/>
        </w:rPr>
        <w:t xml:space="preserve">Neatskiriama šios Sutarties dalis yra priedas Nr. 1 </w:t>
      </w:r>
      <w:r>
        <w:rPr>
          <w:rFonts w:ascii="Times New Roman" w:hAnsi="Times New Roman"/>
          <w:sz w:val="24"/>
          <w:szCs w:val="24"/>
        </w:rPr>
        <w:t>„</w:t>
      </w:r>
      <w:r w:rsidRPr="005371AB">
        <w:rPr>
          <w:rFonts w:ascii="Times New Roman" w:hAnsi="Times New Roman"/>
          <w:sz w:val="24"/>
          <w:szCs w:val="24"/>
        </w:rPr>
        <w:t xml:space="preserve">Techninė specifikacija, priedas Nr. 2 </w:t>
      </w:r>
      <w:r>
        <w:rPr>
          <w:rFonts w:ascii="Times New Roman" w:hAnsi="Times New Roman"/>
          <w:sz w:val="24"/>
          <w:szCs w:val="24"/>
        </w:rPr>
        <w:t>„</w:t>
      </w:r>
      <w:r w:rsidR="0072061C">
        <w:rPr>
          <w:rFonts w:ascii="Times New Roman" w:hAnsi="Times New Roman"/>
          <w:sz w:val="24"/>
          <w:szCs w:val="24"/>
        </w:rPr>
        <w:t>P</w:t>
      </w:r>
      <w:r w:rsidRPr="005371AB">
        <w:rPr>
          <w:rFonts w:ascii="Times New Roman" w:hAnsi="Times New Roman"/>
          <w:sz w:val="24"/>
          <w:szCs w:val="24"/>
        </w:rPr>
        <w:t>irkimo rezultato priėmimo-perdavimo akto forma</w:t>
      </w:r>
      <w:r>
        <w:rPr>
          <w:rFonts w:ascii="Times New Roman" w:hAnsi="Times New Roman"/>
          <w:sz w:val="24"/>
          <w:szCs w:val="24"/>
        </w:rPr>
        <w:t>“</w:t>
      </w:r>
      <w:r w:rsidRPr="005371AB">
        <w:rPr>
          <w:rFonts w:ascii="Times New Roman" w:hAnsi="Times New Roman"/>
          <w:sz w:val="24"/>
          <w:szCs w:val="24"/>
        </w:rPr>
        <w:t xml:space="preserve"> ir priedas Nr. 3 </w:t>
      </w:r>
      <w:r>
        <w:rPr>
          <w:rFonts w:ascii="Times New Roman" w:hAnsi="Times New Roman"/>
          <w:sz w:val="24"/>
          <w:szCs w:val="24"/>
        </w:rPr>
        <w:t>„</w:t>
      </w:r>
      <w:r w:rsidRPr="005371AB">
        <w:rPr>
          <w:rFonts w:ascii="Times New Roman" w:hAnsi="Times New Roman"/>
          <w:sz w:val="24"/>
          <w:szCs w:val="24"/>
        </w:rPr>
        <w:t>Dalyvio pasiūlymas</w:t>
      </w:r>
      <w:r>
        <w:rPr>
          <w:rFonts w:ascii="Times New Roman" w:hAnsi="Times New Roman"/>
          <w:sz w:val="24"/>
          <w:szCs w:val="24"/>
        </w:rPr>
        <w:t>“</w:t>
      </w:r>
      <w:r w:rsidRPr="005371AB">
        <w:rPr>
          <w:rFonts w:ascii="Times New Roman" w:hAnsi="Times New Roman"/>
          <w:sz w:val="24"/>
          <w:szCs w:val="24"/>
        </w:rPr>
        <w:t xml:space="preserve">. </w:t>
      </w:r>
    </w:p>
    <w:p w14:paraId="01D69CBD" w14:textId="77777777" w:rsidR="001A610A" w:rsidRPr="005371AB" w:rsidRDefault="001A610A" w:rsidP="001A610A">
      <w:pPr>
        <w:tabs>
          <w:tab w:val="left" w:pos="851"/>
        </w:tabs>
        <w:ind w:left="142" w:right="5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1A610A" w:rsidRPr="00D33BCC" w14:paraId="5F5F2FA6" w14:textId="77777777" w:rsidTr="005A6679">
        <w:tc>
          <w:tcPr>
            <w:tcW w:w="4803" w:type="dxa"/>
          </w:tcPr>
          <w:p w14:paraId="2147ABC5"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b/>
                <w:sz w:val="24"/>
                <w:szCs w:val="24"/>
              </w:rPr>
              <w:t>PERKANČIOJI ORGANIZACIJA</w:t>
            </w:r>
          </w:p>
        </w:tc>
        <w:tc>
          <w:tcPr>
            <w:tcW w:w="4804" w:type="dxa"/>
          </w:tcPr>
          <w:p w14:paraId="55956561"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b/>
                <w:sz w:val="24"/>
                <w:szCs w:val="24"/>
              </w:rPr>
              <w:t>DALYVIS</w:t>
            </w:r>
          </w:p>
        </w:tc>
      </w:tr>
      <w:tr w:rsidR="001A610A" w:rsidRPr="00D33BCC" w14:paraId="686D93B8" w14:textId="77777777" w:rsidTr="005A6679">
        <w:trPr>
          <w:trHeight w:val="2419"/>
        </w:trPr>
        <w:tc>
          <w:tcPr>
            <w:tcW w:w="4803" w:type="dxa"/>
          </w:tcPr>
          <w:p w14:paraId="61B3E558"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[pavadinimas]</w:t>
            </w:r>
          </w:p>
          <w:p w14:paraId="4D724C57"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Juridinio asmens kodas: [...]</w:t>
            </w:r>
          </w:p>
          <w:p w14:paraId="34E78A9C" w14:textId="77777777" w:rsidR="001A610A" w:rsidRPr="00D33BCC" w:rsidRDefault="001A610A" w:rsidP="005A6679">
            <w:pPr>
              <w:ind w:right="50"/>
              <w:rPr>
                <w:rFonts w:ascii="Times New Roman" w:hAnsi="Times New Roman"/>
                <w:sz w:val="24"/>
                <w:szCs w:val="24"/>
              </w:rPr>
            </w:pPr>
            <w:r w:rsidRPr="00D33BCC">
              <w:rPr>
                <w:rFonts w:ascii="Times New Roman" w:hAnsi="Times New Roman"/>
                <w:sz w:val="24"/>
                <w:szCs w:val="24"/>
              </w:rPr>
              <w:t>Adresas: [...]</w:t>
            </w:r>
          </w:p>
          <w:p w14:paraId="31BD56D1"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El. paštas: [...]</w:t>
            </w:r>
          </w:p>
          <w:p w14:paraId="47B86917"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Tel.: [...]</w:t>
            </w:r>
          </w:p>
          <w:p w14:paraId="08A4770B"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Faksas: [...]</w:t>
            </w:r>
          </w:p>
          <w:p w14:paraId="287792C0"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 xml:space="preserve">[...] bankas, kodas [...] </w:t>
            </w:r>
          </w:p>
          <w:p w14:paraId="0E459A9B" w14:textId="77777777" w:rsidR="001A610A" w:rsidRPr="00D33BCC" w:rsidRDefault="001A610A" w:rsidP="005A6679">
            <w:pPr>
              <w:spacing w:line="256" w:lineRule="auto"/>
              <w:ind w:right="50"/>
              <w:rPr>
                <w:rFonts w:ascii="Times New Roman" w:hAnsi="Times New Roman"/>
                <w:sz w:val="24"/>
                <w:szCs w:val="24"/>
              </w:rPr>
            </w:pPr>
            <w:proofErr w:type="spellStart"/>
            <w:r w:rsidRPr="00D33BCC">
              <w:rPr>
                <w:rFonts w:ascii="Times New Roman" w:hAnsi="Times New Roman"/>
                <w:sz w:val="24"/>
                <w:szCs w:val="24"/>
              </w:rPr>
              <w:t>Sąsk</w:t>
            </w:r>
            <w:proofErr w:type="spellEnd"/>
            <w:r w:rsidRPr="00D33BCC">
              <w:rPr>
                <w:rFonts w:ascii="Times New Roman" w:hAnsi="Times New Roman"/>
                <w:sz w:val="24"/>
                <w:szCs w:val="24"/>
              </w:rPr>
              <w:t>.: [...]</w:t>
            </w:r>
          </w:p>
          <w:p w14:paraId="1F48F165"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PVM mok. kodas: […]</w:t>
            </w:r>
          </w:p>
        </w:tc>
        <w:tc>
          <w:tcPr>
            <w:tcW w:w="4804" w:type="dxa"/>
          </w:tcPr>
          <w:p w14:paraId="4C61754D"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[pavadinimas]</w:t>
            </w:r>
          </w:p>
          <w:p w14:paraId="51DDDAFF"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Juridinio asmens kodas: [...]</w:t>
            </w:r>
          </w:p>
          <w:p w14:paraId="4727422D" w14:textId="77777777" w:rsidR="001A610A" w:rsidRPr="00D33BCC" w:rsidRDefault="001A610A" w:rsidP="005A6679">
            <w:pPr>
              <w:ind w:right="50"/>
              <w:rPr>
                <w:rFonts w:ascii="Times New Roman" w:hAnsi="Times New Roman"/>
                <w:sz w:val="24"/>
                <w:szCs w:val="24"/>
              </w:rPr>
            </w:pPr>
            <w:r w:rsidRPr="00D33BCC">
              <w:rPr>
                <w:rFonts w:ascii="Times New Roman" w:hAnsi="Times New Roman"/>
                <w:sz w:val="24"/>
                <w:szCs w:val="24"/>
              </w:rPr>
              <w:t>Adresas: [...]</w:t>
            </w:r>
          </w:p>
          <w:p w14:paraId="48229482"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El. paštas: [...]</w:t>
            </w:r>
          </w:p>
          <w:p w14:paraId="71A82919"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Tel.: [...]</w:t>
            </w:r>
          </w:p>
          <w:p w14:paraId="5B3D972C"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Faksas: [...]</w:t>
            </w:r>
          </w:p>
          <w:p w14:paraId="64DD4CD2"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 xml:space="preserve">[...] bankas, kodas [...] </w:t>
            </w:r>
          </w:p>
          <w:p w14:paraId="18D90C54" w14:textId="77777777" w:rsidR="001A610A" w:rsidRPr="00D33BCC" w:rsidRDefault="001A610A" w:rsidP="005A6679">
            <w:pPr>
              <w:spacing w:line="256" w:lineRule="auto"/>
              <w:ind w:right="50"/>
              <w:rPr>
                <w:rFonts w:ascii="Times New Roman" w:hAnsi="Times New Roman"/>
                <w:sz w:val="24"/>
                <w:szCs w:val="24"/>
              </w:rPr>
            </w:pPr>
            <w:proofErr w:type="spellStart"/>
            <w:r w:rsidRPr="00D33BCC">
              <w:rPr>
                <w:rFonts w:ascii="Times New Roman" w:hAnsi="Times New Roman"/>
                <w:sz w:val="24"/>
                <w:szCs w:val="24"/>
              </w:rPr>
              <w:t>Sąsk</w:t>
            </w:r>
            <w:proofErr w:type="spellEnd"/>
            <w:r w:rsidRPr="00D33BCC">
              <w:rPr>
                <w:rFonts w:ascii="Times New Roman" w:hAnsi="Times New Roman"/>
                <w:sz w:val="24"/>
                <w:szCs w:val="24"/>
              </w:rPr>
              <w:t>.: [...]</w:t>
            </w:r>
          </w:p>
          <w:p w14:paraId="59BAA58A"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PVM mok. kodas: […]</w:t>
            </w:r>
          </w:p>
        </w:tc>
      </w:tr>
      <w:tr w:rsidR="001A610A" w:rsidRPr="005371AB" w14:paraId="33D5E09B" w14:textId="77777777" w:rsidTr="005A6679">
        <w:trPr>
          <w:trHeight w:val="1579"/>
        </w:trPr>
        <w:tc>
          <w:tcPr>
            <w:tcW w:w="4803" w:type="dxa"/>
          </w:tcPr>
          <w:p w14:paraId="4EC8EBF5"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[pareigos]</w:t>
            </w:r>
          </w:p>
          <w:p w14:paraId="0D110859"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[vardas ir pavardė]</w:t>
            </w:r>
          </w:p>
          <w:p w14:paraId="6179F8D9" w14:textId="77777777" w:rsidR="001A610A" w:rsidRPr="00D33BCC" w:rsidRDefault="001A610A" w:rsidP="005A6679">
            <w:pPr>
              <w:spacing w:line="256" w:lineRule="auto"/>
              <w:ind w:right="50"/>
              <w:rPr>
                <w:rFonts w:ascii="Times New Roman" w:hAnsi="Times New Roman"/>
                <w:sz w:val="24"/>
                <w:szCs w:val="24"/>
              </w:rPr>
            </w:pPr>
          </w:p>
          <w:p w14:paraId="1F4C97B7"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_____________________</w:t>
            </w:r>
          </w:p>
          <w:p w14:paraId="58651D1F" w14:textId="0B5A323C"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 xml:space="preserve">                                         </w:t>
            </w:r>
          </w:p>
        </w:tc>
        <w:tc>
          <w:tcPr>
            <w:tcW w:w="4804" w:type="dxa"/>
          </w:tcPr>
          <w:p w14:paraId="3A1B1FB4"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[pareigos]</w:t>
            </w:r>
          </w:p>
          <w:p w14:paraId="3D9C1661"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[vardas ir pavardė]</w:t>
            </w:r>
          </w:p>
          <w:p w14:paraId="281366D9" w14:textId="77777777" w:rsidR="001A610A" w:rsidRPr="00D33BCC" w:rsidRDefault="001A610A" w:rsidP="005A6679">
            <w:pPr>
              <w:spacing w:line="256" w:lineRule="auto"/>
              <w:ind w:right="50"/>
              <w:rPr>
                <w:rFonts w:ascii="Times New Roman" w:hAnsi="Times New Roman"/>
                <w:sz w:val="24"/>
                <w:szCs w:val="24"/>
              </w:rPr>
            </w:pPr>
          </w:p>
          <w:p w14:paraId="0B5D63FC" w14:textId="77777777" w:rsidR="001A610A" w:rsidRPr="00D33BCC"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_____________________</w:t>
            </w:r>
          </w:p>
          <w:p w14:paraId="18D16329" w14:textId="1E45DBF3" w:rsidR="001A610A" w:rsidRPr="005371AB" w:rsidRDefault="001A610A" w:rsidP="005A6679">
            <w:pPr>
              <w:spacing w:line="256" w:lineRule="auto"/>
              <w:ind w:right="50"/>
              <w:rPr>
                <w:rFonts w:ascii="Times New Roman" w:hAnsi="Times New Roman"/>
                <w:sz w:val="24"/>
                <w:szCs w:val="24"/>
              </w:rPr>
            </w:pPr>
            <w:r w:rsidRPr="00D33BCC">
              <w:rPr>
                <w:rFonts w:ascii="Times New Roman" w:hAnsi="Times New Roman"/>
                <w:sz w:val="24"/>
                <w:szCs w:val="24"/>
              </w:rPr>
              <w:t xml:space="preserve">                                         </w:t>
            </w:r>
          </w:p>
        </w:tc>
      </w:tr>
    </w:tbl>
    <w:p w14:paraId="14585EC8" w14:textId="77777777" w:rsidR="001A610A" w:rsidRDefault="001A610A"/>
    <w:sectPr w:rsidR="001A61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35EB"/>
    <w:multiLevelType w:val="multilevel"/>
    <w:tmpl w:val="E8A8FBF0"/>
    <w:lvl w:ilvl="0">
      <w:start w:val="1"/>
      <w:numFmt w:val="decimal"/>
      <w:lvlText w:val="%1."/>
      <w:lvlJc w:val="left"/>
      <w:pPr>
        <w:ind w:left="515" w:hanging="360"/>
      </w:pPr>
      <w:rPr>
        <w:rFonts w:hint="default"/>
        <w:b/>
        <w:color w:val="auto"/>
      </w:rPr>
    </w:lvl>
    <w:lvl w:ilvl="1">
      <w:start w:val="1"/>
      <w:numFmt w:val="decimal"/>
      <w:isLgl/>
      <w:lvlText w:val="%1.%2."/>
      <w:lvlJc w:val="left"/>
      <w:pPr>
        <w:ind w:left="4338" w:hanging="510"/>
      </w:pPr>
      <w:rPr>
        <w:rFonts w:hint="default"/>
      </w:rPr>
    </w:lvl>
    <w:lvl w:ilvl="2">
      <w:start w:val="1"/>
      <w:numFmt w:val="decimal"/>
      <w:isLgl/>
      <w:lvlText w:val="%1.%2.%3."/>
      <w:lvlJc w:val="left"/>
      <w:pPr>
        <w:ind w:left="875" w:hanging="720"/>
      </w:pPr>
      <w:rPr>
        <w:rFonts w:hint="default"/>
      </w:rPr>
    </w:lvl>
    <w:lvl w:ilvl="3">
      <w:start w:val="1"/>
      <w:numFmt w:val="decimal"/>
      <w:isLgl/>
      <w:lvlText w:val="%1.%2.%3.%4."/>
      <w:lvlJc w:val="left"/>
      <w:pPr>
        <w:ind w:left="875" w:hanging="720"/>
      </w:pPr>
      <w:rPr>
        <w:rFonts w:hint="default"/>
      </w:rPr>
    </w:lvl>
    <w:lvl w:ilvl="4">
      <w:start w:val="1"/>
      <w:numFmt w:val="decimal"/>
      <w:isLgl/>
      <w:lvlText w:val="%1.%2.%3.%4.%5."/>
      <w:lvlJc w:val="left"/>
      <w:pPr>
        <w:ind w:left="1235" w:hanging="1080"/>
      </w:pPr>
      <w:rPr>
        <w:rFonts w:hint="default"/>
      </w:rPr>
    </w:lvl>
    <w:lvl w:ilvl="5">
      <w:start w:val="1"/>
      <w:numFmt w:val="decimal"/>
      <w:isLgl/>
      <w:lvlText w:val="%1.%2.%3.%4.%5.%6."/>
      <w:lvlJc w:val="left"/>
      <w:pPr>
        <w:ind w:left="1235" w:hanging="1080"/>
      </w:pPr>
      <w:rPr>
        <w:rFonts w:hint="default"/>
      </w:rPr>
    </w:lvl>
    <w:lvl w:ilvl="6">
      <w:start w:val="1"/>
      <w:numFmt w:val="decimal"/>
      <w:isLgl/>
      <w:lvlText w:val="%1.%2.%3.%4.%5.%6.%7."/>
      <w:lvlJc w:val="left"/>
      <w:pPr>
        <w:ind w:left="1595" w:hanging="1440"/>
      </w:pPr>
      <w:rPr>
        <w:rFonts w:hint="default"/>
      </w:rPr>
    </w:lvl>
    <w:lvl w:ilvl="7">
      <w:start w:val="1"/>
      <w:numFmt w:val="decimal"/>
      <w:isLgl/>
      <w:lvlText w:val="%1.%2.%3.%4.%5.%6.%7.%8."/>
      <w:lvlJc w:val="left"/>
      <w:pPr>
        <w:ind w:left="1595" w:hanging="1440"/>
      </w:pPr>
      <w:rPr>
        <w:rFonts w:hint="default"/>
      </w:rPr>
    </w:lvl>
    <w:lvl w:ilvl="8">
      <w:start w:val="1"/>
      <w:numFmt w:val="decimal"/>
      <w:isLgl/>
      <w:lvlText w:val="%1.%2.%3.%4.%5.%6.%7.%8.%9."/>
      <w:lvlJc w:val="left"/>
      <w:pPr>
        <w:ind w:left="1955" w:hanging="1800"/>
      </w:pPr>
      <w:rPr>
        <w:rFonts w:hint="default"/>
      </w:rPr>
    </w:lvl>
  </w:abstractNum>
  <w:num w:numId="1" w16cid:durableId="160145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0A"/>
    <w:rsid w:val="00056612"/>
    <w:rsid w:val="000F089C"/>
    <w:rsid w:val="001A610A"/>
    <w:rsid w:val="001A7838"/>
    <w:rsid w:val="00243B55"/>
    <w:rsid w:val="002D7B4B"/>
    <w:rsid w:val="003471E7"/>
    <w:rsid w:val="003B4FF8"/>
    <w:rsid w:val="004E09DD"/>
    <w:rsid w:val="005A6679"/>
    <w:rsid w:val="006960B7"/>
    <w:rsid w:val="006C1839"/>
    <w:rsid w:val="0072061C"/>
    <w:rsid w:val="00744D32"/>
    <w:rsid w:val="007C5CE4"/>
    <w:rsid w:val="007D555A"/>
    <w:rsid w:val="007E53BC"/>
    <w:rsid w:val="00831DFB"/>
    <w:rsid w:val="0089308D"/>
    <w:rsid w:val="00896585"/>
    <w:rsid w:val="008C110E"/>
    <w:rsid w:val="0093279F"/>
    <w:rsid w:val="00A36BF2"/>
    <w:rsid w:val="00A52766"/>
    <w:rsid w:val="00A97925"/>
    <w:rsid w:val="00AB4905"/>
    <w:rsid w:val="00B81FED"/>
    <w:rsid w:val="00B83233"/>
    <w:rsid w:val="00BA48FE"/>
    <w:rsid w:val="00BC48FA"/>
    <w:rsid w:val="00C06275"/>
    <w:rsid w:val="00C665E6"/>
    <w:rsid w:val="00C74CC8"/>
    <w:rsid w:val="00C9071A"/>
    <w:rsid w:val="00CC4284"/>
    <w:rsid w:val="00CE03CF"/>
    <w:rsid w:val="00EA655F"/>
    <w:rsid w:val="00EF4ACA"/>
    <w:rsid w:val="00FA243F"/>
    <w:rsid w:val="0104E83F"/>
    <w:rsid w:val="143471B3"/>
    <w:rsid w:val="20E8F973"/>
    <w:rsid w:val="3991B3E8"/>
    <w:rsid w:val="3D8B5799"/>
    <w:rsid w:val="474776A6"/>
    <w:rsid w:val="48F0A77D"/>
    <w:rsid w:val="56DC5466"/>
    <w:rsid w:val="5A65C882"/>
    <w:rsid w:val="5D5212E9"/>
    <w:rsid w:val="6E00225D"/>
    <w:rsid w:val="7197A1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E718"/>
  <w15:chartTrackingRefBased/>
  <w15:docId w15:val="{C66F7FA5-E0C4-402B-BE5E-A2D9F0A3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10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uiPriority w:val="9"/>
    <w:qFormat/>
    <w:rsid w:val="001A6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1A6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1A6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1A6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1A6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1A6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1A6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1A6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1A6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8C110E"/>
    <w:pPr>
      <w:spacing w:line="240" w:lineRule="auto"/>
    </w:pPr>
    <w:rPr>
      <w:sz w:val="20"/>
      <w:szCs w:val="20"/>
    </w:rPr>
  </w:style>
  <w:style w:type="character" w:customStyle="1" w:styleId="CommentTextChar">
    <w:name w:val="Comment Text Char"/>
    <w:basedOn w:val="DefaultParagraphFont"/>
    <w:link w:val="CommentText"/>
    <w:uiPriority w:val="99"/>
    <w:rsid w:val="008C110E"/>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110E"/>
    <w:rPr>
      <w:b/>
      <w:bCs/>
    </w:rPr>
  </w:style>
  <w:style w:type="character" w:customStyle="1" w:styleId="CommentSubjectChar">
    <w:name w:val="Comment Subject Char"/>
    <w:basedOn w:val="CommentTextChar"/>
    <w:link w:val="CommentSubject"/>
    <w:uiPriority w:val="99"/>
    <w:semiHidden/>
    <w:rsid w:val="008C110E"/>
    <w:rPr>
      <w:rFonts w:ascii="Calibri" w:eastAsia="Calibri" w:hAnsi="Calibri" w:cs="Times New Roman"/>
      <w:b/>
      <w:bCs/>
      <w:kern w:val="0"/>
      <w:sz w:val="20"/>
      <w:szCs w:val="20"/>
      <w14:ligatures w14:val="none"/>
    </w:rPr>
  </w:style>
  <w:style w:type="paragraph" w:styleId="ListParagraph">
    <w:name w:val="List Paragraph"/>
    <w:basedOn w:val="Normal"/>
    <w:uiPriority w:val="34"/>
    <w:qFormat/>
    <w:rsid w:val="001A610A"/>
    <w:pPr>
      <w:ind w:left="720"/>
      <w:contextualSpacing/>
    </w:pPr>
  </w:style>
  <w:style w:type="character" w:styleId="IntenseEmphasis">
    <w:name w:val="Intense Emphasis"/>
    <w:basedOn w:val="DefaultParagraphFont"/>
    <w:uiPriority w:val="21"/>
    <w:qFormat/>
    <w:rsid w:val="001A610A"/>
    <w:rPr>
      <w:i/>
      <w:iCs/>
      <w:color w:val="0F4761" w:themeColor="accent1" w:themeShade="BF"/>
    </w:rPr>
  </w:style>
  <w:style w:type="character" w:styleId="IntenseReference">
    <w:name w:val="Intense Reference"/>
    <w:basedOn w:val="DefaultParagraphFont"/>
    <w:uiPriority w:val="32"/>
    <w:qFormat/>
    <w:rsid w:val="001A610A"/>
    <w:rPr>
      <w:b/>
      <w:bCs/>
      <w:smallCaps/>
      <w:color w:val="0F4761" w:themeColor="accent1" w:themeShade="BF"/>
      <w:spacing w:val="5"/>
    </w:rPr>
  </w:style>
  <w:style w:type="table" w:styleId="TableGrid">
    <w:name w:val="Table Grid"/>
    <w:basedOn w:val="TableNormal1"/>
    <w:uiPriority w:val="39"/>
    <w:rsid w:val="001A610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basedOn w:val="DefaultParagraphFont"/>
    <w:uiPriority w:val="99"/>
    <w:semiHidden/>
    <w:unhideWhenUsed/>
    <w:rsid w:val="001A610A"/>
    <w:rPr>
      <w:sz w:val="16"/>
      <w:szCs w:val="16"/>
    </w:rPr>
  </w:style>
  <w:style w:type="paragraph" w:styleId="Revision">
    <w:name w:val="Revision"/>
    <w:hidden/>
    <w:uiPriority w:val="99"/>
    <w:semiHidden/>
    <w:rsid w:val="0093279F"/>
    <w:pPr>
      <w:spacing w:after="0" w:line="240" w:lineRule="auto"/>
    </w:pPr>
    <w:rPr>
      <w:rFonts w:ascii="Calibri" w:eastAsia="Calibri" w:hAnsi="Calibri" w:cs="Times New Roman"/>
      <w:kern w:val="0"/>
      <w:sz w:val="22"/>
      <w:szCs w:val="22"/>
      <w14:ligatures w14:val="none"/>
    </w:rPr>
  </w:style>
  <w:style w:type="character" w:customStyle="1" w:styleId="Antrat1Diagrama">
    <w:name w:val="Antraštė 1 Diagrama"/>
    <w:basedOn w:val="DefaultParagraphFont"/>
    <w:uiPriority w:val="9"/>
    <w:rsid w:val="000F08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DefaultParagraphFont"/>
    <w:uiPriority w:val="9"/>
    <w:semiHidden/>
    <w:rsid w:val="000F08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DefaultParagraphFont"/>
    <w:uiPriority w:val="9"/>
    <w:semiHidden/>
    <w:rsid w:val="000F089C"/>
    <w:rPr>
      <w:rFonts w:eastAsiaTheme="majorEastAsia" w:cstheme="majorBidi"/>
      <w:color w:val="0F4761" w:themeColor="accent1" w:themeShade="BF"/>
      <w:sz w:val="28"/>
      <w:szCs w:val="28"/>
    </w:rPr>
  </w:style>
  <w:style w:type="character" w:customStyle="1" w:styleId="Antrat4Diagrama">
    <w:name w:val="Antraštė 4 Diagrama"/>
    <w:basedOn w:val="DefaultParagraphFont"/>
    <w:uiPriority w:val="9"/>
    <w:semiHidden/>
    <w:rsid w:val="000F089C"/>
    <w:rPr>
      <w:rFonts w:eastAsiaTheme="majorEastAsia" w:cstheme="majorBidi"/>
      <w:i/>
      <w:iCs/>
      <w:color w:val="0F4761" w:themeColor="accent1" w:themeShade="BF"/>
    </w:rPr>
  </w:style>
  <w:style w:type="character" w:customStyle="1" w:styleId="Antrat5Diagrama">
    <w:name w:val="Antraštė 5 Diagrama"/>
    <w:basedOn w:val="DefaultParagraphFont"/>
    <w:uiPriority w:val="9"/>
    <w:semiHidden/>
    <w:rsid w:val="000F089C"/>
    <w:rPr>
      <w:rFonts w:eastAsiaTheme="majorEastAsia" w:cstheme="majorBidi"/>
      <w:color w:val="0F4761" w:themeColor="accent1" w:themeShade="BF"/>
    </w:rPr>
  </w:style>
  <w:style w:type="character" w:customStyle="1" w:styleId="Antrat6Diagrama">
    <w:name w:val="Antraštė 6 Diagrama"/>
    <w:basedOn w:val="DefaultParagraphFont"/>
    <w:uiPriority w:val="9"/>
    <w:semiHidden/>
    <w:rsid w:val="000F089C"/>
    <w:rPr>
      <w:rFonts w:eastAsiaTheme="majorEastAsia" w:cstheme="majorBidi"/>
      <w:i/>
      <w:iCs/>
      <w:color w:val="595959" w:themeColor="text1" w:themeTint="A6"/>
    </w:rPr>
  </w:style>
  <w:style w:type="character" w:customStyle="1" w:styleId="Antrat7Diagrama">
    <w:name w:val="Antraštė 7 Diagrama"/>
    <w:basedOn w:val="DefaultParagraphFont"/>
    <w:uiPriority w:val="9"/>
    <w:semiHidden/>
    <w:rsid w:val="000F089C"/>
    <w:rPr>
      <w:rFonts w:eastAsiaTheme="majorEastAsia" w:cstheme="majorBidi"/>
      <w:color w:val="595959" w:themeColor="text1" w:themeTint="A6"/>
    </w:rPr>
  </w:style>
  <w:style w:type="character" w:customStyle="1" w:styleId="Antrat8Diagrama">
    <w:name w:val="Antraštė 8 Diagrama"/>
    <w:basedOn w:val="DefaultParagraphFont"/>
    <w:uiPriority w:val="9"/>
    <w:semiHidden/>
    <w:rsid w:val="000F089C"/>
    <w:rPr>
      <w:rFonts w:eastAsiaTheme="majorEastAsia" w:cstheme="majorBidi"/>
      <w:i/>
      <w:iCs/>
      <w:color w:val="272727" w:themeColor="text1" w:themeTint="D8"/>
    </w:rPr>
  </w:style>
  <w:style w:type="character" w:customStyle="1" w:styleId="Antrat9Diagrama">
    <w:name w:val="Antraštė 9 Diagrama"/>
    <w:basedOn w:val="DefaultParagraphFont"/>
    <w:uiPriority w:val="9"/>
    <w:semiHidden/>
    <w:rsid w:val="000F089C"/>
    <w:rPr>
      <w:rFonts w:eastAsiaTheme="majorEastAsia" w:cstheme="majorBidi"/>
      <w:color w:val="272727" w:themeColor="text1" w:themeTint="D8"/>
    </w:rPr>
  </w:style>
  <w:style w:type="character" w:customStyle="1" w:styleId="PavadinimasDiagrama">
    <w:name w:val="Pavadinimas Diagrama"/>
    <w:basedOn w:val="DefaultParagraphFont"/>
    <w:uiPriority w:val="10"/>
    <w:rsid w:val="000F089C"/>
    <w:rPr>
      <w:rFonts w:asciiTheme="majorHAnsi" w:eastAsiaTheme="majorEastAsia" w:hAnsiTheme="majorHAnsi" w:cstheme="majorBidi"/>
      <w:spacing w:val="-10"/>
      <w:kern w:val="28"/>
      <w:sz w:val="56"/>
      <w:szCs w:val="56"/>
    </w:rPr>
  </w:style>
  <w:style w:type="character" w:customStyle="1" w:styleId="PaantratDiagrama">
    <w:name w:val="Paantraštė Diagrama"/>
    <w:basedOn w:val="DefaultParagraphFont"/>
    <w:uiPriority w:val="11"/>
    <w:rsid w:val="000F089C"/>
    <w:rPr>
      <w:rFonts w:eastAsiaTheme="majorEastAsia" w:cstheme="majorBidi"/>
      <w:color w:val="595959" w:themeColor="text1" w:themeTint="A6"/>
      <w:spacing w:val="15"/>
      <w:sz w:val="28"/>
      <w:szCs w:val="28"/>
    </w:rPr>
  </w:style>
  <w:style w:type="character" w:customStyle="1" w:styleId="CitataDiagrama">
    <w:name w:val="Citata Diagrama"/>
    <w:basedOn w:val="DefaultParagraphFont"/>
    <w:uiPriority w:val="29"/>
    <w:rsid w:val="000F089C"/>
    <w:rPr>
      <w:i/>
      <w:iCs/>
      <w:color w:val="404040" w:themeColor="text1" w:themeTint="BF"/>
    </w:rPr>
  </w:style>
  <w:style w:type="character" w:customStyle="1" w:styleId="IskirtacitataDiagrama">
    <w:name w:val="Išskirta citata Diagrama"/>
    <w:basedOn w:val="DefaultParagraphFont"/>
    <w:uiPriority w:val="30"/>
    <w:rsid w:val="000F089C"/>
    <w:rPr>
      <w:i/>
      <w:iCs/>
      <w:color w:val="0F4761" w:themeColor="accent1" w:themeShade="BF"/>
    </w:rPr>
  </w:style>
  <w:style w:type="character" w:customStyle="1" w:styleId="KomentarotekstasDiagrama">
    <w:name w:val="Komentaro tekstas Diagrama"/>
    <w:basedOn w:val="DefaultParagraphFont"/>
    <w:uiPriority w:val="99"/>
    <w:rsid w:val="000F089C"/>
    <w:rPr>
      <w:rFonts w:ascii="Calibri" w:eastAsia="Calibri" w:hAnsi="Calibri" w:cs="Times New Roman"/>
      <w:kern w:val="0"/>
      <w:sz w:val="20"/>
      <w:szCs w:val="20"/>
      <w14:ligatures w14:val="none"/>
    </w:rPr>
  </w:style>
  <w:style w:type="character" w:customStyle="1" w:styleId="KomentarotemaDiagrama">
    <w:name w:val="Komentaro tema Diagrama"/>
    <w:basedOn w:val="KomentarotekstasDiagrama"/>
    <w:uiPriority w:val="99"/>
    <w:semiHidden/>
    <w:rsid w:val="000F089C"/>
    <w:rPr>
      <w:rFonts w:ascii="Calibri" w:eastAsia="Calibri" w:hAnsi="Calibri" w:cs="Times New Roman"/>
      <w:b/>
      <w:bCs/>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34A5B-3C17-4EF7-91D1-B115B396CA3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DCE85181-5803-4059-84E9-F1A74DE72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BA524-9FFE-4D47-A51D-6A2E5CAED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11557</Words>
  <Characters>6588</Characters>
  <Application>Microsoft Office Word</Application>
  <DocSecurity>0</DocSecurity>
  <Lines>54</Lines>
  <Paragraphs>36</Paragraphs>
  <ScaleCrop>false</ScaleCrop>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Giedrė Jasulaitytė-Ostapenko</cp:lastModifiedBy>
  <cp:revision>3</cp:revision>
  <dcterms:created xsi:type="dcterms:W3CDTF">2026-02-18T06:45:00Z</dcterms:created>
  <dcterms:modified xsi:type="dcterms:W3CDTF">2026-02-18T06:49:00Z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