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802F8" w14:textId="77777777" w:rsidR="007A238E" w:rsidRPr="007A238E" w:rsidRDefault="007A238E" w:rsidP="0086770A">
      <w:pPr>
        <w:shd w:val="clear" w:color="auto" w:fill="FFFFFF"/>
        <w:ind w:left="482" w:hanging="482"/>
        <w:jc w:val="center"/>
        <w:rPr>
          <w:b/>
          <w:color w:val="000000"/>
          <w:sz w:val="22"/>
          <w:szCs w:val="22"/>
        </w:rPr>
      </w:pPr>
      <w:bookmarkStart w:id="0" w:name="_GoBack"/>
      <w:bookmarkEnd w:id="0"/>
      <w:r w:rsidRPr="007A238E">
        <w:rPr>
          <w:b/>
          <w:color w:val="000000"/>
          <w:sz w:val="22"/>
          <w:szCs w:val="22"/>
        </w:rPr>
        <w:t>INFORMACINĖS SISTEMOS ADAPTACIJOS IR INTEGRACIJŲ SUKŪRIMO PASLAUGOS</w:t>
      </w:r>
    </w:p>
    <w:p w14:paraId="3A36CB58" w14:textId="77777777" w:rsidR="001E7173" w:rsidRPr="007A238E" w:rsidRDefault="007A238E" w:rsidP="0086770A">
      <w:pPr>
        <w:shd w:val="clear" w:color="auto" w:fill="FFFFFF"/>
        <w:ind w:left="482" w:hanging="482"/>
        <w:jc w:val="center"/>
        <w:rPr>
          <w:b/>
          <w:sz w:val="22"/>
          <w:szCs w:val="22"/>
        </w:rPr>
      </w:pPr>
      <w:r w:rsidRPr="007A238E">
        <w:rPr>
          <w:b/>
          <w:sz w:val="22"/>
          <w:szCs w:val="22"/>
        </w:rPr>
        <w:t>TECHNINĖ SPECIFIKACIJA</w:t>
      </w:r>
    </w:p>
    <w:p w14:paraId="6323D458" w14:textId="77777777" w:rsidR="001E7173" w:rsidRPr="00F27FF6" w:rsidRDefault="001E7173" w:rsidP="0086770A">
      <w:pPr>
        <w:pStyle w:val="Heading2"/>
        <w:numPr>
          <w:ilvl w:val="0"/>
          <w:numId w:val="1"/>
        </w:numPr>
        <w:shd w:val="clear" w:color="auto" w:fill="FFFFFF"/>
        <w:spacing w:before="600" w:after="200"/>
        <w:rPr>
          <w:rFonts w:ascii="Times New Roman" w:hAnsi="Times New Roman" w:cs="Times New Roman"/>
          <w:color w:val="auto"/>
          <w:sz w:val="22"/>
          <w:szCs w:val="22"/>
        </w:rPr>
      </w:pPr>
      <w:r w:rsidRPr="00F27FF6">
        <w:rPr>
          <w:rFonts w:ascii="Times New Roman" w:hAnsi="Times New Roman" w:cs="Times New Roman"/>
          <w:color w:val="auto"/>
          <w:sz w:val="22"/>
          <w:szCs w:val="22"/>
        </w:rPr>
        <w:t>Dokumente naudojami sutrumpinimai</w:t>
      </w: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838"/>
        <w:gridCol w:w="7512"/>
      </w:tblGrid>
      <w:tr w:rsidR="001E7173" w:rsidRPr="00F27FF6" w14:paraId="6D471EF1" w14:textId="77777777" w:rsidTr="0070123E">
        <w:tc>
          <w:tcPr>
            <w:tcW w:w="1838" w:type="dxa"/>
          </w:tcPr>
          <w:p w14:paraId="70962AF4" w14:textId="77777777" w:rsidR="001E7173" w:rsidRPr="00F27FF6" w:rsidRDefault="001E7173" w:rsidP="0070123E">
            <w:pPr>
              <w:rPr>
                <w:sz w:val="22"/>
                <w:szCs w:val="22"/>
              </w:rPr>
            </w:pPr>
            <w:r w:rsidRPr="00F27FF6">
              <w:rPr>
                <w:sz w:val="22"/>
                <w:szCs w:val="22"/>
              </w:rPr>
              <w:t>Duomenų vitrina, duomenų modelis</w:t>
            </w:r>
          </w:p>
        </w:tc>
        <w:tc>
          <w:tcPr>
            <w:tcW w:w="7512" w:type="dxa"/>
          </w:tcPr>
          <w:p w14:paraId="4BFABD90" w14:textId="77777777" w:rsidR="001E7173" w:rsidRPr="00F27FF6" w:rsidRDefault="001E7173" w:rsidP="0070123E">
            <w:pPr>
              <w:rPr>
                <w:sz w:val="22"/>
                <w:szCs w:val="22"/>
              </w:rPr>
            </w:pPr>
            <w:r w:rsidRPr="00F27FF6">
              <w:rPr>
                <w:color w:val="000000"/>
                <w:sz w:val="22"/>
                <w:szCs w:val="22"/>
              </w:rPr>
              <w:t xml:space="preserve">Duomenų objektų rinkinys suskirstytas į klases pagal pavadinimus ir informacijos tipą, </w:t>
            </w:r>
            <w:r w:rsidRPr="00F27FF6">
              <w:rPr>
                <w:sz w:val="22"/>
                <w:szCs w:val="22"/>
              </w:rPr>
              <w:t>įgyvendintas pagal OLAP principus.</w:t>
            </w:r>
          </w:p>
        </w:tc>
      </w:tr>
      <w:tr w:rsidR="001E7173" w:rsidRPr="00F27FF6" w14:paraId="42D27C31" w14:textId="77777777" w:rsidTr="0070123E">
        <w:tc>
          <w:tcPr>
            <w:tcW w:w="1838" w:type="dxa"/>
          </w:tcPr>
          <w:p w14:paraId="5C7AF763" w14:textId="77777777" w:rsidR="001E7173" w:rsidRPr="00F27FF6" w:rsidRDefault="001E7173" w:rsidP="0070123E">
            <w:pPr>
              <w:rPr>
                <w:sz w:val="22"/>
                <w:szCs w:val="22"/>
              </w:rPr>
            </w:pPr>
            <w:r w:rsidRPr="00F27FF6">
              <w:rPr>
                <w:sz w:val="22"/>
                <w:szCs w:val="22"/>
              </w:rPr>
              <w:t>Duomenų šaltinis</w:t>
            </w:r>
          </w:p>
        </w:tc>
        <w:tc>
          <w:tcPr>
            <w:tcW w:w="7512" w:type="dxa"/>
          </w:tcPr>
          <w:p w14:paraId="74718A45" w14:textId="77777777" w:rsidR="001E7173" w:rsidRPr="00F27FF6" w:rsidRDefault="001E7173" w:rsidP="0070123E">
            <w:pPr>
              <w:rPr>
                <w:color w:val="000000"/>
                <w:sz w:val="22"/>
                <w:szCs w:val="22"/>
              </w:rPr>
            </w:pPr>
            <w:r w:rsidRPr="00F27FF6">
              <w:rPr>
                <w:color w:val="000000"/>
                <w:sz w:val="22"/>
                <w:szCs w:val="22"/>
              </w:rPr>
              <w:t>Informacinė sistema arba atskiros xls tipo bylos arba registrai iš kurių per sukonfigūruotas sąsajas yra gaunami/teikiami duomenys.</w:t>
            </w:r>
          </w:p>
        </w:tc>
      </w:tr>
      <w:tr w:rsidR="001E7173" w:rsidRPr="00F27FF6" w14:paraId="20138DA4" w14:textId="77777777" w:rsidTr="0070123E">
        <w:tc>
          <w:tcPr>
            <w:tcW w:w="1838" w:type="dxa"/>
          </w:tcPr>
          <w:p w14:paraId="1FF338D9" w14:textId="77777777" w:rsidR="001E7173" w:rsidRPr="00F27FF6" w:rsidRDefault="001E7173" w:rsidP="0070123E">
            <w:pPr>
              <w:rPr>
                <w:sz w:val="22"/>
                <w:szCs w:val="22"/>
              </w:rPr>
            </w:pPr>
            <w:r w:rsidRPr="00F27FF6">
              <w:rPr>
                <w:sz w:val="22"/>
                <w:szCs w:val="22"/>
              </w:rPr>
              <w:t>ETL</w:t>
            </w:r>
          </w:p>
        </w:tc>
        <w:tc>
          <w:tcPr>
            <w:tcW w:w="7512" w:type="dxa"/>
          </w:tcPr>
          <w:p w14:paraId="50D89687" w14:textId="77777777" w:rsidR="001E7173" w:rsidRPr="00F27FF6" w:rsidRDefault="001E7173" w:rsidP="0070123E">
            <w:pPr>
              <w:rPr>
                <w:sz w:val="22"/>
                <w:szCs w:val="22"/>
              </w:rPr>
            </w:pPr>
            <w:r w:rsidRPr="00F27FF6">
              <w:rPr>
                <w:sz w:val="22"/>
                <w:szCs w:val="22"/>
              </w:rPr>
              <w:t xml:space="preserve">Duomenų išgavimas, transformavimas ir įkrovimas į duomenų saugyklą (angl. </w:t>
            </w:r>
            <w:r w:rsidRPr="00F27FF6">
              <w:rPr>
                <w:i/>
                <w:sz w:val="22"/>
                <w:szCs w:val="22"/>
              </w:rPr>
              <w:t>extraction, transformation, loading</w:t>
            </w:r>
            <w:r w:rsidRPr="00F27FF6">
              <w:rPr>
                <w:sz w:val="22"/>
                <w:szCs w:val="22"/>
              </w:rPr>
              <w:t>).</w:t>
            </w:r>
          </w:p>
        </w:tc>
      </w:tr>
      <w:tr w:rsidR="001E7173" w:rsidRPr="00F27FF6" w14:paraId="02B7BBD3" w14:textId="77777777" w:rsidTr="0070123E">
        <w:tc>
          <w:tcPr>
            <w:tcW w:w="1838" w:type="dxa"/>
          </w:tcPr>
          <w:p w14:paraId="292D82D4" w14:textId="77777777" w:rsidR="001E7173" w:rsidRPr="00F27FF6" w:rsidRDefault="001E7173" w:rsidP="0070123E">
            <w:pPr>
              <w:rPr>
                <w:sz w:val="22"/>
                <w:szCs w:val="22"/>
              </w:rPr>
            </w:pPr>
            <w:r w:rsidRPr="00F27FF6">
              <w:rPr>
                <w:sz w:val="22"/>
                <w:szCs w:val="22"/>
              </w:rPr>
              <w:t>IT</w:t>
            </w:r>
          </w:p>
        </w:tc>
        <w:tc>
          <w:tcPr>
            <w:tcW w:w="7512" w:type="dxa"/>
          </w:tcPr>
          <w:p w14:paraId="5200C5F9" w14:textId="77777777" w:rsidR="001E7173" w:rsidRPr="00F27FF6" w:rsidRDefault="001E7173" w:rsidP="0070123E">
            <w:pPr>
              <w:rPr>
                <w:sz w:val="22"/>
                <w:szCs w:val="22"/>
              </w:rPr>
            </w:pPr>
            <w:r w:rsidRPr="00F27FF6">
              <w:rPr>
                <w:sz w:val="22"/>
                <w:szCs w:val="22"/>
              </w:rPr>
              <w:t>Informacinės technologijos.</w:t>
            </w:r>
          </w:p>
        </w:tc>
      </w:tr>
      <w:tr w:rsidR="001E7173" w:rsidRPr="00F27FF6" w14:paraId="74D18C81" w14:textId="77777777" w:rsidTr="0070123E">
        <w:tc>
          <w:tcPr>
            <w:tcW w:w="1838" w:type="dxa"/>
          </w:tcPr>
          <w:p w14:paraId="5DAD4360" w14:textId="77777777" w:rsidR="001E7173" w:rsidRPr="00F27FF6" w:rsidRDefault="001E7173" w:rsidP="0070123E">
            <w:pPr>
              <w:rPr>
                <w:sz w:val="22"/>
                <w:szCs w:val="22"/>
              </w:rPr>
            </w:pPr>
            <w:r w:rsidRPr="00F27FF6">
              <w:rPr>
                <w:sz w:val="22"/>
                <w:szCs w:val="22"/>
              </w:rPr>
              <w:t>Perkančioji organizacija</w:t>
            </w:r>
          </w:p>
        </w:tc>
        <w:tc>
          <w:tcPr>
            <w:tcW w:w="7512" w:type="dxa"/>
          </w:tcPr>
          <w:p w14:paraId="5AFE9CC8" w14:textId="77777777" w:rsidR="001E7173" w:rsidRPr="00F27FF6" w:rsidRDefault="001E7173" w:rsidP="0070123E">
            <w:pPr>
              <w:pBdr>
                <w:top w:val="nil"/>
                <w:left w:val="nil"/>
                <w:bottom w:val="nil"/>
                <w:right w:val="nil"/>
                <w:between w:val="nil"/>
              </w:pBdr>
              <w:spacing w:after="200"/>
              <w:rPr>
                <w:i/>
                <w:color w:val="000000"/>
                <w:sz w:val="22"/>
                <w:szCs w:val="22"/>
              </w:rPr>
            </w:pPr>
            <w:r w:rsidRPr="00F27FF6">
              <w:rPr>
                <w:color w:val="000000"/>
                <w:sz w:val="22"/>
                <w:szCs w:val="22"/>
              </w:rPr>
              <w:t>Lietuvos sveikatos mokslų universiteto ligoninė Kauno klinikos</w:t>
            </w:r>
          </w:p>
        </w:tc>
      </w:tr>
      <w:tr w:rsidR="001E7173" w:rsidRPr="00F27FF6" w14:paraId="688661DE" w14:textId="77777777" w:rsidTr="0070123E">
        <w:tc>
          <w:tcPr>
            <w:tcW w:w="1838" w:type="dxa"/>
          </w:tcPr>
          <w:p w14:paraId="260827A0" w14:textId="77777777" w:rsidR="001E7173" w:rsidRPr="00F27FF6" w:rsidRDefault="001E7173" w:rsidP="0070123E">
            <w:pPr>
              <w:rPr>
                <w:sz w:val="22"/>
                <w:szCs w:val="22"/>
              </w:rPr>
            </w:pPr>
            <w:r w:rsidRPr="00F27FF6">
              <w:rPr>
                <w:sz w:val="22"/>
                <w:szCs w:val="22"/>
              </w:rPr>
              <w:t>Tipinio pjūvio ataskaita</w:t>
            </w:r>
          </w:p>
        </w:tc>
        <w:tc>
          <w:tcPr>
            <w:tcW w:w="7512" w:type="dxa"/>
          </w:tcPr>
          <w:p w14:paraId="21E4FB38" w14:textId="77777777" w:rsidR="001E7173" w:rsidRPr="00F27FF6" w:rsidRDefault="001E7173" w:rsidP="0070123E">
            <w:pPr>
              <w:rPr>
                <w:sz w:val="22"/>
                <w:szCs w:val="22"/>
              </w:rPr>
            </w:pPr>
            <w:r w:rsidRPr="00F27FF6">
              <w:rPr>
                <w:sz w:val="22"/>
                <w:szCs w:val="22"/>
              </w:rPr>
              <w:t>Parengtas informacijos rinkinys (tekstas, grafikai ir lentelės), kuris gali būti teikiamas analitikos priemones naudojantiems asmenims ir kurio duomenys gali būti automatiškai atnaujinami. Tipinio pjūvio ataskaitoje matomi duomenys priklauso nuo naudojančiam asmeniui suteiktų teisių.</w:t>
            </w:r>
          </w:p>
        </w:tc>
      </w:tr>
      <w:tr w:rsidR="001E7173" w:rsidRPr="00F27FF6" w14:paraId="25D3C6E7" w14:textId="77777777" w:rsidTr="0070123E">
        <w:tc>
          <w:tcPr>
            <w:tcW w:w="1838" w:type="dxa"/>
          </w:tcPr>
          <w:p w14:paraId="06656947" w14:textId="77777777" w:rsidR="001E7173" w:rsidRPr="00F27FF6" w:rsidRDefault="001E7173" w:rsidP="0070123E">
            <w:pPr>
              <w:rPr>
                <w:sz w:val="22"/>
                <w:szCs w:val="22"/>
              </w:rPr>
            </w:pPr>
            <w:r w:rsidRPr="00F27FF6">
              <w:rPr>
                <w:sz w:val="22"/>
                <w:szCs w:val="22"/>
              </w:rPr>
              <w:t>Duomenų sandėlis, saugykla</w:t>
            </w:r>
          </w:p>
        </w:tc>
        <w:tc>
          <w:tcPr>
            <w:tcW w:w="7512" w:type="dxa"/>
          </w:tcPr>
          <w:p w14:paraId="7B848448" w14:textId="77777777" w:rsidR="001E7173" w:rsidRPr="00F27FF6" w:rsidRDefault="001E7173" w:rsidP="0070123E">
            <w:pPr>
              <w:rPr>
                <w:sz w:val="22"/>
                <w:szCs w:val="22"/>
              </w:rPr>
            </w:pPr>
            <w:r w:rsidRPr="00F27FF6">
              <w:rPr>
                <w:sz w:val="22"/>
                <w:szCs w:val="22"/>
              </w:rPr>
              <w:t xml:space="preserve">Duomenų bazių valdymo sistemos (pvz., Oracle, Microsoft SQL, IBM DB2) pagrindu sukurtos duomenų struktūros talpinti duomenis iš pirminių duomenų šaltinių, tarpinėms lentelėms saugoti ir analizei pritaikytų duomenų išskaičiavimui ir saugojimui. </w:t>
            </w:r>
          </w:p>
        </w:tc>
      </w:tr>
      <w:tr w:rsidR="001E7173" w:rsidRPr="00F27FF6" w14:paraId="1C1DF468" w14:textId="77777777" w:rsidTr="0070123E">
        <w:tc>
          <w:tcPr>
            <w:tcW w:w="1838" w:type="dxa"/>
          </w:tcPr>
          <w:p w14:paraId="4882526D" w14:textId="77777777" w:rsidR="001E7173" w:rsidRPr="00F27FF6" w:rsidRDefault="001E7173" w:rsidP="0070123E">
            <w:pPr>
              <w:rPr>
                <w:sz w:val="22"/>
                <w:szCs w:val="22"/>
              </w:rPr>
            </w:pPr>
            <w:r w:rsidRPr="00F27FF6">
              <w:rPr>
                <w:sz w:val="22"/>
                <w:szCs w:val="22"/>
              </w:rPr>
              <w:t>HIS</w:t>
            </w:r>
          </w:p>
        </w:tc>
        <w:tc>
          <w:tcPr>
            <w:tcW w:w="7512" w:type="dxa"/>
          </w:tcPr>
          <w:p w14:paraId="4AA0F684" w14:textId="77777777" w:rsidR="001E7173" w:rsidRPr="00F27FF6" w:rsidRDefault="001E7173" w:rsidP="0070123E">
            <w:pPr>
              <w:rPr>
                <w:sz w:val="22"/>
                <w:szCs w:val="22"/>
              </w:rPr>
            </w:pPr>
            <w:r w:rsidRPr="00F27FF6">
              <w:rPr>
                <w:sz w:val="22"/>
                <w:szCs w:val="22"/>
              </w:rPr>
              <w:t>Kauno klinikų Ligoninės informacinė sistema</w:t>
            </w:r>
          </w:p>
        </w:tc>
      </w:tr>
    </w:tbl>
    <w:p w14:paraId="4435F413" w14:textId="77777777" w:rsidR="001E7173" w:rsidRPr="00F27FF6" w:rsidRDefault="001E7173" w:rsidP="001E7173">
      <w:pPr>
        <w:pStyle w:val="Normal1"/>
        <w:rPr>
          <w:sz w:val="22"/>
          <w:szCs w:val="22"/>
        </w:rPr>
      </w:pPr>
    </w:p>
    <w:p w14:paraId="64E162E1" w14:textId="77777777" w:rsidR="008E7368" w:rsidRPr="00F27FF6" w:rsidRDefault="00E40203" w:rsidP="0086770A">
      <w:pPr>
        <w:pStyle w:val="Heading2"/>
        <w:numPr>
          <w:ilvl w:val="0"/>
          <w:numId w:val="1"/>
        </w:numPr>
        <w:shd w:val="clear" w:color="auto" w:fill="FFFFFF"/>
        <w:spacing w:before="600" w:after="200"/>
        <w:rPr>
          <w:rFonts w:ascii="Times New Roman" w:eastAsia="Times New Roman" w:hAnsi="Times New Roman" w:cs="Times New Roman"/>
          <w:color w:val="000000"/>
          <w:sz w:val="22"/>
          <w:szCs w:val="22"/>
        </w:rPr>
      </w:pPr>
      <w:r w:rsidRPr="00F27FF6">
        <w:rPr>
          <w:rFonts w:ascii="Times New Roman" w:eastAsia="Times New Roman" w:hAnsi="Times New Roman" w:cs="Times New Roman"/>
          <w:color w:val="000000"/>
          <w:sz w:val="22"/>
          <w:szCs w:val="22"/>
        </w:rPr>
        <w:t>P</w:t>
      </w:r>
      <w:r w:rsidR="00CA783A" w:rsidRPr="00F27FF6">
        <w:rPr>
          <w:rFonts w:ascii="Times New Roman" w:eastAsia="Times New Roman" w:hAnsi="Times New Roman" w:cs="Times New Roman"/>
          <w:color w:val="000000"/>
          <w:sz w:val="22"/>
          <w:szCs w:val="22"/>
        </w:rPr>
        <w:t>irkimo</w:t>
      </w:r>
      <w:r w:rsidRPr="00F27FF6">
        <w:rPr>
          <w:rFonts w:ascii="Times New Roman" w:eastAsia="Times New Roman" w:hAnsi="Times New Roman" w:cs="Times New Roman"/>
          <w:color w:val="000000"/>
          <w:sz w:val="22"/>
          <w:szCs w:val="22"/>
        </w:rPr>
        <w:t xml:space="preserve"> tikslas, uždaviniai ir rezultatai</w:t>
      </w:r>
    </w:p>
    <w:p w14:paraId="359B33BF" w14:textId="77777777" w:rsidR="00E455E6" w:rsidRPr="00F27FF6" w:rsidRDefault="00E455E6" w:rsidP="0086770A">
      <w:pPr>
        <w:pStyle w:val="ListParagraph"/>
        <w:numPr>
          <w:ilvl w:val="1"/>
          <w:numId w:val="1"/>
        </w:numPr>
        <w:shd w:val="clear" w:color="auto" w:fill="FFFFFF"/>
        <w:tabs>
          <w:tab w:val="left" w:pos="1134"/>
        </w:tabs>
        <w:jc w:val="both"/>
        <w:rPr>
          <w:rFonts w:ascii="Times New Roman" w:hAnsi="Times New Roman" w:cs="Times New Roman"/>
          <w:lang w:val="lt-LT"/>
        </w:rPr>
      </w:pPr>
      <w:bookmarkStart w:id="1" w:name="_3znysh7" w:colFirst="0" w:colLast="0"/>
      <w:bookmarkEnd w:id="1"/>
      <w:r w:rsidRPr="00F27FF6">
        <w:rPr>
          <w:rFonts w:ascii="Times New Roman" w:hAnsi="Times New Roman" w:cs="Times New Roman"/>
          <w:lang w:val="lt-LT"/>
        </w:rPr>
        <w:t>Perkančioji organizacija kartu su partneriais (</w:t>
      </w:r>
      <w:r w:rsidRPr="00F27FF6">
        <w:rPr>
          <w:rFonts w:ascii="Times New Roman" w:hAnsi="Times New Roman" w:cs="Times New Roman"/>
          <w:shd w:val="clear" w:color="auto" w:fill="FFFFFF"/>
          <w:lang w:val="lt-LT"/>
        </w:rPr>
        <w:t>VšĮ Vilniaus universiteto ligoninė Santaros klinikos</w:t>
      </w:r>
      <w:r w:rsidRPr="00F27FF6">
        <w:rPr>
          <w:rFonts w:ascii="Times New Roman" w:hAnsi="Times New Roman" w:cs="Times New Roman"/>
          <w:lang w:val="lt-LT"/>
        </w:rPr>
        <w:t xml:space="preserve">, </w:t>
      </w:r>
      <w:r w:rsidR="00363A2E" w:rsidRPr="00F27FF6">
        <w:rPr>
          <w:rFonts w:ascii="Times New Roman" w:hAnsi="Times New Roman" w:cs="Times New Roman"/>
          <w:lang w:val="lt-LT"/>
        </w:rPr>
        <w:t xml:space="preserve">VšĮ </w:t>
      </w:r>
      <w:r w:rsidR="00363A2E" w:rsidRPr="00F27FF6">
        <w:rPr>
          <w:rFonts w:ascii="Times New Roman" w:eastAsia="Times New Roman" w:hAnsi="Times New Roman" w:cs="Times New Roman"/>
          <w:lang w:val="lt-LT" w:eastAsia="en-GB"/>
        </w:rPr>
        <w:t>Respublikinė Šiaulių ligoninė</w:t>
      </w:r>
      <w:r w:rsidRPr="00F27FF6">
        <w:rPr>
          <w:rFonts w:ascii="Times New Roman" w:hAnsi="Times New Roman" w:cs="Times New Roman"/>
          <w:lang w:val="lt-LT"/>
        </w:rPr>
        <w:t>) bendrai įgyvendina projektą „</w:t>
      </w:r>
      <w:bookmarkStart w:id="2" w:name="_Hlk148689771"/>
      <w:r w:rsidRPr="00F27FF6">
        <w:rPr>
          <w:rFonts w:ascii="Times New Roman" w:hAnsi="Times New Roman" w:cs="Times New Roman"/>
          <w:b/>
          <w:lang w:val="lt-LT"/>
        </w:rPr>
        <w:t>Miokardo infarkto klasterio skaitmenizavimo, pasinaudojant EuroHeart sprendimu, bandomasis projektas</w:t>
      </w:r>
      <w:bookmarkEnd w:id="2"/>
      <w:r w:rsidRPr="00F27FF6">
        <w:rPr>
          <w:rFonts w:ascii="Times New Roman" w:hAnsi="Times New Roman" w:cs="Times New Roman"/>
          <w:lang w:val="lt-LT"/>
        </w:rPr>
        <w:t xml:space="preserve">“ (toliau – </w:t>
      </w:r>
      <w:r w:rsidRPr="00F27FF6">
        <w:rPr>
          <w:rFonts w:ascii="Times New Roman" w:hAnsi="Times New Roman" w:cs="Times New Roman"/>
          <w:b/>
          <w:bCs/>
          <w:lang w:val="lt-LT"/>
        </w:rPr>
        <w:t>Projektas</w:t>
      </w:r>
      <w:r w:rsidRPr="00F27FF6">
        <w:rPr>
          <w:rFonts w:ascii="Times New Roman" w:hAnsi="Times New Roman" w:cs="Times New Roman"/>
          <w:lang w:val="lt-LT"/>
        </w:rPr>
        <w:t>), finansuojamą iš Europos sąjungos Europos regioninės plėtros fondo. Projektas parengtas vadovaujantis 2022-2030 metų plėtros programos valdytojos Lietuvos Respublikos sveikatos apsaugos ministerijos sveikatos priežiūros kokybės ir efektyvumo didinimo plėtros programos pažangos priemonės Nr. 11-002-02-11-01 „Gerinti sveikatos priežiūros kokybę ir prieinamumo didinimą“ projektų finansavimo aprašu Nr. 20 (toliau – PFSA), patvirtintu 2023 m. spalio 5 d. įsakymu Nr. V-1063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ir Lietuvos Respublikos sveikatos apsaugos ministerijos pateiktu Kvietimų teikti projektų įgyvendinimo planus planu.</w:t>
      </w:r>
    </w:p>
    <w:p w14:paraId="1E1CF058" w14:textId="77777777" w:rsidR="00E455E6" w:rsidRPr="00F27FF6" w:rsidRDefault="00E455E6" w:rsidP="0086770A">
      <w:pPr>
        <w:pStyle w:val="ListParagraph"/>
        <w:numPr>
          <w:ilvl w:val="2"/>
          <w:numId w:val="1"/>
        </w:numPr>
        <w:shd w:val="clear" w:color="auto" w:fill="FFFFFF"/>
        <w:tabs>
          <w:tab w:val="left" w:pos="1134"/>
        </w:tabs>
        <w:rPr>
          <w:rFonts w:ascii="Times New Roman" w:hAnsi="Times New Roman" w:cs="Times New Roman"/>
          <w:b/>
          <w:bCs/>
          <w:lang w:val="lt-LT"/>
        </w:rPr>
      </w:pPr>
      <w:r w:rsidRPr="00F27FF6">
        <w:rPr>
          <w:rFonts w:ascii="Times New Roman" w:eastAsia="Calibri" w:hAnsi="Times New Roman" w:cs="Times New Roman"/>
          <w:b/>
          <w:bCs/>
          <w:lang w:val="lt-LT"/>
        </w:rPr>
        <w:t>Projektu sprendžiamos problemos:</w:t>
      </w:r>
    </w:p>
    <w:p w14:paraId="573D1E28" w14:textId="77777777" w:rsidR="00E455E6" w:rsidRPr="00F27FF6" w:rsidRDefault="00E455E6" w:rsidP="0086770A">
      <w:pPr>
        <w:pStyle w:val="ListParagraph"/>
        <w:numPr>
          <w:ilvl w:val="3"/>
          <w:numId w:val="1"/>
        </w:numPr>
        <w:shd w:val="clear" w:color="auto" w:fill="FFFFFF"/>
        <w:tabs>
          <w:tab w:val="left" w:pos="1134"/>
        </w:tabs>
        <w:jc w:val="both"/>
        <w:textAlignment w:val="baseline"/>
        <w:rPr>
          <w:rStyle w:val="normaltextrun"/>
          <w:rFonts w:ascii="Times New Roman" w:hAnsi="Times New Roman" w:cs="Times New Roman"/>
          <w:lang w:val="lt-LT"/>
        </w:rPr>
      </w:pPr>
      <w:r w:rsidRPr="00F27FF6">
        <w:rPr>
          <w:rStyle w:val="normaltextrun"/>
          <w:rFonts w:ascii="Times New Roman" w:hAnsi="Times New Roman" w:cs="Times New Roman"/>
          <w:b/>
          <w:bCs/>
          <w:lang w:val="lt-LT"/>
        </w:rPr>
        <w:t>Problema</w:t>
      </w:r>
      <w:r w:rsidRPr="00F27FF6">
        <w:rPr>
          <w:rStyle w:val="normaltextrun"/>
          <w:rFonts w:ascii="Times New Roman" w:hAnsi="Times New Roman" w:cs="Times New Roman"/>
          <w:lang w:val="lt-LT"/>
        </w:rPr>
        <w:t xml:space="preserve">: Mirštamumas nuo širdies ir kraujagyslių ligų (toliau – ŠKL) jau ilgus metus išlieka viena pagrindinių Lietuvos gyventojų mirties priežasčių, kasmet nusinešanti daugiau nei 22 tūkst. žmonių gyvybių ir beveik triskart viršijanti Europos Sąjungos vidurkį. Akivaizdu, jog efektyviam ŠKL valdymui reikalinga duomenimis ir mokslo įrodymais paremta visapusiška ŠKL valdymo strategija, apimanti infrastruktūrą, žmogiškuosius išteklius, paciento kelią, gydymo rezultatų vertinimą ir nuolatinį proceso tobulinimą. Tačiau savalaikis ŠKL prevencijos, diagnostikos, gydymo ir stebėsenos </w:t>
      </w:r>
      <w:r w:rsidRPr="00F27FF6">
        <w:rPr>
          <w:rStyle w:val="normaltextrun"/>
          <w:rFonts w:ascii="Times New Roman" w:hAnsi="Times New Roman" w:cs="Times New Roman"/>
          <w:lang w:val="lt-LT"/>
        </w:rPr>
        <w:lastRenderedPageBreak/>
        <w:t>procesų tobulinimas bei mokslo pasiekimų diegimas šioje srityje nėra įmanomi be realiu laiku surenkamų kokybiškų, išsamių ir teisingai interpretuojamų ŠKL duomenų.</w:t>
      </w:r>
    </w:p>
    <w:p w14:paraId="5EBADB97" w14:textId="77777777" w:rsidR="00E455E6" w:rsidRPr="00F27FF6" w:rsidRDefault="00E455E6" w:rsidP="0086770A">
      <w:pPr>
        <w:pStyle w:val="ListParagraph"/>
        <w:numPr>
          <w:ilvl w:val="3"/>
          <w:numId w:val="1"/>
        </w:numPr>
        <w:shd w:val="clear" w:color="auto" w:fill="FFFFFF"/>
        <w:tabs>
          <w:tab w:val="left" w:pos="1134"/>
        </w:tabs>
        <w:jc w:val="both"/>
        <w:textAlignment w:val="baseline"/>
        <w:rPr>
          <w:rStyle w:val="normaltextrun"/>
          <w:rFonts w:ascii="Times New Roman" w:hAnsi="Times New Roman" w:cs="Times New Roman"/>
          <w:lang w:val="lt-LT"/>
        </w:rPr>
      </w:pPr>
      <w:r w:rsidRPr="00F27FF6">
        <w:rPr>
          <w:rStyle w:val="normaltextrun"/>
          <w:rFonts w:ascii="Times New Roman" w:hAnsi="Times New Roman" w:cs="Times New Roman"/>
          <w:b/>
          <w:bCs/>
          <w:lang w:val="lt-LT"/>
        </w:rPr>
        <w:t>Priežastys</w:t>
      </w:r>
      <w:r w:rsidRPr="00F27FF6">
        <w:rPr>
          <w:rStyle w:val="normaltextrun"/>
          <w:rFonts w:ascii="Times New Roman" w:hAnsi="Times New Roman" w:cs="Times New Roman"/>
          <w:lang w:val="lt-LT"/>
        </w:rPr>
        <w:t>: Skandinavijos bei Vakarų Europos valstybėse jau daugelį metų funkcionuoja specializuoti registrai, kuriuose kaupiami išsamūs ŠKL duomenų rinkiniai, leidžiantys priimti savalaikius klinikinius bei sveikatos politikos sprendimus, taip pat užtikrina antrinio duomenų panaudojimo galimybes mokslui ir naujų technologijų vystymui.</w:t>
      </w:r>
    </w:p>
    <w:p w14:paraId="418721BF" w14:textId="77777777" w:rsidR="00E455E6" w:rsidRPr="00F27FF6" w:rsidRDefault="00E455E6" w:rsidP="0086770A">
      <w:pPr>
        <w:pStyle w:val="ListParagraph"/>
        <w:numPr>
          <w:ilvl w:val="3"/>
          <w:numId w:val="1"/>
        </w:numPr>
        <w:shd w:val="clear" w:color="auto" w:fill="FFFFFF"/>
        <w:tabs>
          <w:tab w:val="left" w:pos="1134"/>
        </w:tabs>
        <w:jc w:val="both"/>
        <w:textAlignment w:val="baseline"/>
        <w:rPr>
          <w:rStyle w:val="normaltextrun"/>
          <w:rFonts w:ascii="Times New Roman" w:hAnsi="Times New Roman" w:cs="Times New Roman"/>
          <w:lang w:val="lt-LT"/>
        </w:rPr>
      </w:pPr>
      <w:r w:rsidRPr="00F27FF6">
        <w:rPr>
          <w:rStyle w:val="normaltextrun"/>
          <w:rFonts w:ascii="Times New Roman" w:hAnsi="Times New Roman" w:cs="Times New Roman"/>
          <w:b/>
          <w:bCs/>
          <w:lang w:val="lt-LT"/>
        </w:rPr>
        <w:t>Poreikis ir pasekmės</w:t>
      </w:r>
      <w:r w:rsidRPr="00F27FF6">
        <w:rPr>
          <w:rStyle w:val="normaltextrun"/>
          <w:rFonts w:ascii="Times New Roman" w:hAnsi="Times New Roman" w:cs="Times New Roman"/>
          <w:lang w:val="lt-LT"/>
        </w:rPr>
        <w:t xml:space="preserve">: Sveikatos apsaugos ministerija  </w:t>
      </w:r>
      <w:r w:rsidRPr="00F27FF6">
        <w:rPr>
          <w:rStyle w:val="normaltextrun"/>
          <w:rFonts w:ascii="Times New Roman" w:hAnsi="Times New Roman" w:cs="Times New Roman"/>
          <w:color w:val="242424"/>
          <w:lang w:val="lt-LT"/>
        </w:rPr>
        <w:t xml:space="preserve">2022–2030 metų sveikatos priežiūros kokybės ir efektyvumo didinimo plėtros programoje yra numačiusi eilę pažangos priemonių susijusių su sveikatos priežiūros paslaugų kokybės ir prieinamumo gerinimu. </w:t>
      </w:r>
      <w:r w:rsidRPr="00F27FF6">
        <w:rPr>
          <w:rStyle w:val="normaltextrun"/>
          <w:rFonts w:ascii="Times New Roman" w:hAnsi="Times New Roman" w:cs="Times New Roman"/>
          <w:lang w:val="lt-LT"/>
        </w:rPr>
        <w:t>Ūminio miokardo infarkto (MI) tvarkos aprašai ir prieinamumo gerinimo įsakymai V-244, V-940,  numato MI priežiūros paslaugų teikimo kokybės rodiklių stebėjimo poreikį, kadangi iki šiol  nebuvo veiksmingų priemonių, generuojančių patikimus duomenis.</w:t>
      </w:r>
    </w:p>
    <w:p w14:paraId="782679D2" w14:textId="77777777" w:rsidR="00E455E6" w:rsidRPr="00F27FF6" w:rsidRDefault="00E455E6" w:rsidP="007A29F8">
      <w:pPr>
        <w:pStyle w:val="ListParagraph"/>
        <w:shd w:val="clear" w:color="auto" w:fill="FFFFFF"/>
        <w:tabs>
          <w:tab w:val="left" w:pos="1134"/>
        </w:tabs>
        <w:ind w:left="709" w:firstLine="0"/>
        <w:jc w:val="both"/>
        <w:textAlignment w:val="baseline"/>
        <w:rPr>
          <w:rStyle w:val="normaltextrun"/>
          <w:rFonts w:ascii="Times New Roman" w:hAnsi="Times New Roman" w:cs="Times New Roman"/>
          <w:lang w:val="lt-LT"/>
        </w:rPr>
      </w:pPr>
      <w:r w:rsidRPr="00F27FF6">
        <w:rPr>
          <w:rStyle w:val="normaltextrun"/>
          <w:rFonts w:ascii="Times New Roman" w:hAnsi="Times New Roman" w:cs="Times New Roman"/>
          <w:lang w:val="lt-LT"/>
        </w:rPr>
        <w:t>Kokybiškai renkami ŠKL duomenys, tame tarpe ir miokardo infarkto (MI) duomenų rinkiniai, apimantys keturių svarbiausių širdies patologijų -  miokardo infarkto (MI), širdies nepakankamumo (ŠN), prieširdžių virpėjimo (PV), aortos vožtuvo stenozės (TAVI) duomenų rinkinius, su galimybe realiu laiku analizuoti ir stebėti rodiklius, leistų suformuoti ir įveiklinti mokslo įrodymais paremtą visapusišką ŠKL valdymo strategiją Lietuvoje. Investicijos į ligoninių informacinių sistemų tobulinimą, užtikrinant kokybišką automatinį duomenų surinkimą ir visapusišką analizę realiu laiku, įdiegus inovatyvius sprendimus, leistų sumažinti Asmens sveikatos priežiūros įstaigų (toliau -ASPĮ) ŠKL valdymo kaštus, efektyviau naudoti ŠKL valdymui skirtą infrastruktūrą, žmogiškuosius išteklius, didinti aptarnaujamų pacientų skaičių, prisidėtų prie medicinos personalo darbo sąlygų gerinimo. Išsamūs ŠKL duomenų rinkiniai šalies mastu, suteiktų galimybę jungtis į Europos klinikinės kokybės ir būsimų pragmatinių klinikinių tyrimų tinklus.</w:t>
      </w:r>
    </w:p>
    <w:p w14:paraId="771C5A88" w14:textId="77777777" w:rsidR="00E455E6" w:rsidRPr="00F27FF6" w:rsidRDefault="00E455E6" w:rsidP="0086770A">
      <w:pPr>
        <w:pStyle w:val="ListParagraph"/>
        <w:numPr>
          <w:ilvl w:val="3"/>
          <w:numId w:val="1"/>
        </w:numPr>
        <w:shd w:val="clear" w:color="auto" w:fill="FFFFFF"/>
        <w:tabs>
          <w:tab w:val="left" w:pos="1134"/>
        </w:tabs>
        <w:jc w:val="both"/>
        <w:textAlignment w:val="baseline"/>
        <w:rPr>
          <w:rStyle w:val="normaltextrun"/>
          <w:rFonts w:ascii="Times New Roman" w:hAnsi="Times New Roman" w:cs="Times New Roman"/>
          <w:lang w:val="lt-LT"/>
        </w:rPr>
      </w:pPr>
      <w:r w:rsidRPr="00F27FF6">
        <w:rPr>
          <w:rStyle w:val="normaltextrun"/>
          <w:rFonts w:ascii="Times New Roman" w:hAnsi="Times New Roman" w:cs="Times New Roman"/>
          <w:b/>
          <w:bCs/>
          <w:lang w:val="lt-LT"/>
        </w:rPr>
        <w:t>Problemos sprendimo būdai</w:t>
      </w:r>
      <w:r w:rsidRPr="00F27FF6">
        <w:rPr>
          <w:rStyle w:val="normaltextrun"/>
          <w:rFonts w:ascii="Times New Roman" w:hAnsi="Times New Roman" w:cs="Times New Roman"/>
          <w:lang w:val="lt-LT"/>
        </w:rPr>
        <w:t xml:space="preserve">: Šiuo bandomuoju projektu siekiama efektyvinti ŠKL valdymui reikalingų duomenų surinkimą. Remiantis Europos kardiologų asociacijos sukurtos bendradarbiavimo platformos EuroHeart patirtimi bei Lietuvos kardiologų bendruomenės, apimančios visų penkių klasterinių ligoninių atstovų, sutarimu, bus galima sudaryti duomenų ir rodiklių rinkinį, reikalingą efektyviai ŠKL valdymo stebėsenai užtikrinti. </w:t>
      </w:r>
      <w:r w:rsidR="008742F1" w:rsidRPr="00F27FF6">
        <w:rPr>
          <w:rStyle w:val="normaltextrun"/>
          <w:rFonts w:ascii="Times New Roman" w:hAnsi="Times New Roman" w:cs="Times New Roman"/>
          <w:lang w:val="lt-LT"/>
        </w:rPr>
        <w:t>B</w:t>
      </w:r>
      <w:r w:rsidRPr="00F27FF6">
        <w:rPr>
          <w:rStyle w:val="normaltextrun"/>
          <w:rFonts w:ascii="Times New Roman" w:hAnsi="Times New Roman" w:cs="Times New Roman"/>
          <w:lang w:val="lt-LT"/>
        </w:rPr>
        <w:t>andomajame projekte dalyvaus trys  klasterinės ligoninės - Vilniaus universiteto ligoninė Santaros klinikos,  Lietuvos sveikatos mokslų universiteto ligoninė Kauno klinikos ir Respublikinė Šiaulių ligoninė, kuriose yra įdiegtos skirtingos duomenų valdymo sistemos.</w:t>
      </w:r>
    </w:p>
    <w:p w14:paraId="15CA0D51" w14:textId="77777777" w:rsidR="00E455E6" w:rsidRPr="00F27FF6" w:rsidRDefault="00E455E6" w:rsidP="007A29F8">
      <w:pPr>
        <w:pStyle w:val="ListParagraph"/>
        <w:shd w:val="clear" w:color="auto" w:fill="FFFFFF"/>
        <w:tabs>
          <w:tab w:val="left" w:pos="1134"/>
        </w:tabs>
        <w:ind w:left="709" w:firstLine="0"/>
        <w:jc w:val="both"/>
        <w:textAlignment w:val="baseline"/>
        <w:rPr>
          <w:rStyle w:val="normaltextrun"/>
          <w:rFonts w:ascii="Times New Roman" w:hAnsi="Times New Roman" w:cs="Times New Roman"/>
          <w:lang w:val="lt-LT"/>
        </w:rPr>
      </w:pPr>
      <w:r w:rsidRPr="00F27FF6">
        <w:rPr>
          <w:rStyle w:val="normaltextrun"/>
          <w:rFonts w:ascii="Times New Roman" w:hAnsi="Times New Roman" w:cs="Times New Roman"/>
          <w:lang w:val="lt-LT"/>
        </w:rPr>
        <w:t>Bandomajame projekte dalyvaujančios įstaigos atliks savo informacinių sistemų formų atnaujinimus, įgalinančius visų ŠKL stebėsenos rodikliams apskaičiuoti ir analizuoti reikalingų duomenų homogenišką surinkimą ir galimybę duomenis perduoti stebėsenai ir analizei nacionaliniu lygmeniu.</w:t>
      </w:r>
    </w:p>
    <w:p w14:paraId="036DA449" w14:textId="77777777" w:rsidR="00E455E6" w:rsidRPr="00F27FF6" w:rsidRDefault="00E455E6" w:rsidP="0086770A">
      <w:pPr>
        <w:pStyle w:val="ListParagraph"/>
        <w:numPr>
          <w:ilvl w:val="3"/>
          <w:numId w:val="1"/>
        </w:numPr>
        <w:shd w:val="clear" w:color="auto" w:fill="FFFFFF"/>
        <w:tabs>
          <w:tab w:val="left" w:pos="1134"/>
        </w:tabs>
        <w:jc w:val="both"/>
        <w:textAlignment w:val="baseline"/>
        <w:rPr>
          <w:rFonts w:ascii="Times New Roman" w:hAnsi="Times New Roman" w:cs="Times New Roman"/>
          <w:lang w:val="lt-LT"/>
        </w:rPr>
      </w:pPr>
      <w:r w:rsidRPr="00F27FF6">
        <w:rPr>
          <w:rStyle w:val="normaltextrun"/>
          <w:rFonts w:ascii="Times New Roman" w:hAnsi="Times New Roman" w:cs="Times New Roman"/>
          <w:b/>
          <w:bCs/>
          <w:lang w:val="lt-LT"/>
        </w:rPr>
        <w:t>Rezultatai</w:t>
      </w:r>
      <w:r w:rsidRPr="00F27FF6">
        <w:rPr>
          <w:rStyle w:val="normaltextrun"/>
          <w:rFonts w:ascii="Times New Roman" w:hAnsi="Times New Roman" w:cs="Times New Roman"/>
          <w:lang w:val="lt-LT"/>
        </w:rPr>
        <w:t>: Bandomojo projekto metu, atsižvelgiant į Europos kardiologų draugijos sukurtos bendradarbiavimo platformos EuroHeart standartą, bus parengtas standartizuotas, išsamus rodiklių rinkinys, sukurti įrankiai, įgalinantys detalią realaus laiko duomenų analizę. Tai leis pagerinti ŠKL valdymo situaciją šalyje. Standartizuotas duomenų surinkimas įgalins Lietuvos ASPĮ jungimąsi į Europos klinikinės kokybės ir pragmatinių tyrimų tinklus, bei antrinį šių sveikatos duomenų panaudojimą.</w:t>
      </w:r>
      <w:r w:rsidRPr="00F27FF6">
        <w:rPr>
          <w:rStyle w:val="eop"/>
          <w:rFonts w:ascii="Times New Roman" w:hAnsi="Times New Roman" w:cs="Times New Roman"/>
          <w:lang w:val="lt-LT"/>
        </w:rPr>
        <w:t> </w:t>
      </w:r>
    </w:p>
    <w:p w14:paraId="20443F6A" w14:textId="77777777" w:rsidR="00E455E6" w:rsidRPr="00F27FF6" w:rsidRDefault="00E455E6" w:rsidP="00E455E6">
      <w:pPr>
        <w:pStyle w:val="paragraph"/>
        <w:spacing w:before="0" w:beforeAutospacing="0" w:after="0" w:afterAutospacing="0"/>
        <w:ind w:left="1843"/>
        <w:jc w:val="both"/>
        <w:textAlignment w:val="baseline"/>
        <w:rPr>
          <w:rStyle w:val="eop"/>
          <w:color w:val="000000"/>
          <w:sz w:val="22"/>
          <w:szCs w:val="22"/>
        </w:rPr>
      </w:pPr>
    </w:p>
    <w:p w14:paraId="75419681" w14:textId="77777777" w:rsidR="00E455E6" w:rsidRPr="00F27FF6" w:rsidRDefault="00E455E6" w:rsidP="0086770A">
      <w:pPr>
        <w:pStyle w:val="paragraph"/>
        <w:numPr>
          <w:ilvl w:val="2"/>
          <w:numId w:val="1"/>
        </w:numPr>
        <w:spacing w:before="0" w:beforeAutospacing="0" w:after="0" w:afterAutospacing="0"/>
        <w:jc w:val="both"/>
        <w:textAlignment w:val="baseline"/>
        <w:rPr>
          <w:color w:val="000000"/>
          <w:sz w:val="22"/>
          <w:szCs w:val="22"/>
        </w:rPr>
      </w:pPr>
      <w:r w:rsidRPr="00F27FF6">
        <w:rPr>
          <w:rFonts w:eastAsia="Calibri"/>
          <w:b/>
          <w:bCs/>
          <w:sz w:val="22"/>
          <w:szCs w:val="22"/>
        </w:rPr>
        <w:t>Projekto tikslas</w:t>
      </w:r>
    </w:p>
    <w:p w14:paraId="7037BA43" w14:textId="77777777" w:rsidR="00E455E6" w:rsidRPr="00F27FF6" w:rsidRDefault="00E455E6" w:rsidP="007A29F8">
      <w:pPr>
        <w:pStyle w:val="paragraph"/>
        <w:spacing w:before="0" w:beforeAutospacing="0" w:after="0" w:afterAutospacing="0"/>
        <w:ind w:left="709"/>
        <w:jc w:val="both"/>
        <w:textAlignment w:val="baseline"/>
        <w:rPr>
          <w:bCs/>
          <w:sz w:val="22"/>
          <w:szCs w:val="22"/>
        </w:rPr>
      </w:pPr>
      <w:r w:rsidRPr="00F27FF6">
        <w:rPr>
          <w:bCs/>
          <w:sz w:val="22"/>
          <w:szCs w:val="22"/>
        </w:rPr>
        <w:t>Miokardo infarkto klasterio skaitmenizavimo bandomojo projekto tikslas – pagerinti ŠKL valdymui reikalingų duomenų surinkimą nacionaliniu lygiu ir įgalinti jų analizę</w:t>
      </w:r>
      <w:r w:rsidRPr="00F27FF6">
        <w:rPr>
          <w:bCs/>
          <w:color w:val="000000"/>
          <w:sz w:val="22"/>
          <w:szCs w:val="22"/>
        </w:rPr>
        <w:t xml:space="preserve"> realiu laiku. V</w:t>
      </w:r>
      <w:r w:rsidRPr="00F27FF6">
        <w:rPr>
          <w:bCs/>
          <w:sz w:val="22"/>
          <w:szCs w:val="22"/>
        </w:rPr>
        <w:t>adovaujantis Europos kardiologų draugijos EuroHeart bendradarbiavimo platformos standartu,  parengti ŠKL valdymui reikalingą standartizuotą MI rodiklių rinkinį ir sukurti įrankius, įgalinančius atlikti automatinį duomenų surinkimą ir detalią realaus laiko duomenų analizę.</w:t>
      </w:r>
    </w:p>
    <w:p w14:paraId="24F18FA8" w14:textId="77777777" w:rsidR="00E455E6" w:rsidRPr="00F27FF6" w:rsidRDefault="00E455E6" w:rsidP="0086770A">
      <w:pPr>
        <w:pStyle w:val="ListParagraph"/>
        <w:numPr>
          <w:ilvl w:val="2"/>
          <w:numId w:val="1"/>
        </w:numPr>
        <w:jc w:val="both"/>
        <w:rPr>
          <w:rFonts w:ascii="Times New Roman" w:eastAsia="Calibri" w:hAnsi="Times New Roman" w:cs="Times New Roman"/>
          <w:iCs/>
          <w:lang w:val="lt-LT"/>
        </w:rPr>
      </w:pPr>
      <w:r w:rsidRPr="00F27FF6">
        <w:rPr>
          <w:rFonts w:ascii="Times New Roman" w:hAnsi="Times New Roman" w:cs="Times New Roman"/>
          <w:iCs/>
          <w:lang w:val="lt-LT"/>
        </w:rPr>
        <w:t xml:space="preserve">Bandomojo projekto metu bus sukurtas naujas skaitmeninis procesas - sudarytas ir renkamas Miokardo Infarkto (MI), apimančio ūminių vainikinių sindromų ir PVAI, duomenų rinkinys, informaciją į bendrą </w:t>
      </w:r>
      <w:r w:rsidRPr="00F27FF6">
        <w:rPr>
          <w:rFonts w:ascii="Times New Roman" w:hAnsi="Times New Roman" w:cs="Times New Roman"/>
          <w:iCs/>
          <w:lang w:val="lt-LT"/>
        </w:rPr>
        <w:lastRenderedPageBreak/>
        <w:t>sistemą,  surenkant iš 3 projekte dalyvaujančių klasterinių ASPĮ, ja naudotis suteikiant prieigą ASPĮ, darbuotojams, Lietuvos kardiologų draugijos nariams, ministerijos atstovams.</w:t>
      </w:r>
    </w:p>
    <w:p w14:paraId="6220E87C" w14:textId="77777777" w:rsidR="00EA2CDD" w:rsidRPr="00F27FF6" w:rsidRDefault="00EA2CDD" w:rsidP="00E455E6">
      <w:pPr>
        <w:tabs>
          <w:tab w:val="left" w:pos="1276"/>
          <w:tab w:val="left" w:pos="2268"/>
          <w:tab w:val="left" w:pos="2410"/>
        </w:tabs>
        <w:ind w:left="40"/>
        <w:jc w:val="both"/>
        <w:rPr>
          <w:color w:val="000000"/>
          <w:sz w:val="22"/>
          <w:szCs w:val="22"/>
        </w:rPr>
      </w:pPr>
    </w:p>
    <w:p w14:paraId="2383CFB0" w14:textId="77777777" w:rsidR="008742F1" w:rsidRPr="00F27FF6" w:rsidRDefault="00343A6E" w:rsidP="0086770A">
      <w:pPr>
        <w:pStyle w:val="NormalWeb"/>
        <w:numPr>
          <w:ilvl w:val="0"/>
          <w:numId w:val="1"/>
        </w:numPr>
        <w:spacing w:before="120" w:beforeAutospacing="0" w:after="120" w:afterAutospacing="0"/>
        <w:rPr>
          <w:b/>
          <w:color w:val="000000" w:themeColor="text1"/>
          <w:sz w:val="22"/>
          <w:szCs w:val="22"/>
        </w:rPr>
      </w:pPr>
      <w:r w:rsidRPr="00F27FF6">
        <w:rPr>
          <w:b/>
          <w:color w:val="000000" w:themeColor="text1"/>
          <w:sz w:val="22"/>
          <w:szCs w:val="22"/>
        </w:rPr>
        <w:t>Pirkimo objektas</w:t>
      </w:r>
    </w:p>
    <w:p w14:paraId="12C36955" w14:textId="77777777" w:rsidR="008276BF" w:rsidRPr="00F27FF6" w:rsidRDefault="00922B95" w:rsidP="0086770A">
      <w:pPr>
        <w:pStyle w:val="ListParagraph"/>
        <w:numPr>
          <w:ilvl w:val="1"/>
          <w:numId w:val="1"/>
        </w:numPr>
        <w:jc w:val="both"/>
        <w:rPr>
          <w:rFonts w:ascii="Times New Roman" w:hAnsi="Times New Roman" w:cs="Times New Roman"/>
          <w:lang w:val="lt-LT"/>
        </w:rPr>
      </w:pPr>
      <w:r w:rsidRPr="00F27FF6">
        <w:rPr>
          <w:rFonts w:ascii="Times New Roman" w:hAnsi="Times New Roman" w:cs="Times New Roman"/>
          <w:lang w:val="lt-LT"/>
        </w:rPr>
        <w:t>Bandomajam projektui būtin</w:t>
      </w:r>
      <w:r w:rsidR="000D0F64" w:rsidRPr="00F27FF6">
        <w:rPr>
          <w:rFonts w:ascii="Times New Roman" w:hAnsi="Times New Roman" w:cs="Times New Roman"/>
          <w:lang w:val="lt-LT"/>
        </w:rPr>
        <w:t>i</w:t>
      </w:r>
      <w:r w:rsidRPr="00F27FF6">
        <w:rPr>
          <w:rFonts w:ascii="Times New Roman" w:hAnsi="Times New Roman" w:cs="Times New Roman"/>
          <w:lang w:val="lt-LT"/>
        </w:rPr>
        <w:t xml:space="preserve"> </w:t>
      </w:r>
      <w:r w:rsidR="000D0F64" w:rsidRPr="00F27FF6">
        <w:rPr>
          <w:rFonts w:ascii="Times New Roman" w:hAnsi="Times New Roman" w:cs="Times New Roman"/>
          <w:lang w:val="lt-LT"/>
        </w:rPr>
        <w:t xml:space="preserve">miokardo infarkto </w:t>
      </w:r>
      <w:r w:rsidRPr="00F27FF6">
        <w:rPr>
          <w:rFonts w:ascii="Times New Roman" w:hAnsi="Times New Roman" w:cs="Times New Roman"/>
          <w:lang w:val="lt-LT"/>
        </w:rPr>
        <w:t>duomen</w:t>
      </w:r>
      <w:r w:rsidR="000D0F64" w:rsidRPr="00F27FF6">
        <w:rPr>
          <w:rFonts w:ascii="Times New Roman" w:hAnsi="Times New Roman" w:cs="Times New Roman"/>
          <w:lang w:val="lt-LT"/>
        </w:rPr>
        <w:t>y</w:t>
      </w:r>
      <w:r w:rsidRPr="00F27FF6">
        <w:rPr>
          <w:rFonts w:ascii="Times New Roman" w:hAnsi="Times New Roman" w:cs="Times New Roman"/>
          <w:lang w:val="lt-LT"/>
        </w:rPr>
        <w:t>s saugo</w:t>
      </w:r>
      <w:r w:rsidR="000D0F64" w:rsidRPr="00F27FF6">
        <w:rPr>
          <w:rFonts w:ascii="Times New Roman" w:hAnsi="Times New Roman" w:cs="Times New Roman"/>
          <w:lang w:val="lt-LT"/>
        </w:rPr>
        <w:t>mi</w:t>
      </w:r>
      <w:r w:rsidRPr="00F27FF6">
        <w:rPr>
          <w:rFonts w:ascii="Times New Roman" w:hAnsi="Times New Roman" w:cs="Times New Roman"/>
          <w:lang w:val="lt-LT"/>
        </w:rPr>
        <w:t xml:space="preserve"> </w:t>
      </w:r>
      <w:r w:rsidR="00EA2CDD" w:rsidRPr="00F27FF6">
        <w:rPr>
          <w:rFonts w:ascii="Times New Roman" w:hAnsi="Times New Roman" w:cs="Times New Roman"/>
          <w:lang w:val="lt-LT"/>
        </w:rPr>
        <w:t xml:space="preserve">Lietuvos sveikatos mokslų universiteto ligoninės Kauno klinikų (toliau </w:t>
      </w:r>
      <w:r w:rsidR="000D0F64" w:rsidRPr="00F27FF6">
        <w:rPr>
          <w:rFonts w:ascii="Times New Roman" w:hAnsi="Times New Roman" w:cs="Times New Roman"/>
          <w:lang w:val="lt-LT"/>
        </w:rPr>
        <w:t>KK</w:t>
      </w:r>
      <w:r w:rsidR="00EA2CDD" w:rsidRPr="00F27FF6">
        <w:rPr>
          <w:rFonts w:ascii="Times New Roman" w:hAnsi="Times New Roman" w:cs="Times New Roman"/>
          <w:lang w:val="lt-LT"/>
        </w:rPr>
        <w:t>)</w:t>
      </w:r>
      <w:r w:rsidR="000D0F64" w:rsidRPr="00F27FF6">
        <w:rPr>
          <w:rFonts w:ascii="Times New Roman" w:hAnsi="Times New Roman" w:cs="Times New Roman"/>
          <w:lang w:val="lt-LT"/>
        </w:rPr>
        <w:t xml:space="preserve"> </w:t>
      </w:r>
      <w:r w:rsidRPr="00F27FF6">
        <w:rPr>
          <w:rFonts w:ascii="Times New Roman" w:hAnsi="Times New Roman" w:cs="Times New Roman"/>
          <w:lang w:val="lt-LT"/>
        </w:rPr>
        <w:t xml:space="preserve">ligoninės informacinės sistemos </w:t>
      </w:r>
      <w:r w:rsidR="00A2149F" w:rsidRPr="00F27FF6">
        <w:rPr>
          <w:rFonts w:ascii="Times New Roman" w:hAnsi="Times New Roman" w:cs="Times New Roman"/>
          <w:lang w:val="lt-LT"/>
        </w:rPr>
        <w:t>d</w:t>
      </w:r>
      <w:r w:rsidRPr="00F27FF6">
        <w:rPr>
          <w:rFonts w:ascii="Times New Roman" w:hAnsi="Times New Roman" w:cs="Times New Roman"/>
          <w:lang w:val="lt-LT"/>
        </w:rPr>
        <w:t>uomenų bazėje.</w:t>
      </w:r>
      <w:r w:rsidR="000D0F64" w:rsidRPr="00F27FF6">
        <w:rPr>
          <w:rFonts w:ascii="Times New Roman" w:hAnsi="Times New Roman" w:cs="Times New Roman"/>
          <w:lang w:val="lt-LT"/>
        </w:rPr>
        <w:t xml:space="preserve"> Duomenų bazė realizuota Oracle duomenų bazių valdymo sistemos pagrindu</w:t>
      </w:r>
      <w:r w:rsidRPr="00F27FF6">
        <w:rPr>
          <w:rFonts w:ascii="Times New Roman" w:hAnsi="Times New Roman" w:cs="Times New Roman"/>
          <w:lang w:val="lt-LT"/>
        </w:rPr>
        <w:t xml:space="preserve">. Duomenys saugomi skirtingais formatais – skaitinės parametrų išraiškos, tekstinės išraiškos </w:t>
      </w:r>
      <w:r w:rsidR="009411BD" w:rsidRPr="00F27FF6">
        <w:rPr>
          <w:rFonts w:ascii="Times New Roman" w:hAnsi="Times New Roman" w:cs="Times New Roman"/>
          <w:lang w:val="lt-LT"/>
        </w:rPr>
        <w:t xml:space="preserve">parenkamos </w:t>
      </w:r>
      <w:r w:rsidRPr="00F27FF6">
        <w:rPr>
          <w:rFonts w:ascii="Times New Roman" w:hAnsi="Times New Roman" w:cs="Times New Roman"/>
          <w:lang w:val="lt-LT"/>
        </w:rPr>
        <w:t>iš klasifikatorių, laisvo teksto įrašai</w:t>
      </w:r>
      <w:r w:rsidR="009411BD" w:rsidRPr="00F27FF6">
        <w:rPr>
          <w:rFonts w:ascii="Times New Roman" w:hAnsi="Times New Roman" w:cs="Times New Roman"/>
          <w:lang w:val="lt-LT"/>
        </w:rPr>
        <w:t>.</w:t>
      </w:r>
      <w:r w:rsidRPr="00F27FF6">
        <w:rPr>
          <w:rFonts w:ascii="Times New Roman" w:hAnsi="Times New Roman" w:cs="Times New Roman"/>
          <w:lang w:val="lt-LT"/>
        </w:rPr>
        <w:t xml:space="preserve"> </w:t>
      </w:r>
      <w:r w:rsidR="009411BD" w:rsidRPr="00F27FF6">
        <w:rPr>
          <w:rFonts w:ascii="Times New Roman" w:hAnsi="Times New Roman" w:cs="Times New Roman"/>
          <w:lang w:val="lt-LT"/>
        </w:rPr>
        <w:t>V</w:t>
      </w:r>
      <w:r w:rsidR="000D0F64" w:rsidRPr="00F27FF6">
        <w:rPr>
          <w:rFonts w:ascii="Times New Roman" w:hAnsi="Times New Roman" w:cs="Times New Roman"/>
          <w:lang w:val="lt-LT"/>
        </w:rPr>
        <w:t xml:space="preserve">isi anksčiau išvardinti duomenų tipai gali būti saugomi </w:t>
      </w:r>
      <w:r w:rsidR="009411BD" w:rsidRPr="00F27FF6">
        <w:rPr>
          <w:rFonts w:ascii="Times New Roman" w:hAnsi="Times New Roman" w:cs="Times New Roman"/>
          <w:lang w:val="lt-LT"/>
        </w:rPr>
        <w:t xml:space="preserve">tiek duomenų bazės lentelėse tiesiogiai tiek </w:t>
      </w:r>
      <w:r w:rsidR="000D0F64" w:rsidRPr="00F27FF6">
        <w:rPr>
          <w:rFonts w:ascii="Times New Roman" w:hAnsi="Times New Roman" w:cs="Times New Roman"/>
          <w:lang w:val="lt-LT"/>
        </w:rPr>
        <w:t xml:space="preserve">XML </w:t>
      </w:r>
      <w:r w:rsidR="00EA2CDD" w:rsidRPr="00F27FF6">
        <w:rPr>
          <w:rFonts w:ascii="Times New Roman" w:hAnsi="Times New Roman" w:cs="Times New Roman"/>
          <w:lang w:val="lt-LT"/>
        </w:rPr>
        <w:t xml:space="preserve">formato </w:t>
      </w:r>
      <w:r w:rsidR="000D0F64" w:rsidRPr="00F27FF6">
        <w:rPr>
          <w:rFonts w:ascii="Times New Roman" w:hAnsi="Times New Roman" w:cs="Times New Roman"/>
          <w:lang w:val="lt-LT"/>
        </w:rPr>
        <w:t>struktūruotuose dokumentuose. XML struktūros</w:t>
      </w:r>
      <w:r w:rsidR="009411BD" w:rsidRPr="00F27FF6">
        <w:rPr>
          <w:rFonts w:ascii="Times New Roman" w:hAnsi="Times New Roman" w:cs="Times New Roman"/>
          <w:lang w:val="lt-LT"/>
        </w:rPr>
        <w:t xml:space="preserve"> (failai)</w:t>
      </w:r>
      <w:r w:rsidR="000D0F64" w:rsidRPr="00F27FF6">
        <w:rPr>
          <w:rFonts w:ascii="Times New Roman" w:hAnsi="Times New Roman" w:cs="Times New Roman"/>
          <w:lang w:val="lt-LT"/>
        </w:rPr>
        <w:t xml:space="preserve"> saugomos Oracle duomenų bazėje. </w:t>
      </w:r>
      <w:r w:rsidR="008742F1" w:rsidRPr="00F27FF6">
        <w:rPr>
          <w:rFonts w:ascii="Times New Roman" w:hAnsi="Times New Roman" w:cs="Times New Roman"/>
          <w:lang w:val="lt-LT"/>
        </w:rPr>
        <w:t xml:space="preserve">Įgyvendinant poveiklės veiksmus </w:t>
      </w:r>
      <w:r w:rsidR="000D0F64" w:rsidRPr="00F27FF6">
        <w:rPr>
          <w:rFonts w:ascii="Times New Roman" w:hAnsi="Times New Roman" w:cs="Times New Roman"/>
          <w:lang w:val="lt-LT"/>
        </w:rPr>
        <w:t>reik</w:t>
      </w:r>
      <w:r w:rsidR="009411BD" w:rsidRPr="00F27FF6">
        <w:rPr>
          <w:rFonts w:ascii="Times New Roman" w:hAnsi="Times New Roman" w:cs="Times New Roman"/>
          <w:lang w:val="lt-LT"/>
        </w:rPr>
        <w:t>ės</w:t>
      </w:r>
      <w:r w:rsidR="000D0F64" w:rsidRPr="00F27FF6">
        <w:rPr>
          <w:rFonts w:ascii="Times New Roman" w:hAnsi="Times New Roman" w:cs="Times New Roman"/>
          <w:lang w:val="lt-LT"/>
        </w:rPr>
        <w:t xml:space="preserve"> </w:t>
      </w:r>
      <w:r w:rsidR="008742F1" w:rsidRPr="00F27FF6">
        <w:rPr>
          <w:rFonts w:ascii="Times New Roman" w:hAnsi="Times New Roman" w:cs="Times New Roman"/>
          <w:lang w:val="lt-LT"/>
        </w:rPr>
        <w:t>a</w:t>
      </w:r>
      <w:r w:rsidR="000D0F64" w:rsidRPr="00F27FF6">
        <w:rPr>
          <w:rFonts w:ascii="Times New Roman" w:hAnsi="Times New Roman" w:cs="Times New Roman"/>
          <w:lang w:val="lt-LT"/>
        </w:rPr>
        <w:t>trinkti visus būtinus pradinius duomenis iš</w:t>
      </w:r>
      <w:r w:rsidR="008742F1" w:rsidRPr="00F27FF6">
        <w:rPr>
          <w:rFonts w:ascii="Times New Roman" w:hAnsi="Times New Roman" w:cs="Times New Roman"/>
          <w:lang w:val="lt-LT"/>
        </w:rPr>
        <w:t xml:space="preserve"> </w:t>
      </w:r>
      <w:r w:rsidR="000D0F64" w:rsidRPr="00F27FF6">
        <w:rPr>
          <w:rFonts w:ascii="Times New Roman" w:hAnsi="Times New Roman" w:cs="Times New Roman"/>
          <w:lang w:val="lt-LT"/>
        </w:rPr>
        <w:t xml:space="preserve">KK ligoninės informacinės sistemos ir </w:t>
      </w:r>
      <w:r w:rsidR="008276BF" w:rsidRPr="00F27FF6">
        <w:rPr>
          <w:rFonts w:ascii="Times New Roman" w:hAnsi="Times New Roman" w:cs="Times New Roman"/>
          <w:lang w:val="lt-LT"/>
        </w:rPr>
        <w:t xml:space="preserve">harmonizuotus </w:t>
      </w:r>
      <w:r w:rsidR="000D0F64" w:rsidRPr="00F27FF6">
        <w:rPr>
          <w:rFonts w:ascii="Times New Roman" w:hAnsi="Times New Roman" w:cs="Times New Roman"/>
          <w:lang w:val="lt-LT"/>
        </w:rPr>
        <w:t>patalpint į duomenų valdymo platformą</w:t>
      </w:r>
      <w:r w:rsidR="008276BF" w:rsidRPr="00F27FF6">
        <w:rPr>
          <w:rFonts w:ascii="Times New Roman" w:hAnsi="Times New Roman" w:cs="Times New Roman"/>
          <w:lang w:val="lt-LT"/>
        </w:rPr>
        <w:t xml:space="preserve">, tokiu būdu paruošiant būtiną duomenų rinkinį </w:t>
      </w:r>
      <w:r w:rsidR="00EA2CDD" w:rsidRPr="00F27FF6">
        <w:rPr>
          <w:rFonts w:ascii="Times New Roman" w:hAnsi="Times New Roman" w:cs="Times New Roman"/>
          <w:lang w:val="lt-LT"/>
        </w:rPr>
        <w:t>perdavimui į Valstybės duomenų agentūros (</w:t>
      </w:r>
      <w:r w:rsidR="008276BF" w:rsidRPr="00F27FF6">
        <w:rPr>
          <w:rFonts w:ascii="Times New Roman" w:hAnsi="Times New Roman" w:cs="Times New Roman"/>
          <w:lang w:val="lt-LT"/>
        </w:rPr>
        <w:t>VDA</w:t>
      </w:r>
      <w:r w:rsidR="00EA2CDD" w:rsidRPr="00F27FF6">
        <w:rPr>
          <w:rFonts w:ascii="Times New Roman" w:hAnsi="Times New Roman" w:cs="Times New Roman"/>
          <w:lang w:val="lt-LT"/>
        </w:rPr>
        <w:t>) analitinę platformą</w:t>
      </w:r>
      <w:r w:rsidR="008276BF" w:rsidRPr="00F27FF6">
        <w:rPr>
          <w:rFonts w:ascii="Times New Roman" w:hAnsi="Times New Roman" w:cs="Times New Roman"/>
          <w:lang w:val="lt-LT"/>
        </w:rPr>
        <w:t>.</w:t>
      </w:r>
    </w:p>
    <w:p w14:paraId="6DACA5E9" w14:textId="77777777" w:rsidR="008742F1" w:rsidRPr="00F27FF6" w:rsidRDefault="008276BF" w:rsidP="0086770A">
      <w:pPr>
        <w:pStyle w:val="ListParagraph"/>
        <w:numPr>
          <w:ilvl w:val="1"/>
          <w:numId w:val="1"/>
        </w:numPr>
        <w:jc w:val="both"/>
        <w:rPr>
          <w:rFonts w:ascii="Times New Roman" w:hAnsi="Times New Roman" w:cs="Times New Roman"/>
          <w:color w:val="000000"/>
          <w:lang w:val="lt-LT"/>
        </w:rPr>
      </w:pPr>
      <w:r w:rsidRPr="00F27FF6">
        <w:rPr>
          <w:rFonts w:ascii="Times New Roman" w:hAnsi="Times New Roman" w:cs="Times New Roman"/>
          <w:lang w:val="lt-LT"/>
        </w:rPr>
        <w:t xml:space="preserve">Būtinų Miokardo infarkto duomenų rinkinį vienam pacientui sudaro apie 150 </w:t>
      </w:r>
      <w:r w:rsidR="00EF43CE" w:rsidRPr="00F27FF6">
        <w:rPr>
          <w:rFonts w:ascii="Times New Roman" w:hAnsi="Times New Roman" w:cs="Times New Roman"/>
          <w:lang w:val="lt-LT"/>
        </w:rPr>
        <w:t>parametrų</w:t>
      </w:r>
      <w:r w:rsidR="009A1876" w:rsidRPr="00F27FF6">
        <w:rPr>
          <w:rFonts w:ascii="Times New Roman" w:hAnsi="Times New Roman" w:cs="Times New Roman"/>
          <w:lang w:val="lt-LT"/>
        </w:rPr>
        <w:t xml:space="preserve"> kurie yra grupuojami į </w:t>
      </w:r>
      <w:r w:rsidR="005E18EE" w:rsidRPr="00F27FF6">
        <w:rPr>
          <w:rFonts w:ascii="Times New Roman" w:hAnsi="Times New Roman" w:cs="Times New Roman"/>
          <w:lang w:val="lt-LT"/>
        </w:rPr>
        <w:t>septynias duomenų grupes (“Demografija”, “Paciento charakteristikos ir gretutinės ligos”, “Atvykimo duomenys”, “Priežiūra ligoninėje”, “Diagnostinė koronarografija”, “PVAI ir įvykiai”, “Išrašymo valdymas”)</w:t>
      </w:r>
      <w:r w:rsidRPr="00F27FF6">
        <w:rPr>
          <w:rFonts w:ascii="Times New Roman" w:hAnsi="Times New Roman" w:cs="Times New Roman"/>
          <w:lang w:val="lt-LT"/>
        </w:rPr>
        <w:t xml:space="preserve">. </w:t>
      </w:r>
    </w:p>
    <w:p w14:paraId="1365D927" w14:textId="77777777" w:rsidR="008E7368" w:rsidRPr="00F27FF6" w:rsidRDefault="00363A2E" w:rsidP="0086770A">
      <w:pPr>
        <w:pStyle w:val="Heading1"/>
        <w:numPr>
          <w:ilvl w:val="0"/>
          <w:numId w:val="1"/>
        </w:numPr>
        <w:shd w:val="clear" w:color="auto" w:fill="FFFFFF"/>
        <w:rPr>
          <w:sz w:val="22"/>
          <w:szCs w:val="22"/>
        </w:rPr>
      </w:pPr>
      <w:bookmarkStart w:id="3" w:name="_2et92p0" w:colFirst="0" w:colLast="0"/>
      <w:bookmarkEnd w:id="3"/>
      <w:r w:rsidRPr="00F27FF6">
        <w:rPr>
          <w:sz w:val="22"/>
          <w:szCs w:val="22"/>
        </w:rPr>
        <w:t>Funkciniai R</w:t>
      </w:r>
      <w:r w:rsidR="00E40203" w:rsidRPr="00F27FF6">
        <w:rPr>
          <w:sz w:val="22"/>
          <w:szCs w:val="22"/>
        </w:rPr>
        <w:t>eikalavimai</w:t>
      </w:r>
      <w:bookmarkStart w:id="4" w:name="_tyjcwt" w:colFirst="0" w:colLast="0"/>
      <w:bookmarkEnd w:id="4"/>
      <w:r w:rsidRPr="00F27FF6">
        <w:rPr>
          <w:sz w:val="22"/>
          <w:szCs w:val="22"/>
        </w:rPr>
        <w:t xml:space="preserve"> </w:t>
      </w:r>
    </w:p>
    <w:p w14:paraId="45486A3C" w14:textId="77777777" w:rsidR="0084544B" w:rsidRPr="00F27FF6" w:rsidRDefault="0084544B" w:rsidP="0084544B">
      <w:pPr>
        <w:pStyle w:val="Normal1"/>
        <w:rPr>
          <w:sz w:val="22"/>
          <w:szCs w:val="22"/>
        </w:rPr>
      </w:pPr>
    </w:p>
    <w:tbl>
      <w:tblPr>
        <w:tblStyle w:val="a"/>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4536"/>
        <w:gridCol w:w="4536"/>
      </w:tblGrid>
      <w:tr w:rsidR="00343A6E" w:rsidRPr="00F27FF6" w14:paraId="7ED947A2" w14:textId="77777777" w:rsidTr="0086770A">
        <w:trPr>
          <w:trHeight w:val="60"/>
        </w:trPr>
        <w:tc>
          <w:tcPr>
            <w:tcW w:w="738" w:type="dxa"/>
            <w:shd w:val="clear" w:color="auto" w:fill="auto"/>
          </w:tcPr>
          <w:p w14:paraId="06205B10" w14:textId="77777777" w:rsidR="00343A6E" w:rsidRPr="00F27FF6" w:rsidRDefault="007A29F8" w:rsidP="007A29F8">
            <w:pPr>
              <w:pStyle w:val="Heading2"/>
              <w:keepNext w:val="0"/>
              <w:keepLines w:val="0"/>
              <w:widowControl w:val="0"/>
              <w:spacing w:before="0"/>
              <w:ind w:left="60" w:firstLine="0"/>
              <w:rPr>
                <w:rFonts w:ascii="Times New Roman" w:eastAsia="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 xml:space="preserve">Eil Nr. </w:t>
            </w:r>
          </w:p>
        </w:tc>
        <w:tc>
          <w:tcPr>
            <w:tcW w:w="4536" w:type="dxa"/>
            <w:shd w:val="clear" w:color="auto" w:fill="auto"/>
          </w:tcPr>
          <w:p w14:paraId="2252316E" w14:textId="77777777" w:rsidR="00343A6E" w:rsidRPr="00F27FF6" w:rsidRDefault="00343A6E" w:rsidP="00343A6E">
            <w:pPr>
              <w:pStyle w:val="Heading2"/>
              <w:spacing w:before="0"/>
              <w:ind w:left="65" w:hanging="115"/>
              <w:rPr>
                <w:rFonts w:ascii="Times New Roman" w:eastAsia="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Reikalaujama funkcija</w:t>
            </w:r>
          </w:p>
        </w:tc>
        <w:tc>
          <w:tcPr>
            <w:tcW w:w="4536" w:type="dxa"/>
          </w:tcPr>
          <w:p w14:paraId="463F20C7" w14:textId="77777777" w:rsidR="00343A6E" w:rsidRPr="00F27FF6" w:rsidRDefault="00343A6E" w:rsidP="00343A6E">
            <w:pPr>
              <w:pStyle w:val="Heading2"/>
              <w:spacing w:before="0"/>
              <w:ind w:left="65" w:hanging="115"/>
              <w:rPr>
                <w:rFonts w:ascii="Times New Roman" w:eastAsia="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Atitikimas reikalavimui</w:t>
            </w:r>
          </w:p>
        </w:tc>
      </w:tr>
      <w:tr w:rsidR="00343A6E" w:rsidRPr="00F27FF6" w14:paraId="317A5E0B" w14:textId="77777777" w:rsidTr="0086770A">
        <w:tc>
          <w:tcPr>
            <w:tcW w:w="738" w:type="dxa"/>
            <w:shd w:val="clear" w:color="auto" w:fill="auto"/>
          </w:tcPr>
          <w:p w14:paraId="709E0DC8" w14:textId="77777777" w:rsidR="00343A6E" w:rsidRPr="00F27FF6" w:rsidRDefault="00343A6E" w:rsidP="0086770A">
            <w:pPr>
              <w:pStyle w:val="Heading2"/>
              <w:keepNext w:val="0"/>
              <w:keepLines w:val="0"/>
              <w:widowControl w:val="0"/>
              <w:numPr>
                <w:ilvl w:val="1"/>
                <w:numId w:val="9"/>
              </w:numPr>
              <w:spacing w:before="0"/>
              <w:ind w:left="486"/>
              <w:rPr>
                <w:rFonts w:ascii="Times New Roman" w:eastAsia="Times New Roman" w:hAnsi="Times New Roman" w:cs="Times New Roman"/>
                <w:b w:val="0"/>
                <w:color w:val="000000"/>
                <w:sz w:val="22"/>
                <w:szCs w:val="22"/>
              </w:rPr>
            </w:pPr>
          </w:p>
        </w:tc>
        <w:tc>
          <w:tcPr>
            <w:tcW w:w="4536" w:type="dxa"/>
            <w:shd w:val="clear" w:color="auto" w:fill="auto"/>
          </w:tcPr>
          <w:p w14:paraId="7A839C47" w14:textId="77777777" w:rsidR="00343A6E" w:rsidRPr="00F27FF6" w:rsidRDefault="00343A6E" w:rsidP="007A29F8">
            <w:pPr>
              <w:pStyle w:val="Heading2"/>
              <w:spacing w:before="0"/>
              <w:ind w:left="0" w:firstLine="0"/>
              <w:rPr>
                <w:rFonts w:ascii="Times New Roman" w:eastAsia="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Sukurti integracinę sąsają tarp ligoninės informacinės sistemos ir analitinės platformos duomenų sandėlyje. Duomenų sandėlis (DWH) veikia MS SQL bazės pagrindu.</w:t>
            </w:r>
          </w:p>
        </w:tc>
        <w:tc>
          <w:tcPr>
            <w:tcW w:w="4536" w:type="dxa"/>
          </w:tcPr>
          <w:p w14:paraId="260F3BEB" w14:textId="77777777" w:rsidR="00343A6E" w:rsidRPr="00F27FF6" w:rsidRDefault="00343A6E" w:rsidP="00CE1215">
            <w:pPr>
              <w:pStyle w:val="Heading2"/>
              <w:spacing w:before="0"/>
              <w:ind w:left="88" w:firstLine="0"/>
              <w:rPr>
                <w:rFonts w:ascii="Times New Roman" w:eastAsia="Times New Roman" w:hAnsi="Times New Roman" w:cs="Times New Roman"/>
                <w:b w:val="0"/>
                <w:color w:val="000000"/>
                <w:sz w:val="22"/>
                <w:szCs w:val="22"/>
              </w:rPr>
            </w:pPr>
          </w:p>
        </w:tc>
      </w:tr>
      <w:tr w:rsidR="00343A6E" w:rsidRPr="00F27FF6" w14:paraId="645CC641" w14:textId="77777777" w:rsidTr="0086770A">
        <w:tc>
          <w:tcPr>
            <w:tcW w:w="738" w:type="dxa"/>
            <w:tcBorders>
              <w:bottom w:val="single" w:sz="4" w:space="0" w:color="000000"/>
            </w:tcBorders>
            <w:shd w:val="clear" w:color="auto" w:fill="auto"/>
          </w:tcPr>
          <w:p w14:paraId="3E76A443" w14:textId="77777777" w:rsidR="00343A6E" w:rsidRPr="00F27FF6" w:rsidRDefault="00343A6E" w:rsidP="0086770A">
            <w:pPr>
              <w:pStyle w:val="Heading2"/>
              <w:keepNext w:val="0"/>
              <w:keepLines w:val="0"/>
              <w:widowControl w:val="0"/>
              <w:numPr>
                <w:ilvl w:val="1"/>
                <w:numId w:val="9"/>
              </w:numPr>
              <w:spacing w:before="0"/>
              <w:ind w:left="486"/>
              <w:rPr>
                <w:rFonts w:ascii="Times New Roman" w:eastAsia="Times New Roman" w:hAnsi="Times New Roman" w:cs="Times New Roman"/>
                <w:b w:val="0"/>
                <w:color w:val="000000"/>
                <w:sz w:val="22"/>
                <w:szCs w:val="22"/>
              </w:rPr>
            </w:pPr>
          </w:p>
        </w:tc>
        <w:tc>
          <w:tcPr>
            <w:tcW w:w="4536" w:type="dxa"/>
            <w:tcBorders>
              <w:bottom w:val="single" w:sz="4" w:space="0" w:color="000000"/>
            </w:tcBorders>
            <w:shd w:val="clear" w:color="auto" w:fill="auto"/>
          </w:tcPr>
          <w:p w14:paraId="68887721" w14:textId="77777777" w:rsidR="0086770A" w:rsidRPr="00F27FF6" w:rsidRDefault="00343A6E" w:rsidP="0086770A">
            <w:pPr>
              <w:pStyle w:val="Heading2"/>
              <w:numPr>
                <w:ilvl w:val="1"/>
                <w:numId w:val="2"/>
              </w:numPr>
              <w:tabs>
                <w:tab w:val="left" w:pos="230"/>
                <w:tab w:val="left" w:pos="761"/>
              </w:tabs>
              <w:spacing w:before="0"/>
              <w:ind w:left="602"/>
              <w:rPr>
                <w:rFonts w:ascii="Times New Roman" w:eastAsia="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 xml:space="preserve">Sukurti duomenų struktūrą DWH analitinės platformos duomenų bazėje, kurioje būtų saugomi nuosekliai surinkti ir </w:t>
            </w:r>
            <w:r w:rsidR="001E7173" w:rsidRPr="00F27FF6">
              <w:rPr>
                <w:rFonts w:ascii="Times New Roman" w:eastAsia="Times New Roman" w:hAnsi="Times New Roman" w:cs="Times New Roman"/>
                <w:b w:val="0"/>
                <w:color w:val="auto"/>
                <w:sz w:val="22"/>
                <w:szCs w:val="22"/>
              </w:rPr>
              <w:t xml:space="preserve">išvalyti </w:t>
            </w:r>
            <w:r w:rsidR="001E7173" w:rsidRPr="00F27FF6">
              <w:rPr>
                <w:rFonts w:ascii="Times New Roman" w:hAnsi="Times New Roman" w:cs="Times New Roman"/>
                <w:b w:val="0"/>
                <w:color w:val="auto"/>
                <w:sz w:val="22"/>
                <w:szCs w:val="22"/>
              </w:rPr>
              <w:t xml:space="preserve">(angl. </w:t>
            </w:r>
            <w:r w:rsidR="001E7173" w:rsidRPr="00F27FF6">
              <w:rPr>
                <w:rFonts w:ascii="Times New Roman" w:hAnsi="Times New Roman" w:cs="Times New Roman"/>
                <w:b w:val="0"/>
                <w:i/>
                <w:color w:val="auto"/>
                <w:sz w:val="22"/>
                <w:szCs w:val="22"/>
              </w:rPr>
              <w:t>cleansing</w:t>
            </w:r>
            <w:r w:rsidR="001E7173" w:rsidRPr="00F27FF6">
              <w:rPr>
                <w:rFonts w:ascii="Times New Roman" w:hAnsi="Times New Roman" w:cs="Times New Roman"/>
                <w:b w:val="0"/>
                <w:color w:val="auto"/>
                <w:sz w:val="22"/>
                <w:szCs w:val="22"/>
              </w:rPr>
              <w:t>)</w:t>
            </w:r>
            <w:r w:rsidRPr="00F27FF6">
              <w:rPr>
                <w:rFonts w:ascii="Times New Roman" w:eastAsia="Times New Roman" w:hAnsi="Times New Roman" w:cs="Times New Roman"/>
                <w:b w:val="0"/>
                <w:color w:val="auto"/>
                <w:sz w:val="22"/>
                <w:szCs w:val="22"/>
              </w:rPr>
              <w:t xml:space="preserve"> visi duomenys rodiklių </w:t>
            </w:r>
            <w:r w:rsidR="0086770A" w:rsidRPr="00F27FF6">
              <w:rPr>
                <w:rFonts w:ascii="Times New Roman" w:eastAsia="Times New Roman" w:hAnsi="Times New Roman" w:cs="Times New Roman"/>
                <w:b w:val="0"/>
                <w:color w:val="000000"/>
                <w:sz w:val="22"/>
                <w:szCs w:val="22"/>
              </w:rPr>
              <w:t xml:space="preserve">skaičiavimui; </w:t>
            </w:r>
          </w:p>
          <w:p w14:paraId="564F1031" w14:textId="77777777" w:rsidR="0086770A" w:rsidRPr="00F27FF6" w:rsidRDefault="00343A6E" w:rsidP="0086770A">
            <w:pPr>
              <w:pStyle w:val="Heading2"/>
              <w:numPr>
                <w:ilvl w:val="1"/>
                <w:numId w:val="2"/>
              </w:numPr>
              <w:tabs>
                <w:tab w:val="left" w:pos="230"/>
                <w:tab w:val="left" w:pos="761"/>
              </w:tabs>
              <w:spacing w:before="0"/>
              <w:ind w:left="602"/>
              <w:rPr>
                <w:rFonts w:ascii="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Sujungtus duomenis turi būti patogu vienos užklausos principu atiduoti išoriniam duomenų gavėjui.</w:t>
            </w:r>
          </w:p>
          <w:p w14:paraId="322D1486" w14:textId="77777777" w:rsidR="0086770A" w:rsidRPr="00F27FF6" w:rsidRDefault="001E7173" w:rsidP="0086770A">
            <w:pPr>
              <w:pStyle w:val="Heading2"/>
              <w:numPr>
                <w:ilvl w:val="1"/>
                <w:numId w:val="2"/>
              </w:numPr>
              <w:tabs>
                <w:tab w:val="left" w:pos="230"/>
                <w:tab w:val="left" w:pos="761"/>
              </w:tabs>
              <w:spacing w:before="0"/>
              <w:ind w:left="602"/>
              <w:rPr>
                <w:rFonts w:ascii="Times New Roman" w:hAnsi="Times New Roman" w:cs="Times New Roman"/>
                <w:b w:val="0"/>
                <w:color w:val="000000"/>
                <w:sz w:val="22"/>
                <w:szCs w:val="22"/>
              </w:rPr>
            </w:pPr>
            <w:r w:rsidRPr="00F27FF6">
              <w:rPr>
                <w:rFonts w:ascii="Times New Roman" w:hAnsi="Times New Roman" w:cs="Times New Roman"/>
                <w:b w:val="0"/>
                <w:color w:val="000000"/>
                <w:sz w:val="22"/>
                <w:szCs w:val="22"/>
              </w:rPr>
              <w:t>Diegėjas turi sukonfigūruoti duomenų saugyklą</w:t>
            </w:r>
            <w:r w:rsidR="0086770A" w:rsidRPr="00F27FF6">
              <w:rPr>
                <w:rFonts w:ascii="Times New Roman" w:hAnsi="Times New Roman" w:cs="Times New Roman"/>
                <w:b w:val="0"/>
                <w:color w:val="000000"/>
                <w:sz w:val="22"/>
                <w:szCs w:val="22"/>
              </w:rPr>
              <w:t>;</w:t>
            </w:r>
          </w:p>
          <w:p w14:paraId="067921AA" w14:textId="77777777" w:rsidR="0086770A" w:rsidRPr="00F27FF6" w:rsidRDefault="001E7173" w:rsidP="0086770A">
            <w:pPr>
              <w:pStyle w:val="Heading2"/>
              <w:numPr>
                <w:ilvl w:val="1"/>
                <w:numId w:val="2"/>
              </w:numPr>
              <w:tabs>
                <w:tab w:val="left" w:pos="230"/>
                <w:tab w:val="left" w:pos="761"/>
              </w:tabs>
              <w:spacing w:before="0"/>
              <w:ind w:left="602"/>
              <w:rPr>
                <w:rFonts w:ascii="Times New Roman" w:hAnsi="Times New Roman" w:cs="Times New Roman"/>
                <w:b w:val="0"/>
                <w:color w:val="000000"/>
                <w:sz w:val="22"/>
                <w:szCs w:val="22"/>
              </w:rPr>
            </w:pPr>
            <w:r w:rsidRPr="00F27FF6">
              <w:rPr>
                <w:rFonts w:ascii="Times New Roman" w:hAnsi="Times New Roman" w:cs="Times New Roman"/>
                <w:b w:val="0"/>
                <w:color w:val="000000"/>
                <w:sz w:val="22"/>
                <w:szCs w:val="22"/>
              </w:rPr>
              <w:t>Diegėjas turi sukonfigūruoti prieigos teises naudotojams</w:t>
            </w:r>
            <w:r w:rsidR="0086770A" w:rsidRPr="00F27FF6">
              <w:rPr>
                <w:rFonts w:ascii="Times New Roman" w:hAnsi="Times New Roman" w:cs="Times New Roman"/>
                <w:b w:val="0"/>
                <w:color w:val="000000"/>
                <w:sz w:val="22"/>
                <w:szCs w:val="22"/>
              </w:rPr>
              <w:t>;</w:t>
            </w:r>
          </w:p>
          <w:p w14:paraId="700D2715" w14:textId="77777777" w:rsidR="0086770A" w:rsidRPr="00F27FF6" w:rsidRDefault="001E7173" w:rsidP="0086770A">
            <w:pPr>
              <w:pStyle w:val="Heading2"/>
              <w:numPr>
                <w:ilvl w:val="1"/>
                <w:numId w:val="2"/>
              </w:numPr>
              <w:tabs>
                <w:tab w:val="left" w:pos="230"/>
                <w:tab w:val="left" w:pos="761"/>
              </w:tabs>
              <w:spacing w:before="0"/>
              <w:ind w:left="602"/>
              <w:rPr>
                <w:rFonts w:ascii="Times New Roman" w:hAnsi="Times New Roman" w:cs="Times New Roman"/>
                <w:b w:val="0"/>
                <w:color w:val="auto"/>
                <w:sz w:val="22"/>
                <w:szCs w:val="22"/>
              </w:rPr>
            </w:pPr>
            <w:r w:rsidRPr="00F27FF6">
              <w:rPr>
                <w:rFonts w:ascii="Times New Roman" w:hAnsi="Times New Roman" w:cs="Times New Roman"/>
                <w:b w:val="0"/>
                <w:color w:val="auto"/>
                <w:sz w:val="22"/>
                <w:szCs w:val="22"/>
              </w:rPr>
              <w:t>Diegėjas turi sukurti ir sukonfigūruoti atskirą sritį duomenų saugykloje me</w:t>
            </w:r>
            <w:r w:rsidR="0086770A" w:rsidRPr="00F27FF6">
              <w:rPr>
                <w:rFonts w:ascii="Times New Roman" w:hAnsi="Times New Roman" w:cs="Times New Roman"/>
                <w:b w:val="0"/>
                <w:color w:val="auto"/>
                <w:sz w:val="22"/>
                <w:szCs w:val="22"/>
              </w:rPr>
              <w:t>taduomenims saugoti ir tvarkyti;</w:t>
            </w:r>
          </w:p>
          <w:p w14:paraId="43A156E7" w14:textId="77777777" w:rsidR="001E7173" w:rsidRPr="00F27FF6" w:rsidRDefault="001E7173" w:rsidP="0086770A">
            <w:pPr>
              <w:pStyle w:val="Heading2"/>
              <w:numPr>
                <w:ilvl w:val="1"/>
                <w:numId w:val="2"/>
              </w:numPr>
              <w:tabs>
                <w:tab w:val="left" w:pos="230"/>
                <w:tab w:val="left" w:pos="761"/>
              </w:tabs>
              <w:spacing w:before="0"/>
              <w:ind w:left="602"/>
              <w:rPr>
                <w:rFonts w:ascii="Times New Roman" w:hAnsi="Times New Roman" w:cs="Times New Roman"/>
                <w:sz w:val="22"/>
                <w:szCs w:val="22"/>
              </w:rPr>
            </w:pPr>
            <w:r w:rsidRPr="00F27FF6">
              <w:rPr>
                <w:rFonts w:ascii="Times New Roman" w:hAnsi="Times New Roman" w:cs="Times New Roman"/>
                <w:b w:val="0"/>
                <w:color w:val="auto"/>
                <w:sz w:val="22"/>
                <w:szCs w:val="22"/>
              </w:rPr>
              <w:t>Diegėjas turi įgyvendinti sprendimus, kurie automatiškai sugeneruotų techninius metaduomenis visiems duomenų srautams ir duomenų vitrinoms ir techninių metaduomenų lenteles</w:t>
            </w:r>
            <w:r w:rsidR="0086770A" w:rsidRPr="00F27FF6">
              <w:rPr>
                <w:rFonts w:ascii="Times New Roman" w:hAnsi="Times New Roman" w:cs="Times New Roman"/>
                <w:b w:val="0"/>
                <w:color w:val="auto"/>
                <w:sz w:val="22"/>
                <w:szCs w:val="22"/>
              </w:rPr>
              <w:t>.</w:t>
            </w:r>
          </w:p>
        </w:tc>
        <w:tc>
          <w:tcPr>
            <w:tcW w:w="4536" w:type="dxa"/>
            <w:tcBorders>
              <w:bottom w:val="single" w:sz="4" w:space="0" w:color="000000"/>
            </w:tcBorders>
          </w:tcPr>
          <w:p w14:paraId="1F8FA294" w14:textId="77777777" w:rsidR="00343A6E" w:rsidRPr="00F27FF6" w:rsidRDefault="00343A6E"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p>
        </w:tc>
      </w:tr>
      <w:tr w:rsidR="00343A6E" w:rsidRPr="00F27FF6" w14:paraId="047AC990" w14:textId="77777777" w:rsidTr="0086770A">
        <w:tc>
          <w:tcPr>
            <w:tcW w:w="738" w:type="dxa"/>
            <w:tcBorders>
              <w:bottom w:val="single" w:sz="4" w:space="0" w:color="000000"/>
            </w:tcBorders>
            <w:shd w:val="clear" w:color="auto" w:fill="auto"/>
          </w:tcPr>
          <w:p w14:paraId="562E982F" w14:textId="77777777" w:rsidR="00343A6E" w:rsidRPr="00F27FF6" w:rsidRDefault="00343A6E" w:rsidP="0086770A">
            <w:pPr>
              <w:pStyle w:val="Heading2"/>
              <w:keepNext w:val="0"/>
              <w:keepLines w:val="0"/>
              <w:widowControl w:val="0"/>
              <w:numPr>
                <w:ilvl w:val="1"/>
                <w:numId w:val="9"/>
              </w:numPr>
              <w:spacing w:before="0"/>
              <w:ind w:left="486"/>
              <w:rPr>
                <w:rFonts w:ascii="Times New Roman" w:eastAsia="Times New Roman" w:hAnsi="Times New Roman" w:cs="Times New Roman"/>
                <w:b w:val="0"/>
                <w:color w:val="000000"/>
                <w:sz w:val="22"/>
                <w:szCs w:val="22"/>
              </w:rPr>
            </w:pPr>
          </w:p>
        </w:tc>
        <w:tc>
          <w:tcPr>
            <w:tcW w:w="4536" w:type="dxa"/>
            <w:tcBorders>
              <w:bottom w:val="single" w:sz="4" w:space="0" w:color="000000"/>
            </w:tcBorders>
            <w:shd w:val="clear" w:color="auto" w:fill="auto"/>
          </w:tcPr>
          <w:p w14:paraId="5491247B" w14:textId="77777777" w:rsidR="00343A6E" w:rsidRPr="00F27FF6" w:rsidRDefault="00343A6E"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 xml:space="preserve">Duomenis DWH turi būti atnaujinami automatiškai, nustatytu reguliarumu. </w:t>
            </w:r>
          </w:p>
        </w:tc>
        <w:tc>
          <w:tcPr>
            <w:tcW w:w="4536" w:type="dxa"/>
            <w:tcBorders>
              <w:bottom w:val="single" w:sz="4" w:space="0" w:color="000000"/>
            </w:tcBorders>
          </w:tcPr>
          <w:p w14:paraId="5F31619E" w14:textId="77777777" w:rsidR="00343A6E" w:rsidRPr="00F27FF6" w:rsidRDefault="00343A6E"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p>
        </w:tc>
      </w:tr>
      <w:tr w:rsidR="001E7173" w:rsidRPr="00F27FF6" w14:paraId="65E91437" w14:textId="77777777" w:rsidTr="0086770A">
        <w:tc>
          <w:tcPr>
            <w:tcW w:w="738" w:type="dxa"/>
            <w:tcBorders>
              <w:bottom w:val="single" w:sz="4" w:space="0" w:color="000000"/>
            </w:tcBorders>
            <w:shd w:val="clear" w:color="auto" w:fill="auto"/>
          </w:tcPr>
          <w:p w14:paraId="759340A6" w14:textId="77777777" w:rsidR="001E7173" w:rsidRPr="00F27FF6" w:rsidRDefault="001E7173" w:rsidP="0086770A">
            <w:pPr>
              <w:pStyle w:val="Heading2"/>
              <w:keepNext w:val="0"/>
              <w:keepLines w:val="0"/>
              <w:widowControl w:val="0"/>
              <w:numPr>
                <w:ilvl w:val="1"/>
                <w:numId w:val="9"/>
              </w:numPr>
              <w:spacing w:before="0"/>
              <w:ind w:left="486"/>
              <w:rPr>
                <w:rFonts w:ascii="Times New Roman" w:eastAsia="Times New Roman" w:hAnsi="Times New Roman" w:cs="Times New Roman"/>
                <w:b w:val="0"/>
                <w:color w:val="000000"/>
                <w:sz w:val="22"/>
                <w:szCs w:val="22"/>
              </w:rPr>
            </w:pPr>
          </w:p>
        </w:tc>
        <w:tc>
          <w:tcPr>
            <w:tcW w:w="4536" w:type="dxa"/>
            <w:tcBorders>
              <w:bottom w:val="single" w:sz="4" w:space="0" w:color="000000"/>
            </w:tcBorders>
            <w:shd w:val="clear" w:color="auto" w:fill="auto"/>
          </w:tcPr>
          <w:p w14:paraId="2D240802" w14:textId="77777777" w:rsidR="0086770A" w:rsidRPr="00F27FF6" w:rsidRDefault="007A29F8" w:rsidP="0086770A">
            <w:pPr>
              <w:pStyle w:val="ListParagraph"/>
              <w:numPr>
                <w:ilvl w:val="1"/>
                <w:numId w:val="3"/>
              </w:numPr>
              <w:pBdr>
                <w:top w:val="nil"/>
                <w:left w:val="nil"/>
                <w:bottom w:val="nil"/>
                <w:right w:val="nil"/>
                <w:between w:val="nil"/>
              </w:pBdr>
              <w:ind w:left="602"/>
              <w:rPr>
                <w:rFonts w:ascii="Times New Roman" w:hAnsi="Times New Roman" w:cs="Times New Roman"/>
                <w:color w:val="000000"/>
                <w:lang w:val="lt-LT"/>
              </w:rPr>
            </w:pPr>
            <w:r w:rsidRPr="00F27FF6">
              <w:rPr>
                <w:rFonts w:ascii="Times New Roman" w:hAnsi="Times New Roman" w:cs="Times New Roman"/>
                <w:color w:val="000000"/>
                <w:lang w:val="lt-LT"/>
              </w:rPr>
              <w:t xml:space="preserve">Turi būti sukonfigūruota galimybė stebėti ir kontroliuoti automatinių ETL užduočių vykdymo būseną ir progresą. </w:t>
            </w:r>
          </w:p>
          <w:p w14:paraId="5A53F730" w14:textId="77777777" w:rsidR="007A29F8" w:rsidRPr="00F27FF6" w:rsidRDefault="007A29F8" w:rsidP="0086770A">
            <w:pPr>
              <w:pStyle w:val="ListParagraph"/>
              <w:numPr>
                <w:ilvl w:val="1"/>
                <w:numId w:val="3"/>
              </w:numPr>
              <w:pBdr>
                <w:top w:val="nil"/>
                <w:left w:val="nil"/>
                <w:bottom w:val="nil"/>
                <w:right w:val="nil"/>
                <w:between w:val="nil"/>
              </w:pBdr>
              <w:ind w:left="602"/>
              <w:rPr>
                <w:rFonts w:ascii="Times New Roman" w:hAnsi="Times New Roman" w:cs="Times New Roman"/>
                <w:color w:val="000000"/>
                <w:lang w:val="lt-LT"/>
              </w:rPr>
            </w:pPr>
            <w:r w:rsidRPr="00F27FF6">
              <w:rPr>
                <w:rFonts w:ascii="Times New Roman" w:hAnsi="Times New Roman" w:cs="Times New Roman"/>
                <w:color w:val="000000"/>
                <w:lang w:val="lt-LT"/>
              </w:rPr>
              <w:t>Turi būti sukurta atskira lentelė, kurioje būtų saugoma istorinė informacija apie iškviestus ETL procesus. Lentelėje turi būti saugoma operacinė informacija:</w:t>
            </w:r>
          </w:p>
          <w:p w14:paraId="623ECAB2" w14:textId="77777777" w:rsidR="007A29F8" w:rsidRPr="00F27FF6" w:rsidRDefault="007A29F8" w:rsidP="0086770A">
            <w:pPr>
              <w:numPr>
                <w:ilvl w:val="1"/>
                <w:numId w:val="10"/>
              </w:numPr>
              <w:pBdr>
                <w:top w:val="nil"/>
                <w:left w:val="nil"/>
                <w:bottom w:val="nil"/>
                <w:right w:val="nil"/>
                <w:between w:val="nil"/>
              </w:pBdr>
              <w:jc w:val="both"/>
              <w:rPr>
                <w:color w:val="000000"/>
                <w:sz w:val="22"/>
                <w:szCs w:val="22"/>
              </w:rPr>
            </w:pPr>
            <w:r w:rsidRPr="00F27FF6">
              <w:rPr>
                <w:color w:val="000000"/>
                <w:sz w:val="22"/>
                <w:szCs w:val="22"/>
              </w:rPr>
              <w:t>ETL proceso/paketo pavadinimas;</w:t>
            </w:r>
          </w:p>
          <w:p w14:paraId="1DF2FBD6" w14:textId="77777777" w:rsidR="007A29F8" w:rsidRPr="00F27FF6" w:rsidRDefault="007A29F8" w:rsidP="0086770A">
            <w:pPr>
              <w:numPr>
                <w:ilvl w:val="1"/>
                <w:numId w:val="10"/>
              </w:numPr>
              <w:pBdr>
                <w:top w:val="nil"/>
                <w:left w:val="nil"/>
                <w:bottom w:val="nil"/>
                <w:right w:val="nil"/>
                <w:between w:val="nil"/>
              </w:pBdr>
              <w:jc w:val="both"/>
              <w:rPr>
                <w:color w:val="000000"/>
                <w:sz w:val="22"/>
                <w:szCs w:val="22"/>
              </w:rPr>
            </w:pPr>
            <w:r w:rsidRPr="00F27FF6">
              <w:rPr>
                <w:color w:val="000000"/>
                <w:sz w:val="22"/>
                <w:szCs w:val="22"/>
              </w:rPr>
              <w:t>ETL proceso/paketo starto laikas;</w:t>
            </w:r>
          </w:p>
          <w:p w14:paraId="0DB40D2C" w14:textId="77777777" w:rsidR="0086770A" w:rsidRPr="00F27FF6" w:rsidRDefault="007A29F8" w:rsidP="0086770A">
            <w:pPr>
              <w:numPr>
                <w:ilvl w:val="1"/>
                <w:numId w:val="10"/>
              </w:numPr>
              <w:pBdr>
                <w:top w:val="nil"/>
                <w:left w:val="nil"/>
                <w:bottom w:val="nil"/>
                <w:right w:val="nil"/>
                <w:between w:val="nil"/>
              </w:pBdr>
              <w:jc w:val="both"/>
              <w:rPr>
                <w:b/>
                <w:color w:val="000000"/>
                <w:sz w:val="22"/>
                <w:szCs w:val="22"/>
              </w:rPr>
            </w:pPr>
            <w:r w:rsidRPr="00F27FF6">
              <w:rPr>
                <w:color w:val="000000"/>
                <w:sz w:val="22"/>
                <w:szCs w:val="22"/>
              </w:rPr>
              <w:t>ETL proceso/paketo pabaigos laikas;</w:t>
            </w:r>
          </w:p>
          <w:p w14:paraId="4F6A0EF3" w14:textId="77777777" w:rsidR="001E7173" w:rsidRPr="00F27FF6" w:rsidRDefault="007A29F8" w:rsidP="0086770A">
            <w:pPr>
              <w:numPr>
                <w:ilvl w:val="1"/>
                <w:numId w:val="10"/>
              </w:numPr>
              <w:pBdr>
                <w:top w:val="nil"/>
                <w:left w:val="nil"/>
                <w:bottom w:val="nil"/>
                <w:right w:val="nil"/>
                <w:between w:val="nil"/>
              </w:pBdr>
              <w:jc w:val="both"/>
              <w:rPr>
                <w:b/>
                <w:color w:val="000000"/>
                <w:sz w:val="22"/>
                <w:szCs w:val="22"/>
              </w:rPr>
            </w:pPr>
            <w:r w:rsidRPr="00F27FF6">
              <w:rPr>
                <w:color w:val="000000"/>
                <w:sz w:val="22"/>
                <w:szCs w:val="22"/>
              </w:rPr>
              <w:t>Sėkmingas/nesėkmingas ETL proceso/paketo vykdymas (pvz. vėliavėlės principu).</w:t>
            </w:r>
          </w:p>
        </w:tc>
        <w:tc>
          <w:tcPr>
            <w:tcW w:w="4536" w:type="dxa"/>
            <w:tcBorders>
              <w:bottom w:val="single" w:sz="4" w:space="0" w:color="000000"/>
            </w:tcBorders>
          </w:tcPr>
          <w:p w14:paraId="32CC626F" w14:textId="77777777" w:rsidR="001E7173" w:rsidRPr="00F27FF6" w:rsidRDefault="001E7173"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p>
        </w:tc>
      </w:tr>
      <w:tr w:rsidR="007A29F8" w:rsidRPr="00F27FF6" w14:paraId="42958652" w14:textId="77777777" w:rsidTr="0086770A">
        <w:tc>
          <w:tcPr>
            <w:tcW w:w="738" w:type="dxa"/>
            <w:tcBorders>
              <w:bottom w:val="single" w:sz="4" w:space="0" w:color="000000"/>
            </w:tcBorders>
            <w:shd w:val="clear" w:color="auto" w:fill="auto"/>
          </w:tcPr>
          <w:p w14:paraId="39B95E4B" w14:textId="77777777" w:rsidR="007A29F8" w:rsidRPr="00F27FF6" w:rsidRDefault="007A29F8" w:rsidP="0086770A">
            <w:pPr>
              <w:pStyle w:val="Heading2"/>
              <w:keepNext w:val="0"/>
              <w:keepLines w:val="0"/>
              <w:widowControl w:val="0"/>
              <w:numPr>
                <w:ilvl w:val="1"/>
                <w:numId w:val="9"/>
              </w:numPr>
              <w:spacing w:before="0"/>
              <w:ind w:left="486"/>
              <w:rPr>
                <w:rFonts w:ascii="Times New Roman" w:eastAsia="Times New Roman" w:hAnsi="Times New Roman" w:cs="Times New Roman"/>
                <w:b w:val="0"/>
                <w:color w:val="000000"/>
                <w:sz w:val="22"/>
                <w:szCs w:val="22"/>
              </w:rPr>
            </w:pPr>
          </w:p>
        </w:tc>
        <w:tc>
          <w:tcPr>
            <w:tcW w:w="4536" w:type="dxa"/>
            <w:tcBorders>
              <w:bottom w:val="single" w:sz="4" w:space="0" w:color="000000"/>
            </w:tcBorders>
            <w:shd w:val="clear" w:color="auto" w:fill="auto"/>
          </w:tcPr>
          <w:p w14:paraId="176334B2" w14:textId="77777777" w:rsidR="0086770A" w:rsidRPr="00F27FF6" w:rsidRDefault="007A29F8" w:rsidP="0086770A">
            <w:pPr>
              <w:pStyle w:val="ListParagraph"/>
              <w:numPr>
                <w:ilvl w:val="1"/>
                <w:numId w:val="4"/>
              </w:numPr>
              <w:pBdr>
                <w:top w:val="nil"/>
                <w:left w:val="nil"/>
                <w:bottom w:val="nil"/>
                <w:right w:val="nil"/>
                <w:between w:val="nil"/>
              </w:pBdr>
              <w:ind w:left="602"/>
              <w:rPr>
                <w:rFonts w:ascii="Times New Roman" w:hAnsi="Times New Roman" w:cs="Times New Roman"/>
                <w:color w:val="000000"/>
                <w:lang w:val="lt-LT"/>
              </w:rPr>
            </w:pPr>
            <w:r w:rsidRPr="00F27FF6">
              <w:rPr>
                <w:rFonts w:ascii="Times New Roman" w:hAnsi="Times New Roman" w:cs="Times New Roman"/>
                <w:color w:val="000000"/>
                <w:lang w:val="lt-LT"/>
              </w:rPr>
              <w:t xml:space="preserve">Sukurti ETL procesai turi žurnalizuoti vykdymo klaidas, kai automatinis apdorojimas pagal ETL taisykles yra nesėkmingas. </w:t>
            </w:r>
          </w:p>
          <w:p w14:paraId="53E95526" w14:textId="77777777" w:rsidR="007A29F8" w:rsidRPr="00F27FF6" w:rsidRDefault="007A29F8" w:rsidP="0086770A">
            <w:pPr>
              <w:pStyle w:val="ListParagraph"/>
              <w:numPr>
                <w:ilvl w:val="1"/>
                <w:numId w:val="4"/>
              </w:numPr>
              <w:pBdr>
                <w:top w:val="nil"/>
                <w:left w:val="nil"/>
                <w:bottom w:val="nil"/>
                <w:right w:val="nil"/>
                <w:between w:val="nil"/>
              </w:pBdr>
              <w:ind w:left="602"/>
              <w:rPr>
                <w:color w:val="000000"/>
                <w:lang w:val="lt-LT"/>
              </w:rPr>
            </w:pPr>
            <w:r w:rsidRPr="00F27FF6">
              <w:rPr>
                <w:rFonts w:ascii="Times New Roman" w:hAnsi="Times New Roman" w:cs="Times New Roman"/>
                <w:color w:val="000000"/>
                <w:lang w:val="lt-LT"/>
              </w:rPr>
              <w:t>Klaidų įrašai turi būti pažymėti ir lengvai randami specialistui, prižiūrinčiam ETL procesus.</w:t>
            </w:r>
          </w:p>
        </w:tc>
        <w:tc>
          <w:tcPr>
            <w:tcW w:w="4536" w:type="dxa"/>
            <w:tcBorders>
              <w:bottom w:val="single" w:sz="4" w:space="0" w:color="000000"/>
            </w:tcBorders>
          </w:tcPr>
          <w:p w14:paraId="39746D65" w14:textId="77777777" w:rsidR="007A29F8" w:rsidRPr="00F27FF6" w:rsidRDefault="007A29F8"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p>
        </w:tc>
      </w:tr>
      <w:tr w:rsidR="007A29F8" w:rsidRPr="00F27FF6" w14:paraId="1F181291" w14:textId="77777777" w:rsidTr="0086770A">
        <w:tc>
          <w:tcPr>
            <w:tcW w:w="738" w:type="dxa"/>
            <w:tcBorders>
              <w:bottom w:val="single" w:sz="4" w:space="0" w:color="000000"/>
            </w:tcBorders>
            <w:shd w:val="clear" w:color="auto" w:fill="auto"/>
          </w:tcPr>
          <w:p w14:paraId="7D4ECE54" w14:textId="77777777" w:rsidR="007A29F8" w:rsidRPr="00F27FF6" w:rsidRDefault="007A29F8" w:rsidP="0086770A">
            <w:pPr>
              <w:pStyle w:val="Heading2"/>
              <w:keepNext w:val="0"/>
              <w:keepLines w:val="0"/>
              <w:widowControl w:val="0"/>
              <w:numPr>
                <w:ilvl w:val="1"/>
                <w:numId w:val="9"/>
              </w:numPr>
              <w:spacing w:before="0"/>
              <w:ind w:left="486"/>
              <w:rPr>
                <w:rFonts w:ascii="Times New Roman" w:eastAsia="Times New Roman" w:hAnsi="Times New Roman" w:cs="Times New Roman"/>
                <w:b w:val="0"/>
                <w:color w:val="000000"/>
                <w:sz w:val="22"/>
                <w:szCs w:val="22"/>
              </w:rPr>
            </w:pPr>
          </w:p>
        </w:tc>
        <w:tc>
          <w:tcPr>
            <w:tcW w:w="4536" w:type="dxa"/>
            <w:tcBorders>
              <w:bottom w:val="single" w:sz="4" w:space="0" w:color="000000"/>
            </w:tcBorders>
            <w:shd w:val="clear" w:color="auto" w:fill="auto"/>
          </w:tcPr>
          <w:p w14:paraId="534E64DA" w14:textId="77777777" w:rsidR="007A29F8" w:rsidRPr="00F27FF6" w:rsidRDefault="007A29F8" w:rsidP="007A29F8">
            <w:pPr>
              <w:pBdr>
                <w:top w:val="nil"/>
                <w:left w:val="nil"/>
                <w:bottom w:val="nil"/>
                <w:right w:val="nil"/>
                <w:between w:val="nil"/>
              </w:pBdr>
              <w:rPr>
                <w:color w:val="000000"/>
                <w:sz w:val="22"/>
                <w:szCs w:val="22"/>
              </w:rPr>
            </w:pPr>
            <w:r w:rsidRPr="00F27FF6">
              <w:rPr>
                <w:color w:val="000000"/>
                <w:sz w:val="22"/>
                <w:szCs w:val="22"/>
              </w:rPr>
              <w:t>Pakartotinai ETL procesais importuojami duomenys, turi ne dubliuoti įrašus, bet atnaujinti, pakeisti ar papildyti duomenis (duomenų vitrinas), pagal nustatytas taisykles.</w:t>
            </w:r>
          </w:p>
        </w:tc>
        <w:tc>
          <w:tcPr>
            <w:tcW w:w="4536" w:type="dxa"/>
            <w:tcBorders>
              <w:bottom w:val="single" w:sz="4" w:space="0" w:color="000000"/>
            </w:tcBorders>
          </w:tcPr>
          <w:p w14:paraId="017FCE40" w14:textId="77777777" w:rsidR="007A29F8" w:rsidRPr="00F27FF6" w:rsidRDefault="007A29F8"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p>
        </w:tc>
      </w:tr>
      <w:tr w:rsidR="00343A6E" w:rsidRPr="00F27FF6" w14:paraId="550CBFF4" w14:textId="77777777" w:rsidTr="0086770A">
        <w:trPr>
          <w:trHeight w:val="1423"/>
        </w:trPr>
        <w:tc>
          <w:tcPr>
            <w:tcW w:w="738" w:type="dxa"/>
            <w:tcBorders>
              <w:bottom w:val="single" w:sz="4" w:space="0" w:color="000000"/>
            </w:tcBorders>
            <w:shd w:val="clear" w:color="auto" w:fill="auto"/>
          </w:tcPr>
          <w:p w14:paraId="798D09AF" w14:textId="77777777" w:rsidR="00343A6E" w:rsidRPr="00F27FF6" w:rsidRDefault="00343A6E" w:rsidP="0086770A">
            <w:pPr>
              <w:pStyle w:val="Heading2"/>
              <w:keepNext w:val="0"/>
              <w:keepLines w:val="0"/>
              <w:widowControl w:val="0"/>
              <w:numPr>
                <w:ilvl w:val="1"/>
                <w:numId w:val="9"/>
              </w:numPr>
              <w:spacing w:before="0"/>
              <w:ind w:left="486"/>
              <w:rPr>
                <w:rFonts w:ascii="Times New Roman" w:eastAsia="Times New Roman" w:hAnsi="Times New Roman" w:cs="Times New Roman"/>
                <w:b w:val="0"/>
                <w:color w:val="000000"/>
                <w:sz w:val="22"/>
                <w:szCs w:val="22"/>
              </w:rPr>
            </w:pPr>
          </w:p>
        </w:tc>
        <w:tc>
          <w:tcPr>
            <w:tcW w:w="4536" w:type="dxa"/>
            <w:tcBorders>
              <w:bottom w:val="single" w:sz="4" w:space="0" w:color="000000"/>
            </w:tcBorders>
            <w:shd w:val="clear" w:color="auto" w:fill="auto"/>
          </w:tcPr>
          <w:p w14:paraId="32B96F15" w14:textId="77777777" w:rsidR="0086770A" w:rsidRPr="00F27FF6" w:rsidRDefault="00343A6E" w:rsidP="0086770A">
            <w:pPr>
              <w:pStyle w:val="Heading2"/>
              <w:numPr>
                <w:ilvl w:val="1"/>
                <w:numId w:val="5"/>
              </w:numPr>
              <w:tabs>
                <w:tab w:val="left" w:pos="230"/>
                <w:tab w:val="left" w:pos="761"/>
              </w:tabs>
              <w:spacing w:before="0"/>
              <w:ind w:left="602"/>
              <w:rPr>
                <w:rFonts w:ascii="Times New Roman" w:eastAsia="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Turi būti sukurtas įrankis, duomenų rinkinių papildymui DWH duomenų bazėje rankiniu būdu.</w:t>
            </w:r>
          </w:p>
          <w:p w14:paraId="0EE73519" w14:textId="77777777" w:rsidR="00343A6E" w:rsidRPr="00F27FF6" w:rsidRDefault="00343A6E" w:rsidP="0086770A">
            <w:pPr>
              <w:pStyle w:val="Heading2"/>
              <w:numPr>
                <w:ilvl w:val="1"/>
                <w:numId w:val="5"/>
              </w:numPr>
              <w:tabs>
                <w:tab w:val="left" w:pos="230"/>
                <w:tab w:val="left" w:pos="761"/>
              </w:tabs>
              <w:spacing w:before="0"/>
              <w:ind w:left="602"/>
              <w:rPr>
                <w:rFonts w:ascii="Times New Roman" w:eastAsia="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Įrankis turi leisti papildyti ar redaguoti bet kurį trūkstamą dėmenį. Turi būti išsaugota duomenų redagavimo ar keitimo istorija.</w:t>
            </w:r>
          </w:p>
        </w:tc>
        <w:tc>
          <w:tcPr>
            <w:tcW w:w="4536" w:type="dxa"/>
            <w:tcBorders>
              <w:bottom w:val="single" w:sz="4" w:space="0" w:color="000000"/>
            </w:tcBorders>
          </w:tcPr>
          <w:p w14:paraId="56ECC9F6" w14:textId="77777777" w:rsidR="00343A6E" w:rsidRPr="00F27FF6" w:rsidRDefault="00343A6E"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p>
        </w:tc>
      </w:tr>
      <w:tr w:rsidR="00343A6E" w:rsidRPr="00F27FF6" w14:paraId="13FD596C" w14:textId="77777777" w:rsidTr="0086770A">
        <w:tc>
          <w:tcPr>
            <w:tcW w:w="738" w:type="dxa"/>
            <w:tcBorders>
              <w:bottom w:val="single" w:sz="4" w:space="0" w:color="000000"/>
            </w:tcBorders>
            <w:shd w:val="clear" w:color="auto" w:fill="auto"/>
          </w:tcPr>
          <w:p w14:paraId="652CC875" w14:textId="77777777" w:rsidR="00343A6E" w:rsidRPr="00F27FF6" w:rsidRDefault="00343A6E" w:rsidP="0086770A">
            <w:pPr>
              <w:pStyle w:val="Heading2"/>
              <w:keepNext w:val="0"/>
              <w:keepLines w:val="0"/>
              <w:widowControl w:val="0"/>
              <w:numPr>
                <w:ilvl w:val="1"/>
                <w:numId w:val="9"/>
              </w:numPr>
              <w:spacing w:before="0"/>
              <w:ind w:left="486"/>
              <w:rPr>
                <w:rFonts w:ascii="Times New Roman" w:eastAsia="Times New Roman" w:hAnsi="Times New Roman" w:cs="Times New Roman"/>
                <w:b w:val="0"/>
                <w:color w:val="000000"/>
                <w:sz w:val="22"/>
                <w:szCs w:val="22"/>
              </w:rPr>
            </w:pPr>
          </w:p>
        </w:tc>
        <w:tc>
          <w:tcPr>
            <w:tcW w:w="4536" w:type="dxa"/>
            <w:tcBorders>
              <w:bottom w:val="single" w:sz="4" w:space="0" w:color="000000"/>
            </w:tcBorders>
            <w:shd w:val="clear" w:color="auto" w:fill="auto"/>
          </w:tcPr>
          <w:p w14:paraId="02132206" w14:textId="77777777" w:rsidR="00343A6E" w:rsidRPr="00F27FF6" w:rsidRDefault="00343A6E"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r w:rsidRPr="00F27FF6">
              <w:rPr>
                <w:rFonts w:ascii="Times New Roman" w:eastAsia="Times New Roman" w:hAnsi="Times New Roman" w:cs="Times New Roman"/>
                <w:b w:val="0"/>
                <w:color w:val="000000"/>
                <w:sz w:val="22"/>
                <w:szCs w:val="22"/>
              </w:rPr>
              <w:t>DWH sukaupti duomenys turės būti panaudoti skaičiuojant iki 30 kokybės rodiklių. Rodiklių apskaičiavimo algoritmai, bus pateikti po sutarties pasirašymo.</w:t>
            </w:r>
          </w:p>
        </w:tc>
        <w:tc>
          <w:tcPr>
            <w:tcW w:w="4536" w:type="dxa"/>
            <w:tcBorders>
              <w:bottom w:val="single" w:sz="4" w:space="0" w:color="000000"/>
            </w:tcBorders>
          </w:tcPr>
          <w:p w14:paraId="330CFAC6" w14:textId="77777777" w:rsidR="00343A6E" w:rsidRPr="00F27FF6" w:rsidRDefault="00343A6E"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p>
        </w:tc>
      </w:tr>
      <w:tr w:rsidR="007A29F8" w:rsidRPr="00F27FF6" w14:paraId="2079BC64" w14:textId="77777777" w:rsidTr="0086770A">
        <w:tc>
          <w:tcPr>
            <w:tcW w:w="738" w:type="dxa"/>
            <w:tcBorders>
              <w:bottom w:val="single" w:sz="4" w:space="0" w:color="000000"/>
            </w:tcBorders>
            <w:shd w:val="clear" w:color="auto" w:fill="auto"/>
          </w:tcPr>
          <w:p w14:paraId="795C4665" w14:textId="77777777" w:rsidR="007A29F8" w:rsidRPr="00F27FF6" w:rsidRDefault="007A29F8" w:rsidP="0086770A">
            <w:pPr>
              <w:pStyle w:val="Heading2"/>
              <w:keepNext w:val="0"/>
              <w:keepLines w:val="0"/>
              <w:widowControl w:val="0"/>
              <w:numPr>
                <w:ilvl w:val="1"/>
                <w:numId w:val="9"/>
              </w:numPr>
              <w:spacing w:before="0"/>
              <w:ind w:left="486"/>
              <w:rPr>
                <w:rFonts w:ascii="Times New Roman" w:eastAsia="Times New Roman" w:hAnsi="Times New Roman" w:cs="Times New Roman"/>
                <w:b w:val="0"/>
                <w:color w:val="000000"/>
                <w:sz w:val="22"/>
                <w:szCs w:val="22"/>
              </w:rPr>
            </w:pPr>
          </w:p>
        </w:tc>
        <w:tc>
          <w:tcPr>
            <w:tcW w:w="4536" w:type="dxa"/>
            <w:tcBorders>
              <w:bottom w:val="single" w:sz="4" w:space="0" w:color="000000"/>
            </w:tcBorders>
            <w:shd w:val="clear" w:color="auto" w:fill="auto"/>
          </w:tcPr>
          <w:p w14:paraId="64057970" w14:textId="77777777" w:rsidR="0086770A" w:rsidRPr="00F27FF6" w:rsidRDefault="007A29F8" w:rsidP="0086770A">
            <w:pPr>
              <w:pStyle w:val="Heading2"/>
              <w:numPr>
                <w:ilvl w:val="1"/>
                <w:numId w:val="6"/>
              </w:numPr>
              <w:tabs>
                <w:tab w:val="left" w:pos="230"/>
                <w:tab w:val="left" w:pos="761"/>
              </w:tabs>
              <w:spacing w:before="0"/>
              <w:ind w:left="602"/>
              <w:rPr>
                <w:rFonts w:ascii="Times New Roman" w:eastAsia="Times New Roman" w:hAnsi="Times New Roman" w:cs="Times New Roman"/>
                <w:b w:val="0"/>
                <w:color w:val="000000"/>
                <w:sz w:val="22"/>
                <w:szCs w:val="22"/>
              </w:rPr>
            </w:pPr>
            <w:r w:rsidRPr="00F27FF6">
              <w:rPr>
                <w:rFonts w:ascii="Times New Roman" w:hAnsi="Times New Roman" w:cs="Times New Roman"/>
                <w:b w:val="0"/>
                <w:color w:val="000000"/>
                <w:sz w:val="22"/>
                <w:szCs w:val="22"/>
              </w:rPr>
              <w:t xml:space="preserve">Turi būti sukurta naudotojų teisių grupė (rolė),  kurias sudarant būtų nurodomi šiuo pirkimu realizuotini vitrinų rinkiniai. </w:t>
            </w:r>
          </w:p>
          <w:p w14:paraId="4110BB7E" w14:textId="77777777" w:rsidR="007A29F8" w:rsidRPr="00F27FF6" w:rsidRDefault="007A29F8" w:rsidP="0086770A">
            <w:pPr>
              <w:pStyle w:val="Heading2"/>
              <w:numPr>
                <w:ilvl w:val="1"/>
                <w:numId w:val="6"/>
              </w:numPr>
              <w:tabs>
                <w:tab w:val="left" w:pos="230"/>
                <w:tab w:val="left" w:pos="761"/>
              </w:tabs>
              <w:spacing w:before="0"/>
              <w:ind w:left="602"/>
              <w:rPr>
                <w:rFonts w:ascii="Times New Roman" w:eastAsia="Times New Roman" w:hAnsi="Times New Roman" w:cs="Times New Roman"/>
                <w:b w:val="0"/>
                <w:color w:val="000000"/>
                <w:sz w:val="22"/>
                <w:szCs w:val="22"/>
              </w:rPr>
            </w:pPr>
            <w:r w:rsidRPr="00F27FF6">
              <w:rPr>
                <w:rFonts w:ascii="Times New Roman" w:hAnsi="Times New Roman" w:cs="Times New Roman"/>
                <w:b w:val="0"/>
                <w:color w:val="000000"/>
                <w:sz w:val="22"/>
                <w:szCs w:val="22"/>
              </w:rPr>
              <w:t>Turi būti galimybė naudotojui priskirti daugiau nei vieną teisių grupę (rolę).</w:t>
            </w:r>
          </w:p>
        </w:tc>
        <w:tc>
          <w:tcPr>
            <w:tcW w:w="4536" w:type="dxa"/>
            <w:tcBorders>
              <w:bottom w:val="single" w:sz="4" w:space="0" w:color="000000"/>
            </w:tcBorders>
          </w:tcPr>
          <w:p w14:paraId="39F5A9A4" w14:textId="77777777" w:rsidR="007A29F8" w:rsidRPr="00F27FF6" w:rsidRDefault="007A29F8" w:rsidP="00CE1215">
            <w:pPr>
              <w:pStyle w:val="Heading2"/>
              <w:tabs>
                <w:tab w:val="left" w:pos="230"/>
                <w:tab w:val="left" w:pos="761"/>
              </w:tabs>
              <w:spacing w:before="0"/>
              <w:ind w:left="0" w:firstLine="0"/>
              <w:rPr>
                <w:rFonts w:ascii="Times New Roman" w:eastAsia="Times New Roman" w:hAnsi="Times New Roman" w:cs="Times New Roman"/>
                <w:b w:val="0"/>
                <w:color w:val="000000"/>
                <w:sz w:val="22"/>
                <w:szCs w:val="22"/>
              </w:rPr>
            </w:pPr>
          </w:p>
        </w:tc>
      </w:tr>
      <w:tr w:rsidR="00343A6E" w:rsidRPr="00F27FF6" w14:paraId="159DAE71" w14:textId="77777777" w:rsidTr="0086770A">
        <w:tc>
          <w:tcPr>
            <w:tcW w:w="738" w:type="dxa"/>
            <w:shd w:val="clear" w:color="auto" w:fill="auto"/>
          </w:tcPr>
          <w:p w14:paraId="793D0A90" w14:textId="77777777" w:rsidR="00343A6E" w:rsidRPr="00F27FF6" w:rsidRDefault="00343A6E" w:rsidP="0086770A">
            <w:pPr>
              <w:pStyle w:val="Normal1"/>
              <w:numPr>
                <w:ilvl w:val="1"/>
                <w:numId w:val="9"/>
              </w:numPr>
              <w:ind w:left="486"/>
              <w:rPr>
                <w:sz w:val="22"/>
                <w:szCs w:val="22"/>
              </w:rPr>
            </w:pPr>
          </w:p>
        </w:tc>
        <w:tc>
          <w:tcPr>
            <w:tcW w:w="4536" w:type="dxa"/>
            <w:shd w:val="clear" w:color="auto" w:fill="auto"/>
          </w:tcPr>
          <w:p w14:paraId="35CB2608" w14:textId="77777777" w:rsidR="00343A6E" w:rsidRPr="00F27FF6" w:rsidRDefault="00343A6E">
            <w:pPr>
              <w:pStyle w:val="Normal1"/>
              <w:rPr>
                <w:sz w:val="22"/>
                <w:szCs w:val="22"/>
              </w:rPr>
            </w:pPr>
            <w:r w:rsidRPr="00F27FF6">
              <w:rPr>
                <w:sz w:val="22"/>
                <w:szCs w:val="22"/>
              </w:rPr>
              <w:t xml:space="preserve">Kartu su sprendiniu turi būti pateikta 10 papildomų, šiuo metu naudojamos PowerBI sistemos vartotojų licencijų, kurių galiojimas būtų ne trumpesnis nei 5 metai nuo sutarties pasirašymo. </w:t>
            </w:r>
          </w:p>
        </w:tc>
        <w:tc>
          <w:tcPr>
            <w:tcW w:w="4536" w:type="dxa"/>
          </w:tcPr>
          <w:p w14:paraId="4D7ED427" w14:textId="77777777" w:rsidR="00343A6E" w:rsidRPr="00F27FF6" w:rsidRDefault="00343A6E">
            <w:pPr>
              <w:pStyle w:val="Normal1"/>
              <w:rPr>
                <w:sz w:val="22"/>
                <w:szCs w:val="22"/>
              </w:rPr>
            </w:pPr>
          </w:p>
        </w:tc>
      </w:tr>
    </w:tbl>
    <w:p w14:paraId="5D39E975" w14:textId="77777777" w:rsidR="008E7368" w:rsidRPr="00F27FF6" w:rsidRDefault="00E40203" w:rsidP="0086770A">
      <w:pPr>
        <w:pStyle w:val="Heading1"/>
        <w:keepNext w:val="0"/>
        <w:keepLines w:val="0"/>
        <w:widowControl w:val="0"/>
        <w:numPr>
          <w:ilvl w:val="0"/>
          <w:numId w:val="7"/>
        </w:numPr>
        <w:shd w:val="clear" w:color="auto" w:fill="FFFFFF"/>
        <w:spacing w:before="600" w:after="200"/>
        <w:jc w:val="both"/>
        <w:rPr>
          <w:color w:val="000000"/>
          <w:sz w:val="22"/>
          <w:szCs w:val="22"/>
        </w:rPr>
      </w:pPr>
      <w:bookmarkStart w:id="5" w:name="_2jxsxqh" w:colFirst="0" w:colLast="0"/>
      <w:bookmarkStart w:id="6" w:name="_z337ya" w:colFirst="0" w:colLast="0"/>
      <w:bookmarkStart w:id="7" w:name="_3j2qqm3" w:colFirst="0" w:colLast="0"/>
      <w:bookmarkStart w:id="8" w:name="_1y810tw" w:colFirst="0" w:colLast="0"/>
      <w:bookmarkStart w:id="9" w:name="_4i7ojhp" w:colFirst="0" w:colLast="0"/>
      <w:bookmarkEnd w:id="5"/>
      <w:bookmarkEnd w:id="6"/>
      <w:bookmarkEnd w:id="7"/>
      <w:bookmarkEnd w:id="8"/>
      <w:bookmarkEnd w:id="9"/>
      <w:r w:rsidRPr="00F27FF6">
        <w:rPr>
          <w:color w:val="000000"/>
          <w:sz w:val="22"/>
          <w:szCs w:val="22"/>
        </w:rPr>
        <w:t>Reikalavimai garantiniam aptarnavimui</w:t>
      </w:r>
    </w:p>
    <w:p w14:paraId="11BE277E" w14:textId="77777777" w:rsidR="008E7368" w:rsidRPr="00F27FF6" w:rsidRDefault="00E40203" w:rsidP="0086770A">
      <w:pPr>
        <w:pStyle w:val="Normal1"/>
        <w:numPr>
          <w:ilvl w:val="1"/>
          <w:numId w:val="8"/>
        </w:numPr>
        <w:pBdr>
          <w:top w:val="nil"/>
          <w:left w:val="nil"/>
          <w:bottom w:val="nil"/>
          <w:right w:val="nil"/>
          <w:between w:val="nil"/>
        </w:pBdr>
        <w:tabs>
          <w:tab w:val="left" w:pos="993"/>
          <w:tab w:val="left" w:pos="1276"/>
        </w:tabs>
        <w:spacing w:after="120"/>
        <w:jc w:val="both"/>
        <w:rPr>
          <w:sz w:val="22"/>
          <w:szCs w:val="22"/>
        </w:rPr>
      </w:pPr>
      <w:r w:rsidRPr="00F27FF6">
        <w:rPr>
          <w:color w:val="000000"/>
          <w:sz w:val="22"/>
          <w:szCs w:val="22"/>
        </w:rPr>
        <w:lastRenderedPageBreak/>
        <w:t xml:space="preserve">Garantinis aptarnavimas apima </w:t>
      </w:r>
      <w:r w:rsidR="006D4818" w:rsidRPr="00F27FF6">
        <w:rPr>
          <w:color w:val="000000"/>
          <w:sz w:val="22"/>
          <w:szCs w:val="22"/>
        </w:rPr>
        <w:t xml:space="preserve">rodiklių sistemoje realizuotų funkcionalumų priežiūrą </w:t>
      </w:r>
    </w:p>
    <w:p w14:paraId="46FDB529" w14:textId="77777777" w:rsidR="008E7368" w:rsidRPr="00F27FF6" w:rsidRDefault="00E40203" w:rsidP="0086770A">
      <w:pPr>
        <w:pStyle w:val="Normal1"/>
        <w:widowControl w:val="0"/>
        <w:numPr>
          <w:ilvl w:val="1"/>
          <w:numId w:val="8"/>
        </w:numPr>
        <w:shd w:val="clear" w:color="auto" w:fill="FFFFFF"/>
        <w:tabs>
          <w:tab w:val="left" w:pos="1134"/>
          <w:tab w:val="left" w:pos="1276"/>
        </w:tabs>
        <w:spacing w:after="120"/>
        <w:jc w:val="both"/>
        <w:rPr>
          <w:sz w:val="22"/>
          <w:szCs w:val="22"/>
        </w:rPr>
      </w:pPr>
      <w:r w:rsidRPr="00F27FF6">
        <w:rPr>
          <w:sz w:val="22"/>
          <w:szCs w:val="22"/>
        </w:rPr>
        <w:t>Tiekėjas privalo užtikrinti Garantinį aptarnavimą 60 mėnesių laikotarpyje nuo galutinio paslaugų priėmimo–perdavimo akto pasirašymo datos.</w:t>
      </w:r>
    </w:p>
    <w:p w14:paraId="0E1BBC11" w14:textId="77777777" w:rsidR="008E7368" w:rsidRPr="00F27FF6" w:rsidRDefault="00E40203" w:rsidP="0086770A">
      <w:pPr>
        <w:pStyle w:val="Normal1"/>
        <w:widowControl w:val="0"/>
        <w:numPr>
          <w:ilvl w:val="1"/>
          <w:numId w:val="8"/>
        </w:numPr>
        <w:shd w:val="clear" w:color="auto" w:fill="FFFFFF"/>
        <w:tabs>
          <w:tab w:val="left" w:pos="1134"/>
          <w:tab w:val="left" w:pos="1276"/>
        </w:tabs>
        <w:spacing w:after="120"/>
        <w:jc w:val="both"/>
        <w:rPr>
          <w:sz w:val="22"/>
          <w:szCs w:val="22"/>
        </w:rPr>
      </w:pPr>
      <w:r w:rsidRPr="00F27FF6">
        <w:rPr>
          <w:sz w:val="22"/>
          <w:szCs w:val="22"/>
        </w:rPr>
        <w:t>Programinės įrangos  priežiūros paslaugos apima pateiktos ir/ar modifikuotos(pakeistos) programinės įrangos sutrikimų šalinimą.</w:t>
      </w:r>
    </w:p>
    <w:sectPr w:rsidR="008E7368" w:rsidRPr="00F27FF6" w:rsidSect="00D133A7">
      <w:headerReference w:type="default" r:id="rId10"/>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6B079" w14:textId="77777777" w:rsidR="00185EC3" w:rsidRDefault="00185EC3" w:rsidP="008E7368">
      <w:r>
        <w:separator/>
      </w:r>
    </w:p>
  </w:endnote>
  <w:endnote w:type="continuationSeparator" w:id="0">
    <w:p w14:paraId="6A0CF635" w14:textId="77777777" w:rsidR="00185EC3" w:rsidRDefault="00185EC3" w:rsidP="008E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25519" w14:textId="77777777" w:rsidR="00185EC3" w:rsidRDefault="00185EC3" w:rsidP="008E7368">
      <w:r>
        <w:separator/>
      </w:r>
    </w:p>
  </w:footnote>
  <w:footnote w:type="continuationSeparator" w:id="0">
    <w:p w14:paraId="17C7AA8D" w14:textId="77777777" w:rsidR="00185EC3" w:rsidRDefault="00185EC3" w:rsidP="008E7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8557" w14:textId="77777777" w:rsidR="00E455E6" w:rsidRDefault="00E455E6">
    <w:pPr>
      <w:pStyle w:val="Normal1"/>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A238E">
      <w:rPr>
        <w:noProof/>
        <w:color w:val="000000"/>
      </w:rPr>
      <w:t>5</w:t>
    </w:r>
    <w:r>
      <w:rPr>
        <w:color w:val="000000"/>
      </w:rPr>
      <w:fldChar w:fldCharType="end"/>
    </w:r>
  </w:p>
  <w:p w14:paraId="0CC853C5" w14:textId="77777777" w:rsidR="00E455E6" w:rsidRDefault="00E455E6">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D24C1"/>
    <w:multiLevelType w:val="multilevel"/>
    <w:tmpl w:val="0C70968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141730"/>
    <w:multiLevelType w:val="hybridMultilevel"/>
    <w:tmpl w:val="DE0E7DE2"/>
    <w:lvl w:ilvl="0" w:tplc="6616F578">
      <w:start w:val="1"/>
      <w:numFmt w:val="bullet"/>
      <w:lvlText w:val=""/>
      <w:lvlJc w:val="left"/>
      <w:pPr>
        <w:ind w:left="720" w:hanging="360"/>
      </w:pPr>
      <w:rPr>
        <w:rFonts w:ascii="Symbol" w:hAnsi="Symbol" w:hint="default"/>
        <w:color w:val="auto"/>
      </w:rPr>
    </w:lvl>
    <w:lvl w:ilvl="1" w:tplc="E960B608">
      <w:start w:val="1"/>
      <w:numFmt w:val="bullet"/>
      <w:lvlText w:val="o"/>
      <w:lvlJc w:val="left"/>
      <w:pPr>
        <w:ind w:left="1440" w:hanging="360"/>
      </w:pPr>
      <w:rPr>
        <w:rFonts w:ascii="Courier New" w:hAnsi="Courier New" w:cs="Courier New"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5F18A9"/>
    <w:multiLevelType w:val="hybridMultilevel"/>
    <w:tmpl w:val="8EEA1016"/>
    <w:lvl w:ilvl="0" w:tplc="6616F57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F5419A"/>
    <w:multiLevelType w:val="multilevel"/>
    <w:tmpl w:val="D944AFE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B341C7"/>
    <w:multiLevelType w:val="multilevel"/>
    <w:tmpl w:val="B71090B4"/>
    <w:lvl w:ilvl="0">
      <w:start w:val="1"/>
      <w:numFmt w:val="none"/>
      <w:lvlText w:val="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7D2754F"/>
    <w:multiLevelType w:val="hybridMultilevel"/>
    <w:tmpl w:val="2D5EFCFA"/>
    <w:lvl w:ilvl="0" w:tplc="6616F57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81A6B"/>
    <w:multiLevelType w:val="multilevel"/>
    <w:tmpl w:val="7E225D7A"/>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5765061D"/>
    <w:multiLevelType w:val="multilevel"/>
    <w:tmpl w:val="709C8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911DBB"/>
    <w:multiLevelType w:val="hybridMultilevel"/>
    <w:tmpl w:val="4A143196"/>
    <w:lvl w:ilvl="0" w:tplc="6616F57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2CE56E1"/>
    <w:multiLevelType w:val="hybridMultilevel"/>
    <w:tmpl w:val="6E58ADDE"/>
    <w:lvl w:ilvl="0" w:tplc="6616F57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2"/>
  </w:num>
  <w:num w:numId="5">
    <w:abstractNumId w:val="5"/>
  </w:num>
  <w:num w:numId="6">
    <w:abstractNumId w:val="9"/>
  </w:num>
  <w:num w:numId="7">
    <w:abstractNumId w:val="4"/>
  </w:num>
  <w:num w:numId="8">
    <w:abstractNumId w:val="0"/>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68"/>
    <w:rsid w:val="00005E29"/>
    <w:rsid w:val="0005410C"/>
    <w:rsid w:val="000709F4"/>
    <w:rsid w:val="000B2764"/>
    <w:rsid w:val="000D0F64"/>
    <w:rsid w:val="00124366"/>
    <w:rsid w:val="0016319C"/>
    <w:rsid w:val="00185EC3"/>
    <w:rsid w:val="001E7173"/>
    <w:rsid w:val="00343A6E"/>
    <w:rsid w:val="00363A2E"/>
    <w:rsid w:val="003F6AD3"/>
    <w:rsid w:val="004406A4"/>
    <w:rsid w:val="004876E7"/>
    <w:rsid w:val="004E2D2B"/>
    <w:rsid w:val="004E6D7D"/>
    <w:rsid w:val="0050256F"/>
    <w:rsid w:val="00514C73"/>
    <w:rsid w:val="00541A40"/>
    <w:rsid w:val="00577C4F"/>
    <w:rsid w:val="005E18EE"/>
    <w:rsid w:val="00622CC1"/>
    <w:rsid w:val="00627A1D"/>
    <w:rsid w:val="00637862"/>
    <w:rsid w:val="00684237"/>
    <w:rsid w:val="006D4818"/>
    <w:rsid w:val="007057C6"/>
    <w:rsid w:val="007100F1"/>
    <w:rsid w:val="00740557"/>
    <w:rsid w:val="00740C69"/>
    <w:rsid w:val="0077374F"/>
    <w:rsid w:val="00774329"/>
    <w:rsid w:val="00777086"/>
    <w:rsid w:val="007A238E"/>
    <w:rsid w:val="007A29F8"/>
    <w:rsid w:val="007F77CB"/>
    <w:rsid w:val="008175E3"/>
    <w:rsid w:val="008276BF"/>
    <w:rsid w:val="0084544B"/>
    <w:rsid w:val="008520E9"/>
    <w:rsid w:val="0086770A"/>
    <w:rsid w:val="008742F1"/>
    <w:rsid w:val="008E7368"/>
    <w:rsid w:val="00922B95"/>
    <w:rsid w:val="009305D3"/>
    <w:rsid w:val="009411BD"/>
    <w:rsid w:val="00941CB6"/>
    <w:rsid w:val="00942036"/>
    <w:rsid w:val="009A1876"/>
    <w:rsid w:val="009B5A5E"/>
    <w:rsid w:val="009C266E"/>
    <w:rsid w:val="00A2149F"/>
    <w:rsid w:val="00A31FF4"/>
    <w:rsid w:val="00A609A1"/>
    <w:rsid w:val="00A777AA"/>
    <w:rsid w:val="00A84CE3"/>
    <w:rsid w:val="00AB0308"/>
    <w:rsid w:val="00AF0A7E"/>
    <w:rsid w:val="00B319FD"/>
    <w:rsid w:val="00B623B4"/>
    <w:rsid w:val="00BA1A0D"/>
    <w:rsid w:val="00BD7315"/>
    <w:rsid w:val="00BE49D1"/>
    <w:rsid w:val="00BF06C9"/>
    <w:rsid w:val="00C13514"/>
    <w:rsid w:val="00C14E07"/>
    <w:rsid w:val="00C178FD"/>
    <w:rsid w:val="00C22C21"/>
    <w:rsid w:val="00CA01D5"/>
    <w:rsid w:val="00CA5EAD"/>
    <w:rsid w:val="00CA783A"/>
    <w:rsid w:val="00CB5FFA"/>
    <w:rsid w:val="00CD20A0"/>
    <w:rsid w:val="00CE1215"/>
    <w:rsid w:val="00D10C59"/>
    <w:rsid w:val="00D133A7"/>
    <w:rsid w:val="00D70081"/>
    <w:rsid w:val="00DB038C"/>
    <w:rsid w:val="00E02686"/>
    <w:rsid w:val="00E06DF9"/>
    <w:rsid w:val="00E40203"/>
    <w:rsid w:val="00E455E6"/>
    <w:rsid w:val="00E97E0D"/>
    <w:rsid w:val="00EA2CDD"/>
    <w:rsid w:val="00EF43CE"/>
    <w:rsid w:val="00F27FF6"/>
    <w:rsid w:val="00F64A6D"/>
    <w:rsid w:val="00F96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611E"/>
  <w15:docId w15:val="{A3465D2E-CF1F-4630-B915-6D698792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8E7368"/>
    <w:pPr>
      <w:keepNext/>
      <w:keepLines/>
      <w:spacing w:before="480"/>
      <w:ind w:left="644" w:hanging="360"/>
      <w:outlineLvl w:val="0"/>
    </w:pPr>
    <w:rPr>
      <w:b/>
      <w:sz w:val="28"/>
      <w:szCs w:val="28"/>
    </w:rPr>
  </w:style>
  <w:style w:type="paragraph" w:styleId="Heading2">
    <w:name w:val="heading 2"/>
    <w:basedOn w:val="Normal1"/>
    <w:next w:val="Normal1"/>
    <w:rsid w:val="008E7368"/>
    <w:pPr>
      <w:keepNext/>
      <w:keepLines/>
      <w:spacing w:before="200"/>
      <w:ind w:left="4969" w:hanging="431"/>
      <w:outlineLvl w:val="1"/>
    </w:pPr>
    <w:rPr>
      <w:rFonts w:ascii="Cambria" w:eastAsia="Cambria" w:hAnsi="Cambria" w:cs="Cambria"/>
      <w:b/>
      <w:color w:val="4F81BD"/>
      <w:sz w:val="26"/>
      <w:szCs w:val="26"/>
    </w:rPr>
  </w:style>
  <w:style w:type="paragraph" w:styleId="Heading3">
    <w:name w:val="heading 3"/>
    <w:basedOn w:val="Normal1"/>
    <w:next w:val="Normal1"/>
    <w:rsid w:val="008E7368"/>
    <w:pPr>
      <w:keepNext/>
      <w:keepLines/>
      <w:spacing w:before="200"/>
      <w:ind w:left="720" w:hanging="720"/>
      <w:outlineLvl w:val="2"/>
    </w:pPr>
    <w:rPr>
      <w:rFonts w:ascii="Cambria" w:eastAsia="Cambria" w:hAnsi="Cambria" w:cs="Cambria"/>
      <w:b/>
      <w:color w:val="4F81BD"/>
    </w:rPr>
  </w:style>
  <w:style w:type="paragraph" w:styleId="Heading4">
    <w:name w:val="heading 4"/>
    <w:basedOn w:val="Normal1"/>
    <w:next w:val="Normal1"/>
    <w:rsid w:val="008E7368"/>
    <w:pPr>
      <w:keepNext/>
      <w:keepLines/>
      <w:spacing w:before="200"/>
      <w:ind w:left="864" w:hanging="864"/>
      <w:outlineLvl w:val="3"/>
    </w:pPr>
    <w:rPr>
      <w:rFonts w:ascii="Cambria" w:eastAsia="Cambria" w:hAnsi="Cambria" w:cs="Cambria"/>
      <w:b/>
      <w:i/>
      <w:color w:val="4F81BD"/>
    </w:rPr>
  </w:style>
  <w:style w:type="paragraph" w:styleId="Heading5">
    <w:name w:val="heading 5"/>
    <w:basedOn w:val="Normal1"/>
    <w:next w:val="Normal1"/>
    <w:rsid w:val="008E7368"/>
    <w:pPr>
      <w:keepNext/>
      <w:keepLines/>
      <w:spacing w:before="200"/>
      <w:ind w:left="1008" w:hanging="1008"/>
      <w:outlineLvl w:val="4"/>
    </w:pPr>
    <w:rPr>
      <w:rFonts w:ascii="Cambria" w:eastAsia="Cambria" w:hAnsi="Cambria" w:cs="Cambria"/>
      <w:color w:val="243F61"/>
    </w:rPr>
  </w:style>
  <w:style w:type="paragraph" w:styleId="Heading6">
    <w:name w:val="heading 6"/>
    <w:basedOn w:val="Normal1"/>
    <w:next w:val="Normal1"/>
    <w:rsid w:val="008E7368"/>
    <w:pPr>
      <w:keepNext/>
      <w:keepLines/>
      <w:spacing w:before="20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E7368"/>
  </w:style>
  <w:style w:type="paragraph" w:styleId="Title">
    <w:name w:val="Title"/>
    <w:basedOn w:val="Normal1"/>
    <w:next w:val="Normal1"/>
    <w:rsid w:val="008E7368"/>
    <w:pPr>
      <w:spacing w:before="240" w:after="60"/>
      <w:jc w:val="center"/>
    </w:pPr>
    <w:rPr>
      <w:rFonts w:ascii="Tahoma" w:eastAsia="Tahoma" w:hAnsi="Tahoma" w:cs="Tahoma"/>
      <w:b/>
      <w:sz w:val="36"/>
      <w:szCs w:val="36"/>
    </w:rPr>
  </w:style>
  <w:style w:type="paragraph" w:styleId="Subtitle">
    <w:name w:val="Subtitle"/>
    <w:basedOn w:val="Normal1"/>
    <w:next w:val="Normal1"/>
    <w:rsid w:val="008E7368"/>
    <w:pPr>
      <w:spacing w:after="60"/>
      <w:jc w:val="center"/>
    </w:pPr>
    <w:rPr>
      <w:rFonts w:ascii="Cambria" w:eastAsia="Cambria" w:hAnsi="Cambria" w:cs="Cambria"/>
    </w:rPr>
  </w:style>
  <w:style w:type="table" w:customStyle="1" w:styleId="a">
    <w:basedOn w:val="TableNormal"/>
    <w:rsid w:val="008E7368"/>
    <w:tblPr>
      <w:tblStyleRowBandSize w:val="1"/>
      <w:tblStyleColBandSize w:val="1"/>
    </w:tblPr>
  </w:style>
  <w:style w:type="table" w:customStyle="1" w:styleId="a0">
    <w:basedOn w:val="TableNormal"/>
    <w:rsid w:val="008E7368"/>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8E7368"/>
    <w:rPr>
      <w:sz w:val="20"/>
      <w:szCs w:val="20"/>
    </w:rPr>
  </w:style>
  <w:style w:type="character" w:customStyle="1" w:styleId="CommentTextChar">
    <w:name w:val="Comment Text Char"/>
    <w:basedOn w:val="DefaultParagraphFont"/>
    <w:link w:val="CommentText"/>
    <w:uiPriority w:val="99"/>
    <w:semiHidden/>
    <w:rsid w:val="008E7368"/>
    <w:rPr>
      <w:sz w:val="20"/>
      <w:szCs w:val="20"/>
    </w:rPr>
  </w:style>
  <w:style w:type="character" w:styleId="CommentReference">
    <w:name w:val="annotation reference"/>
    <w:basedOn w:val="DefaultParagraphFont"/>
    <w:uiPriority w:val="99"/>
    <w:semiHidden/>
    <w:unhideWhenUsed/>
    <w:rsid w:val="008E7368"/>
    <w:rPr>
      <w:sz w:val="16"/>
      <w:szCs w:val="16"/>
    </w:rPr>
  </w:style>
  <w:style w:type="paragraph" w:styleId="BalloonText">
    <w:name w:val="Balloon Text"/>
    <w:basedOn w:val="Normal"/>
    <w:link w:val="BalloonTextChar"/>
    <w:uiPriority w:val="99"/>
    <w:semiHidden/>
    <w:unhideWhenUsed/>
    <w:rsid w:val="00514C73"/>
    <w:rPr>
      <w:rFonts w:ascii="Tahoma" w:hAnsi="Tahoma" w:cs="Tahoma"/>
      <w:sz w:val="16"/>
      <w:szCs w:val="16"/>
    </w:rPr>
  </w:style>
  <w:style w:type="character" w:customStyle="1" w:styleId="BalloonTextChar">
    <w:name w:val="Balloon Text Char"/>
    <w:basedOn w:val="DefaultParagraphFont"/>
    <w:link w:val="BalloonText"/>
    <w:uiPriority w:val="99"/>
    <w:semiHidden/>
    <w:rsid w:val="00514C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A1A0D"/>
    <w:rPr>
      <w:b/>
      <w:bCs/>
    </w:rPr>
  </w:style>
  <w:style w:type="character" w:customStyle="1" w:styleId="CommentSubjectChar">
    <w:name w:val="Comment Subject Char"/>
    <w:basedOn w:val="CommentTextChar"/>
    <w:link w:val="CommentSubject"/>
    <w:uiPriority w:val="99"/>
    <w:semiHidden/>
    <w:rsid w:val="00BA1A0D"/>
    <w:rPr>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qFormat/>
    <w:rsid w:val="00E455E6"/>
    <w:pPr>
      <w:spacing w:line="276" w:lineRule="auto"/>
      <w:ind w:left="360" w:hanging="360"/>
      <w:contextualSpacing/>
    </w:pPr>
    <w:rPr>
      <w:rFonts w:ascii="Arial" w:eastAsia="Arial" w:hAnsi="Arial" w:cs="Arial"/>
      <w:sz w:val="22"/>
      <w:szCs w:val="22"/>
      <w:lang w:val="e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455E6"/>
    <w:rPr>
      <w:rFonts w:ascii="Arial" w:eastAsia="Arial" w:hAnsi="Arial" w:cs="Arial"/>
      <w:sz w:val="22"/>
      <w:szCs w:val="22"/>
      <w:lang w:val="en"/>
    </w:rPr>
  </w:style>
  <w:style w:type="paragraph" w:customStyle="1" w:styleId="paragraph">
    <w:name w:val="paragraph"/>
    <w:basedOn w:val="Normal"/>
    <w:rsid w:val="00E455E6"/>
    <w:pPr>
      <w:spacing w:before="100" w:beforeAutospacing="1" w:after="100" w:afterAutospacing="1"/>
    </w:pPr>
  </w:style>
  <w:style w:type="character" w:customStyle="1" w:styleId="normaltextrun">
    <w:name w:val="normaltextrun"/>
    <w:basedOn w:val="DefaultParagraphFont"/>
    <w:rsid w:val="00E455E6"/>
  </w:style>
  <w:style w:type="character" w:customStyle="1" w:styleId="eop">
    <w:name w:val="eop"/>
    <w:basedOn w:val="DefaultParagraphFont"/>
    <w:rsid w:val="00E455E6"/>
  </w:style>
  <w:style w:type="paragraph" w:styleId="NormalWeb">
    <w:name w:val="Normal (Web)"/>
    <w:basedOn w:val="Normal"/>
    <w:uiPriority w:val="99"/>
    <w:unhideWhenUsed/>
    <w:qFormat/>
    <w:rsid w:val="008742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47CE6-9971-4A91-919A-3587B46D44C5}">
  <ds:schemaRef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s>
</ds:datastoreItem>
</file>

<file path=customXml/itemProps2.xml><?xml version="1.0" encoding="utf-8"?>
<ds:datastoreItem xmlns:ds="http://schemas.openxmlformats.org/officeDocument/2006/customXml" ds:itemID="{D3B07ED9-FA03-4C28-A975-33D6AC8A9C75}">
  <ds:schemaRefs>
    <ds:schemaRef ds:uri="http://schemas.microsoft.com/sharepoint/v3/contenttype/forms"/>
  </ds:schemaRefs>
</ds:datastoreItem>
</file>

<file path=customXml/itemProps3.xml><?xml version="1.0" encoding="utf-8"?>
<ds:datastoreItem xmlns:ds="http://schemas.openxmlformats.org/officeDocument/2006/customXml" ds:itemID="{9818D50F-19B5-477D-93D4-5400E2CAA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7521</Words>
  <Characters>4287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Leimonas</dc:creator>
  <cp:lastModifiedBy>Regina Gasiūnienė</cp:lastModifiedBy>
  <cp:revision>2</cp:revision>
  <dcterms:created xsi:type="dcterms:W3CDTF">2024-08-08T13:55:00Z</dcterms:created>
  <dcterms:modified xsi:type="dcterms:W3CDTF">2024-08-08T13:55:00Z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