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217E5" w14:textId="77777777" w:rsidR="00030850" w:rsidRPr="008F6268" w:rsidRDefault="00030850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8F6268">
        <w:rPr>
          <w:rFonts w:ascii="Cambria" w:hAnsi="Cambria" w:cs="Times New Roman"/>
          <w:b/>
          <w:sz w:val="20"/>
          <w:szCs w:val="20"/>
        </w:rPr>
        <w:t>ARTIFICIAL INTELLIGENCE-BASED CLINICAL ACTIVITY MANAGEMENT INFORMATION SYSTEM</w:t>
      </w:r>
    </w:p>
    <w:p w14:paraId="2C2B64FD" w14:textId="77777777" w:rsidR="00030850" w:rsidRPr="008F6268" w:rsidRDefault="00030850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</w:p>
    <w:p w14:paraId="17CE0B9D" w14:textId="77777777" w:rsidR="002B54C6" w:rsidRPr="008F6268" w:rsidRDefault="00030850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8F6268">
        <w:rPr>
          <w:rFonts w:ascii="Cambria" w:hAnsi="Cambria" w:cs="Times New Roman"/>
          <w:b/>
          <w:sz w:val="20"/>
          <w:szCs w:val="20"/>
        </w:rPr>
        <w:t>DIRBTINIO INTELEKTO PAGRINDU VEIKIANČIOS KLINIKINĖS VEIKLOS VALDYMO INFORMACINĖ SISTEMA</w:t>
      </w:r>
    </w:p>
    <w:p w14:paraId="56A0475F" w14:textId="77777777" w:rsidR="00030850" w:rsidRPr="008F6268" w:rsidRDefault="00030850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</w:p>
    <w:p w14:paraId="5DDEF056" w14:textId="77777777" w:rsidR="002522D6" w:rsidRPr="008F6268" w:rsidRDefault="002B54C6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8F6268">
        <w:rPr>
          <w:rFonts w:ascii="Cambria" w:hAnsi="Cambria" w:cs="Times New Roman"/>
          <w:b/>
          <w:sz w:val="20"/>
          <w:szCs w:val="20"/>
        </w:rPr>
        <w:t>TECHNICAL REQUIREMENTS</w:t>
      </w:r>
    </w:p>
    <w:p w14:paraId="4CB6F180" w14:textId="77777777" w:rsidR="00030850" w:rsidRPr="008F6268" w:rsidRDefault="00030850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</w:p>
    <w:p w14:paraId="215BA8AC" w14:textId="77777777" w:rsidR="002522D6" w:rsidRPr="008F6268" w:rsidRDefault="002B54C6" w:rsidP="008F6268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8F6268">
        <w:rPr>
          <w:rFonts w:ascii="Cambria" w:hAnsi="Cambria" w:cs="Times New Roman"/>
          <w:b/>
          <w:sz w:val="20"/>
          <w:szCs w:val="20"/>
        </w:rPr>
        <w:t>TECHNINIAI REIKALAVIMAI</w:t>
      </w:r>
    </w:p>
    <w:p w14:paraId="54629AE9" w14:textId="77777777" w:rsidR="002522D6" w:rsidRPr="008F6268" w:rsidRDefault="00FF01E9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Hospital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Lithuanian University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Health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Sciences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Kauno Klinikos (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hereinafter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referred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to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Contracting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Authority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)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seeks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to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acquire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artificial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intelligence-based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information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system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designed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for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transcribing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doctor-patient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conversations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and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subsequently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populating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medical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documentation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.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information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system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to be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acquired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must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be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capable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recognizing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medical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Lithuanian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language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used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clinical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practice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,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transcribing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it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into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text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,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summarizing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text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,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and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inserting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summarized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information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into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standard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anamnesis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>or</w:t>
      </w:r>
      <w:proofErr w:type="spellEnd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>other</w:t>
      </w:r>
      <w:proofErr w:type="spellEnd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>medical</w:t>
      </w:r>
      <w:proofErr w:type="spellEnd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>document</w:t>
      </w:r>
      <w:proofErr w:type="spellEnd"/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data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fields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.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.</w:t>
      </w:r>
    </w:p>
    <w:p w14:paraId="65DDC0F9" w14:textId="77777777" w:rsidR="00902537" w:rsidRPr="008F6268" w:rsidRDefault="00902537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Lietuvos sveikatos mokslų universiteto ligoninė Kauno klinikos (toliau – Perkančioji organizacija) siekia įsigyti dirbtinio intelekto pagrindu veikiančią informacinę sistemą, skirtą gydytojo ir paciento pokalbio </w:t>
      </w:r>
      <w:proofErr w:type="spellStart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transribavimui</w:t>
      </w:r>
      <w:proofErr w:type="spellEnd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ir iš to sekančiam medicininių dokumentų užpildymui. Įsigyjama informacinė sistema turi gebėti atpažinti medicinos praktikoje naudojamą lietuvių kalbą, transkribuoti ją į tekstą, tekstą apibendrinti ir patalpinti į standartinius anamnezės </w:t>
      </w:r>
      <w:r w:rsidR="00195850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ar kitų dokumentų 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duomenų laukus.</w:t>
      </w:r>
    </w:p>
    <w:p w14:paraId="0740F29E" w14:textId="77777777" w:rsidR="00902537" w:rsidRPr="008F6268" w:rsidRDefault="00FF01E9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objective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to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acquire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a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standardized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,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clinically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proven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information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system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that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already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available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market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and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capable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transferring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data to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hospital's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currently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used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information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system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.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information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system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will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need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to be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implemented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in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all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outpatient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service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departments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Contracting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Authority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.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estimated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number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such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departments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37.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preliminary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number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of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physicians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who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will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be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working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with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the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system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is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approximately</w:t>
      </w:r>
      <w:proofErr w:type="spellEnd"/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730. </w:t>
      </w:r>
    </w:p>
    <w:p w14:paraId="61A848ED" w14:textId="77777777" w:rsidR="008B5304" w:rsidRPr="008F6268" w:rsidRDefault="00FF01E9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Tikslas – įsigyti standartizuotą, rinkoje jau veikiančią klinikinę informacinę sistemą, kuri 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>gebėtų perkelti duomenis į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šiuo metu naudojamą 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ligoninės informacin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>ę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sistem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>ą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.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Informacinė sistema turės būti įdiegta visuose Perkančiosios organizacijos </w:t>
      </w:r>
      <w:proofErr w:type="spellStart"/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>anmulatorines</w:t>
      </w:r>
      <w:proofErr w:type="spellEnd"/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paslaugas teikiančiuose padaliniuose. Orientacinis padalinių skaičius yra 37. </w:t>
      </w:r>
      <w:r w:rsidR="00902537" w:rsidRPr="008F6268">
        <w:rPr>
          <w:rFonts w:ascii="Cambria" w:eastAsia="Times New Roman" w:hAnsi="Cambria" w:cs="Times New Roman"/>
          <w:color w:val="000000"/>
          <w:sz w:val="20"/>
          <w:szCs w:val="20"/>
        </w:rPr>
        <w:t>Preliminarus gydytojų, dirbsiančių su sistema kiekis yra 730.</w:t>
      </w:r>
    </w:p>
    <w:p w14:paraId="1002886A" w14:textId="77777777" w:rsidR="002522D6" w:rsidRPr="00587D57" w:rsidRDefault="00485347" w:rsidP="008F6268">
      <w:pPr>
        <w:rPr>
          <w:rFonts w:ascii="Cambria" w:eastAsia="Times New Roman" w:hAnsi="Cambria" w:cs="Times New Roman"/>
          <w:color w:val="000000"/>
          <w:sz w:val="18"/>
          <w:szCs w:val="20"/>
        </w:rPr>
      </w:pPr>
      <w:bookmarkStart w:id="0" w:name="_GoBack"/>
      <w:r w:rsidRPr="00587D57">
        <w:rPr>
          <w:rFonts w:ascii="Cambria" w:eastAsia="Times New Roman" w:hAnsi="Cambria" w:cs="Times New Roman"/>
          <w:color w:val="000000"/>
          <w:sz w:val="18"/>
          <w:szCs w:val="20"/>
        </w:rPr>
        <w:br w:type="page"/>
      </w:r>
    </w:p>
    <w:bookmarkEnd w:id="0"/>
    <w:p w14:paraId="4C37F597" w14:textId="77777777" w:rsidR="002522D6" w:rsidRPr="008F6268" w:rsidRDefault="00FF01E9" w:rsidP="008F626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 w:cs="Times New Roman"/>
          <w:b/>
          <w:color w:val="000000"/>
          <w:sz w:val="20"/>
          <w:szCs w:val="20"/>
        </w:rPr>
      </w:pP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lastRenderedPageBreak/>
        <w:t>Functional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</w:t>
      </w: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requirements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are </w:t>
      </w: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listed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</w:t>
      </w: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in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</w:t>
      </w: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table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</w:t>
      </w: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No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</w:t>
      </w:r>
      <w:r w:rsidR="008B5304"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1</w:t>
      </w:r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/ Funkciniai reikalavimai pateikti </w:t>
      </w:r>
      <w:r w:rsidR="008B5304"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1</w:t>
      </w:r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 lentelėje.</w:t>
      </w:r>
    </w:p>
    <w:p w14:paraId="19D58CB5" w14:textId="77777777" w:rsidR="002522D6" w:rsidRPr="008F6268" w:rsidRDefault="00FF01E9" w:rsidP="008F626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Times New Roman" w:hAnsi="Cambria" w:cs="Times New Roman"/>
          <w:color w:val="000000"/>
          <w:sz w:val="20"/>
          <w:szCs w:val="20"/>
        </w:rPr>
      </w:pPr>
      <w:proofErr w:type="spellStart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Table</w:t>
      </w:r>
      <w:proofErr w:type="spellEnd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No</w:t>
      </w:r>
      <w:proofErr w:type="spellEnd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>1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/Lentelė Nr</w:t>
      </w:r>
      <w:r w:rsidR="008B5304" w:rsidRPr="008F6268">
        <w:rPr>
          <w:rFonts w:ascii="Cambria" w:eastAsia="Times New Roman" w:hAnsi="Cambria" w:cs="Times New Roman"/>
          <w:color w:val="000000"/>
          <w:sz w:val="20"/>
          <w:szCs w:val="20"/>
        </w:rPr>
        <w:t>. 1</w:t>
      </w:r>
    </w:p>
    <w:tbl>
      <w:tblPr>
        <w:tblStyle w:val="a4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2552"/>
        <w:gridCol w:w="2410"/>
        <w:gridCol w:w="3543"/>
      </w:tblGrid>
      <w:tr w:rsidR="003E4638" w:rsidRPr="008F6268" w14:paraId="1275C09C" w14:textId="77777777" w:rsidTr="008A02F9">
        <w:trPr>
          <w:trHeight w:val="983"/>
        </w:trPr>
        <w:tc>
          <w:tcPr>
            <w:tcW w:w="1237" w:type="dxa"/>
            <w:shd w:val="clear" w:color="auto" w:fill="DEEAF6" w:themeFill="accent5" w:themeFillTint="33"/>
          </w:tcPr>
          <w:p w14:paraId="3083AFFB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Req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No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./ Reikalavimo numeris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4702FAD0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Definition</w:t>
            </w:r>
            <w:proofErr w:type="spellEnd"/>
          </w:p>
        </w:tc>
        <w:tc>
          <w:tcPr>
            <w:tcW w:w="2410" w:type="dxa"/>
            <w:shd w:val="clear" w:color="auto" w:fill="DEEAF6" w:themeFill="accent5" w:themeFillTint="33"/>
          </w:tcPr>
          <w:p w14:paraId="585CD41B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Aprašas</w:t>
            </w:r>
          </w:p>
          <w:p w14:paraId="7C41E1C7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  <w:p w14:paraId="067F848F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  <w:p w14:paraId="650D1FC3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EEAF6" w:themeFill="accent5" w:themeFillTint="33"/>
          </w:tcPr>
          <w:p w14:paraId="4388766C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Atitikimas reikalavimams,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Compliance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with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requirement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,</w:t>
            </w:r>
          </w:p>
          <w:p w14:paraId="6533ED5E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Tiekėjas privalo užpildyti visus laukus, išskyrus </w:t>
            </w:r>
            <w:r w:rsidR="008B5304"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spalvomis paryškintus</w:t>
            </w: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antraščių laukus, pateikdamas trumpą aprašymą, kaip siūloma sistema atitiks reikalavimą. Tai yra privalomas reikalavimas. Nepateikus šios informacijos, pasiūlymas bus pašalintas iš atrankos</w:t>
            </w:r>
          </w:p>
          <w:p w14:paraId="14260AB7" w14:textId="77777777" w:rsidR="003E4638" w:rsidRPr="008F6268" w:rsidRDefault="00902537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supplier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fill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all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fields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except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header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fields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highlighted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color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providing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brief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description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how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proposed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meet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requirement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mandatory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requirement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Failure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information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result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proposal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being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excluded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selection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process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E4638" w:rsidRPr="008F6268" w14:paraId="6125D382" w14:textId="77777777" w:rsidTr="008A02F9">
        <w:trPr>
          <w:trHeight w:val="435"/>
        </w:trPr>
        <w:tc>
          <w:tcPr>
            <w:tcW w:w="1237" w:type="dxa"/>
            <w:shd w:val="clear" w:color="auto" w:fill="FBE4D5" w:themeFill="accent2" w:themeFillTint="33"/>
          </w:tcPr>
          <w:p w14:paraId="4A6AE801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02534536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System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definition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</w:tcPr>
          <w:p w14:paraId="4F92C9BC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Sistemos aprašas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4D521614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3E4638" w:rsidRPr="008F6268" w14:paraId="16FBD9CB" w14:textId="77777777" w:rsidTr="008A02F9">
        <w:trPr>
          <w:trHeight w:val="435"/>
        </w:trPr>
        <w:tc>
          <w:tcPr>
            <w:tcW w:w="1237" w:type="dxa"/>
          </w:tcPr>
          <w:p w14:paraId="032FFEB1" w14:textId="77777777" w:rsidR="003E4638" w:rsidRPr="008F6268" w:rsidRDefault="003E4638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 w:hanging="792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4A8552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market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known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name,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name,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current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version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Number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public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page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link to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description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CE97D66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Pateikite sistemos rinkoje žinomą pavadinimą, gamintojo pavadinimą, esamos versijos numerį ir viešą interneto nuorodą į sistemos aprašymą.</w:t>
            </w:r>
          </w:p>
        </w:tc>
        <w:tc>
          <w:tcPr>
            <w:tcW w:w="3543" w:type="dxa"/>
          </w:tcPr>
          <w:p w14:paraId="647C7E08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3E4638" w:rsidRPr="008F6268" w14:paraId="65A0E508" w14:textId="77777777" w:rsidTr="008A02F9">
        <w:trPr>
          <w:trHeight w:val="315"/>
        </w:trPr>
        <w:tc>
          <w:tcPr>
            <w:tcW w:w="1237" w:type="dxa"/>
            <w:shd w:val="clear" w:color="auto" w:fill="FBE4D5" w:themeFill="accent2" w:themeFillTint="33"/>
          </w:tcPr>
          <w:p w14:paraId="56DEEEE7" w14:textId="77777777" w:rsidR="003E4638" w:rsidRPr="008F6268" w:rsidRDefault="003E4638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69" w:hanging="426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417FE990" w14:textId="77777777" w:rsidR="003E4638" w:rsidRPr="008F6268" w:rsidRDefault="00902537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General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</w:tcPr>
          <w:p w14:paraId="63300464" w14:textId="77777777" w:rsidR="003E4638" w:rsidRPr="008F6268" w:rsidRDefault="00902537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Bendrieji reikalavimai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44254A51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3E4638" w:rsidRPr="008F6268" w14:paraId="623D969F" w14:textId="77777777" w:rsidTr="008A02F9">
        <w:trPr>
          <w:trHeight w:val="315"/>
        </w:trPr>
        <w:tc>
          <w:tcPr>
            <w:tcW w:w="1237" w:type="dxa"/>
          </w:tcPr>
          <w:p w14:paraId="687F5B6A" w14:textId="77777777" w:rsidR="003E4638" w:rsidRPr="008F6268" w:rsidRDefault="003E4638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5" w:right="29" w:hanging="283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E2E6D8" w14:textId="77777777" w:rsidR="003E4638" w:rsidRPr="008F6268" w:rsidRDefault="001A5880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be 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registered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medical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device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EU (CE mark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under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MDR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Class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I).</w:t>
            </w:r>
          </w:p>
        </w:tc>
        <w:tc>
          <w:tcPr>
            <w:tcW w:w="2410" w:type="dxa"/>
          </w:tcPr>
          <w:p w14:paraId="33BED78B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Sistema turi būti registruota kaip medicinos prietaisas ES (CE ženklinimas pagal MDR I klasę).</w:t>
            </w:r>
          </w:p>
        </w:tc>
        <w:tc>
          <w:tcPr>
            <w:tcW w:w="3543" w:type="dxa"/>
          </w:tcPr>
          <w:p w14:paraId="3B5FB8B4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Pateikti sertifikato kopiją/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copy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certificate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provided</w:t>
            </w:r>
            <w:proofErr w:type="spellEnd"/>
          </w:p>
        </w:tc>
      </w:tr>
      <w:tr w:rsidR="003E4638" w:rsidRPr="008F6268" w14:paraId="0E02A303" w14:textId="77777777" w:rsidTr="008A02F9">
        <w:trPr>
          <w:trHeight w:val="315"/>
        </w:trPr>
        <w:tc>
          <w:tcPr>
            <w:tcW w:w="1237" w:type="dxa"/>
          </w:tcPr>
          <w:p w14:paraId="6FC84BAB" w14:textId="77777777" w:rsidR="003E4638" w:rsidRPr="008F6268" w:rsidRDefault="003E4638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0BCD43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solution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comply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full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with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GDPR, Lithuanian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health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data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laws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EU AI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Act</w:t>
            </w:r>
            <w:proofErr w:type="spellEnd"/>
          </w:p>
        </w:tc>
        <w:tc>
          <w:tcPr>
            <w:tcW w:w="2410" w:type="dxa"/>
          </w:tcPr>
          <w:p w14:paraId="49CE8424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Sprendimas turi visiškai atitikti BDAR, Lietuvos sveikatos duomenų teisės aktų ir ES Dirbtinio intelekto reglamento reikalavimus.</w:t>
            </w:r>
            <w:r w:rsidR="003E4638"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14:paraId="12B03C36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Pateikti gamintojo deklaraciją/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Declaration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confirmity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provided</w:t>
            </w:r>
            <w:proofErr w:type="spellEnd"/>
          </w:p>
        </w:tc>
      </w:tr>
      <w:tr w:rsidR="003E4638" w:rsidRPr="008F6268" w14:paraId="7E8DE437" w14:textId="77777777" w:rsidTr="008A02F9">
        <w:trPr>
          <w:trHeight w:val="557"/>
        </w:trPr>
        <w:tc>
          <w:tcPr>
            <w:tcW w:w="1237" w:type="dxa"/>
          </w:tcPr>
          <w:p w14:paraId="163450D5" w14:textId="77777777" w:rsidR="003E4638" w:rsidRPr="008F6268" w:rsidRDefault="003E4638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0DAB55" w14:textId="77777777" w:rsidR="003E4638" w:rsidRPr="008F6268" w:rsidRDefault="001A5880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Hosting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data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processing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restricted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to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EU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domain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772BF4F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Duomenų talpinimas ir apdorojimas turi būti vykdomas tik ES ribose.</w:t>
            </w:r>
          </w:p>
        </w:tc>
        <w:tc>
          <w:tcPr>
            <w:tcW w:w="3543" w:type="dxa"/>
          </w:tcPr>
          <w:p w14:paraId="68221509" w14:textId="77777777" w:rsidR="003E4638" w:rsidRPr="008F6268" w:rsidRDefault="001A5880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Pateikti gamintojo/tiekėjo deklaraciją/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Declaration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onfirmity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provided</w:t>
            </w:r>
            <w:proofErr w:type="spellEnd"/>
          </w:p>
        </w:tc>
      </w:tr>
      <w:tr w:rsidR="003E4638" w:rsidRPr="008F6268" w14:paraId="46A46404" w14:textId="77777777" w:rsidTr="008A02F9">
        <w:trPr>
          <w:trHeight w:val="315"/>
        </w:trPr>
        <w:tc>
          <w:tcPr>
            <w:tcW w:w="1237" w:type="dxa"/>
          </w:tcPr>
          <w:p w14:paraId="24790C0A" w14:textId="77777777" w:rsidR="003E4638" w:rsidRPr="008F6268" w:rsidRDefault="003E4638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CFB16D" w14:textId="77777777" w:rsidR="003E4638" w:rsidRPr="008F6268" w:rsidRDefault="001A5880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No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audio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files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may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stored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;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only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short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encrypted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transcription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snippets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may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processed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transiently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4D67B9E" w14:textId="77777777" w:rsidR="003E4638" w:rsidRPr="008F6268" w:rsidRDefault="0032204D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Garso failai negali būti saugomi; leidžiama tik trumpalaikis užšifruotų transkribuotų iškarpų apdorojimas</w:t>
            </w:r>
          </w:p>
        </w:tc>
        <w:tc>
          <w:tcPr>
            <w:tcW w:w="3543" w:type="dxa"/>
          </w:tcPr>
          <w:p w14:paraId="335107C8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E4638" w:rsidRPr="008F6268" w14:paraId="5E428470" w14:textId="77777777" w:rsidTr="008A02F9">
        <w:trPr>
          <w:trHeight w:val="315"/>
        </w:trPr>
        <w:tc>
          <w:tcPr>
            <w:tcW w:w="1237" w:type="dxa"/>
          </w:tcPr>
          <w:p w14:paraId="2B9DB78F" w14:textId="77777777" w:rsidR="003E4638" w:rsidRPr="008F6268" w:rsidRDefault="003E4638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97B513" w14:textId="77777777" w:rsidR="003E4638" w:rsidRPr="008F6268" w:rsidRDefault="00093F05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Supplier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provide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local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language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note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documentation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outputs</w:t>
            </w:r>
            <w:proofErr w:type="spellEnd"/>
          </w:p>
        </w:tc>
        <w:tc>
          <w:tcPr>
            <w:tcW w:w="2410" w:type="dxa"/>
          </w:tcPr>
          <w:p w14:paraId="430A88B9" w14:textId="77777777" w:rsidR="003E4638" w:rsidRPr="008F6268" w:rsidRDefault="00093F05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Tiekėjas privalo užtikrinti dokumentacijos ir pastabų išvedimą į lietuvių kalbą.</w:t>
            </w:r>
          </w:p>
        </w:tc>
        <w:tc>
          <w:tcPr>
            <w:tcW w:w="3543" w:type="dxa"/>
          </w:tcPr>
          <w:p w14:paraId="062BED7D" w14:textId="77777777" w:rsidR="003E4638" w:rsidRPr="008F6268" w:rsidRDefault="003E463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093F05" w:rsidRPr="008F6268" w14:paraId="79AE3033" w14:textId="77777777" w:rsidTr="008A02F9">
        <w:trPr>
          <w:trHeight w:val="315"/>
        </w:trPr>
        <w:tc>
          <w:tcPr>
            <w:tcW w:w="1237" w:type="dxa"/>
          </w:tcPr>
          <w:p w14:paraId="38DFA716" w14:textId="77777777" w:rsidR="00093F05" w:rsidRPr="008F6268" w:rsidRDefault="00093F05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19CE21" w14:textId="77777777" w:rsidR="00093F05" w:rsidRPr="008F6268" w:rsidRDefault="00093F05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Supplier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provide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dedicated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by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clinical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team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during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rollout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at 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procuring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entity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405D1B5" w14:textId="77777777" w:rsidR="00093F05" w:rsidRPr="008F6268" w:rsidRDefault="00093F05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 xml:space="preserve">Tiekėjas privalo teikti specializuotą klinikinės komandos pagalbą </w:t>
            </w: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diegimo metu, perkančiosios organizacijos patalpose.</w:t>
            </w:r>
          </w:p>
        </w:tc>
        <w:tc>
          <w:tcPr>
            <w:tcW w:w="3543" w:type="dxa"/>
          </w:tcPr>
          <w:p w14:paraId="5E4AE132" w14:textId="77777777" w:rsidR="00093F05" w:rsidRPr="008F6268" w:rsidRDefault="00093F05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093F05" w:rsidRPr="008F6268" w14:paraId="0EED522D" w14:textId="77777777" w:rsidTr="008A02F9">
        <w:trPr>
          <w:trHeight w:val="315"/>
        </w:trPr>
        <w:tc>
          <w:tcPr>
            <w:tcW w:w="1237" w:type="dxa"/>
          </w:tcPr>
          <w:p w14:paraId="2A7C0A17" w14:textId="77777777" w:rsidR="00093F05" w:rsidRPr="008F6268" w:rsidRDefault="00093F05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9BEE0B" w14:textId="77777777" w:rsidR="00093F05" w:rsidRPr="008F6268" w:rsidRDefault="009E5831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Supplier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ensure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at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least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three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onboarding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training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sessions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each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lasting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no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less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than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45 minutes.</w:t>
            </w:r>
          </w:p>
        </w:tc>
        <w:tc>
          <w:tcPr>
            <w:tcW w:w="2410" w:type="dxa"/>
          </w:tcPr>
          <w:p w14:paraId="40080618" w14:textId="77777777" w:rsidR="00093F05" w:rsidRPr="008F6268" w:rsidRDefault="009E5831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Tiekėjas privalo užtikrinti ne mažiau kaip tris mokymų sesijas, kurių kiekvienos trukmė būtų ne trumpesnė kaip 45 minutės.</w:t>
            </w:r>
          </w:p>
        </w:tc>
        <w:tc>
          <w:tcPr>
            <w:tcW w:w="3543" w:type="dxa"/>
          </w:tcPr>
          <w:p w14:paraId="0EDEA85B" w14:textId="77777777" w:rsidR="00093F05" w:rsidRPr="008F6268" w:rsidRDefault="00093F05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60C0D625" w14:textId="77777777" w:rsidTr="008A02F9">
        <w:trPr>
          <w:trHeight w:val="315"/>
        </w:trPr>
        <w:tc>
          <w:tcPr>
            <w:tcW w:w="1237" w:type="dxa"/>
          </w:tcPr>
          <w:p w14:paraId="417634C8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D3AB7A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Supplier must provide high quality microphones to each work place. Microphones can be stationary or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clipon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based on individual demand.</w:t>
            </w:r>
          </w:p>
        </w:tc>
        <w:tc>
          <w:tcPr>
            <w:tcW w:w="2410" w:type="dxa"/>
          </w:tcPr>
          <w:p w14:paraId="49666AD2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Tiekėjas privalo pateikti aukštos kokybės mikrofonus į kiekvieną darbo vietą. Mikrofonai gali būti stacionarūs arba prisegami, pagal individualų poreikį.</w:t>
            </w:r>
          </w:p>
        </w:tc>
        <w:tc>
          <w:tcPr>
            <w:tcW w:w="3543" w:type="dxa"/>
          </w:tcPr>
          <w:p w14:paraId="791CCBBC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21512CE9" w14:textId="77777777" w:rsidTr="008A02F9">
        <w:trPr>
          <w:trHeight w:val="315"/>
        </w:trPr>
        <w:tc>
          <w:tcPr>
            <w:tcW w:w="1237" w:type="dxa"/>
            <w:shd w:val="clear" w:color="auto" w:fill="FBE4D5" w:themeFill="accent2" w:themeFillTint="33"/>
          </w:tcPr>
          <w:p w14:paraId="60E4242E" w14:textId="77777777" w:rsidR="00C65029" w:rsidRPr="008F6268" w:rsidRDefault="00C65029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2B4CD147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Functional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</w:tcPr>
          <w:p w14:paraId="3D055F18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Funkciniai reikalavimai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121DEE71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22DBE48A" w14:textId="77777777" w:rsidTr="008A02F9">
        <w:trPr>
          <w:trHeight w:val="315"/>
        </w:trPr>
        <w:tc>
          <w:tcPr>
            <w:tcW w:w="1237" w:type="dxa"/>
          </w:tcPr>
          <w:p w14:paraId="4234A18A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25FC21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shall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automatically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generate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structured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clinical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documentation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with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related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coding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from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patient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–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clinician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conversations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64466563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Sistema automatiškai generuos struktūruotą klinikinę dokumentaciją iš paciento ir gydytojo pokalbių, kartu pateikdama susijusią klinikinio kodavimo pagalbą</w:t>
            </w:r>
          </w:p>
        </w:tc>
        <w:tc>
          <w:tcPr>
            <w:tcW w:w="3543" w:type="dxa"/>
          </w:tcPr>
          <w:p w14:paraId="7BAC7A47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4626BF9E" w14:textId="77777777" w:rsidTr="008A02F9">
        <w:trPr>
          <w:trHeight w:val="315"/>
        </w:trPr>
        <w:tc>
          <w:tcPr>
            <w:tcW w:w="1237" w:type="dxa"/>
          </w:tcPr>
          <w:p w14:paraId="68DB4797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56544E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Draft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notes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editable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by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clinicians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provide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related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local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(Lithuanian) ICD-10 (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medical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),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procedure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billing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codes</w:t>
            </w:r>
            <w:proofErr w:type="spellEnd"/>
          </w:p>
        </w:tc>
        <w:tc>
          <w:tcPr>
            <w:tcW w:w="2410" w:type="dxa"/>
          </w:tcPr>
          <w:p w14:paraId="6DED161D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Paruoštos pastabos turi būti redaguojamos gydytojų ir turėti susijusius Lietuvos Respublikoje galiojančius TLK-10 (medicinos), procedūrų ir apmokėjimo kodus</w:t>
            </w:r>
          </w:p>
        </w:tc>
        <w:tc>
          <w:tcPr>
            <w:tcW w:w="3543" w:type="dxa"/>
          </w:tcPr>
          <w:p w14:paraId="3B765850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65BFD3F2" w14:textId="77777777" w:rsidTr="008A02F9">
        <w:trPr>
          <w:trHeight w:val="315"/>
        </w:trPr>
        <w:tc>
          <w:tcPr>
            <w:tcW w:w="1237" w:type="dxa"/>
          </w:tcPr>
          <w:p w14:paraId="5791DFF9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4A298E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solution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all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major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clinical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specialties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228D4BF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Sprendimas turi palaikyti visas pagrindines klinikines specialybes.</w:t>
            </w:r>
          </w:p>
        </w:tc>
        <w:tc>
          <w:tcPr>
            <w:tcW w:w="3543" w:type="dxa"/>
          </w:tcPr>
          <w:p w14:paraId="33768B03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36307F55" w14:textId="77777777" w:rsidTr="008A02F9">
        <w:trPr>
          <w:trHeight w:val="600"/>
        </w:trPr>
        <w:tc>
          <w:tcPr>
            <w:tcW w:w="1237" w:type="dxa"/>
          </w:tcPr>
          <w:p w14:paraId="0B32CD4C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FAA30B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EHR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place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within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one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month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contract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awarding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84DACF2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Integracija su ligoninės informacine sistema HIS turi būti atlikta tiekėjo per vieną mėnesį nuo sutarties įsigaliojimo</w:t>
            </w:r>
          </w:p>
        </w:tc>
        <w:tc>
          <w:tcPr>
            <w:tcW w:w="3543" w:type="dxa"/>
          </w:tcPr>
          <w:p w14:paraId="66F0927C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2EED7701" w14:textId="77777777" w:rsidTr="008A02F9">
        <w:trPr>
          <w:trHeight w:val="315"/>
        </w:trPr>
        <w:tc>
          <w:tcPr>
            <w:tcW w:w="1237" w:type="dxa"/>
          </w:tcPr>
          <w:p w14:paraId="7D91A303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27A0B3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web-based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interface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with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secure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authentication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incl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smartcards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SSO)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provided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64CE18C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Turi būti suteikta internetinė sąsaja su saugia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autentikacija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(įskaitant lustines korteles arba SSO)</w:t>
            </w:r>
          </w:p>
        </w:tc>
        <w:tc>
          <w:tcPr>
            <w:tcW w:w="3543" w:type="dxa"/>
          </w:tcPr>
          <w:p w14:paraId="6E758EA0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11243960" w14:textId="77777777" w:rsidTr="008A02F9">
        <w:trPr>
          <w:trHeight w:val="600"/>
        </w:trPr>
        <w:tc>
          <w:tcPr>
            <w:tcW w:w="1237" w:type="dxa"/>
          </w:tcPr>
          <w:p w14:paraId="66FB23F9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9FF3A7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solution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include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modules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for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:</w:t>
            </w:r>
          </w:p>
          <w:p w14:paraId="52533298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Medical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Scribe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core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functionality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for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automated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clinical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documentation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during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patient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visits</w:t>
            </w:r>
            <w:proofErr w:type="spellEnd"/>
          </w:p>
          <w:p w14:paraId="5CC8E4C2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Clinical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Adviser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provides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real-time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advice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during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consultations</w:t>
            </w:r>
            <w:proofErr w:type="spellEnd"/>
          </w:p>
          <w:p w14:paraId="21FCC3C4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Coding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Assistant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assists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setting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diagnoses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procedure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codes</w:t>
            </w:r>
            <w:proofErr w:type="spellEnd"/>
          </w:p>
          <w:p w14:paraId="78EEEF25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Secretary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Task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Manager –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manages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administrative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post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-visit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tasks</w:t>
            </w:r>
            <w:proofErr w:type="spellEnd"/>
          </w:p>
          <w:p w14:paraId="01596072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Task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Management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handles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all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follow-up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tasks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after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visit</w:t>
            </w:r>
          </w:p>
          <w:p w14:paraId="5CD5AE95" w14:textId="77777777" w:rsidR="00C65029" w:rsidRPr="008F6268" w:rsidRDefault="00C65029" w:rsidP="008F6268">
            <w:pPr>
              <w:pStyle w:val="p1"/>
              <w:tabs>
                <w:tab w:val="num" w:pos="1112"/>
              </w:tabs>
              <w:spacing w:before="0" w:beforeAutospacing="0" w:after="0" w:afterAutospacing="0"/>
              <w:ind w:left="32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Data Explorer –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enables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exploration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analysis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data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from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all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parts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410" w:type="dxa"/>
          </w:tcPr>
          <w:p w14:paraId="0C977AAD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Sprendimas turi apimti šiuos modulius:</w:t>
            </w:r>
          </w:p>
          <w:p w14:paraId="2A49F70C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• Medicininis raštininkas – pagrindinė funkcija, automatiškai fiksuojanti klinikinę informaciją vizito metu</w:t>
            </w:r>
          </w:p>
          <w:p w14:paraId="729743AD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• Klinikinis patarėjas– teikia realaus laiko patarimus ir pagalbą konsultacijos metu</w:t>
            </w:r>
          </w:p>
          <w:p w14:paraId="300C2628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• Kodavimo asistentas – padeda priskirti diagnozes ir procedūrų kodus</w:t>
            </w:r>
          </w:p>
          <w:p w14:paraId="5D208BFE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• Sekretoriaus užduočių valdymas– tvarko administracines ir po vizito atliekamas užduotis</w:t>
            </w:r>
          </w:p>
          <w:p w14:paraId="44A789B5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• Užduočių valdymas– koordinuoja visas su vizitu susijusias tęstines užduotis</w:t>
            </w:r>
          </w:p>
          <w:p w14:paraId="6A5AB6F3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• Duomenų naršyklė  – leidžia analizuoti ir nagrinėti duomenis iš visų sistemos dalių</w:t>
            </w:r>
          </w:p>
        </w:tc>
        <w:tc>
          <w:tcPr>
            <w:tcW w:w="3543" w:type="dxa"/>
          </w:tcPr>
          <w:p w14:paraId="35296C15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4FF3D1B8" w14:textId="77777777" w:rsidTr="008A02F9">
        <w:trPr>
          <w:trHeight w:val="600"/>
        </w:trPr>
        <w:tc>
          <w:tcPr>
            <w:tcW w:w="1237" w:type="dxa"/>
          </w:tcPr>
          <w:p w14:paraId="35B9BFE3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034128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allow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downstream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creation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multiple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document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types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referral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letters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sick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notes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discharge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summaries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).</w:t>
            </w:r>
          </w:p>
        </w:tc>
        <w:tc>
          <w:tcPr>
            <w:tcW w:w="2410" w:type="dxa"/>
          </w:tcPr>
          <w:p w14:paraId="41E75F44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Sistema turi leisti sukurti įvairius dokumentų tipus (siuntimai, nedarbingumo pažymėjimai,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epikrizės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ir kt.).</w:t>
            </w:r>
          </w:p>
        </w:tc>
        <w:tc>
          <w:tcPr>
            <w:tcW w:w="3543" w:type="dxa"/>
          </w:tcPr>
          <w:p w14:paraId="643E9555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65029" w:rsidRPr="008F6268" w14:paraId="1694DAE3" w14:textId="77777777" w:rsidTr="008A02F9">
        <w:trPr>
          <w:trHeight w:val="600"/>
        </w:trPr>
        <w:tc>
          <w:tcPr>
            <w:tcW w:w="1237" w:type="dxa"/>
          </w:tcPr>
          <w:p w14:paraId="57C152A3" w14:textId="77777777" w:rsidR="00C65029" w:rsidRPr="008F6268" w:rsidRDefault="00C65029" w:rsidP="008F626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8C2C67" w14:textId="77777777" w:rsidR="00C65029" w:rsidRPr="008F6268" w:rsidRDefault="00C6502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Supplier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provide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administration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portal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for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Customer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 to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add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/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remove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users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export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usage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data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etc.</w:t>
            </w:r>
          </w:p>
        </w:tc>
        <w:tc>
          <w:tcPr>
            <w:tcW w:w="2410" w:type="dxa"/>
          </w:tcPr>
          <w:p w14:paraId="5290488E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  <w:highlight w:val="yellow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Tiekėjas privalo pateikti administravimo portalą vartotojų pridėjimui/pašalinimui, duomenų eksportui ir kitoms būtinoms funkcijoms valdyti</w:t>
            </w:r>
          </w:p>
        </w:tc>
        <w:tc>
          <w:tcPr>
            <w:tcW w:w="3543" w:type="dxa"/>
          </w:tcPr>
          <w:p w14:paraId="043C40F6" w14:textId="77777777" w:rsidR="00C65029" w:rsidRPr="008F6268" w:rsidRDefault="00C6502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B1EBD" w:rsidRPr="008F6268" w14:paraId="3ED6F270" w14:textId="77777777" w:rsidTr="008A02F9">
        <w:trPr>
          <w:trHeight w:val="600"/>
        </w:trPr>
        <w:tc>
          <w:tcPr>
            <w:tcW w:w="1237" w:type="dxa"/>
            <w:shd w:val="clear" w:color="auto" w:fill="FBE4D5" w:themeFill="accent2" w:themeFillTint="33"/>
          </w:tcPr>
          <w:p w14:paraId="679DEECF" w14:textId="77777777" w:rsidR="00CB1EBD" w:rsidRPr="008F6268" w:rsidRDefault="00CB1EBD" w:rsidP="008F6268">
            <w:pPr>
              <w:pStyle w:val="ListParagraph"/>
              <w:numPr>
                <w:ilvl w:val="2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1"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30DF6BD1" w14:textId="77777777" w:rsidR="00CB1EBD" w:rsidRPr="008F6268" w:rsidRDefault="00CB1EBD" w:rsidP="008F6268">
            <w:pPr>
              <w:pStyle w:val="p1"/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b/>
                <w:sz w:val="20"/>
                <w:szCs w:val="20"/>
              </w:rPr>
              <w:t>Technical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</w:tcPr>
          <w:p w14:paraId="06380AFE" w14:textId="77777777" w:rsidR="00CB1EBD" w:rsidRPr="008F6268" w:rsidRDefault="00CB1EBD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Techninė įranga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2F0A727D" w14:textId="77777777" w:rsidR="00CB1EBD" w:rsidRPr="008F6268" w:rsidRDefault="00CB1EBD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CB1EBD" w:rsidRPr="008F6268" w14:paraId="44BF30B5" w14:textId="77777777" w:rsidTr="008A02F9">
        <w:trPr>
          <w:trHeight w:val="600"/>
        </w:trPr>
        <w:tc>
          <w:tcPr>
            <w:tcW w:w="1237" w:type="dxa"/>
            <w:shd w:val="clear" w:color="auto" w:fill="auto"/>
          </w:tcPr>
          <w:p w14:paraId="571F8209" w14:textId="77777777" w:rsidR="00CB1EBD" w:rsidRPr="008F6268" w:rsidRDefault="00CB1EBD" w:rsidP="008F6268">
            <w:pPr>
              <w:pStyle w:val="ListParagraph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CC7AD1" w14:textId="77777777" w:rsidR="00CB1EBD" w:rsidRPr="008F6268" w:rsidRDefault="00CB1EBD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b/>
                <w:sz w:val="20"/>
                <w:szCs w:val="20"/>
              </w:rPr>
              <w:t>Microphones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(1000pcs.)</w:t>
            </w:r>
            <w:r w:rsidRPr="008F6268">
              <w:rPr>
                <w:rFonts w:ascii="Cambria" w:eastAsia="Times New Roman" w:hAnsi="Cambria" w:cs="Times New Roman"/>
                <w:b/>
                <w:sz w:val="20"/>
                <w:szCs w:val="20"/>
              </w:rPr>
              <w:br/>
            </w:r>
          </w:p>
          <w:p w14:paraId="3590A52E" w14:textId="77777777" w:rsidR="00CB1EBD" w:rsidRPr="008F6268" w:rsidRDefault="00CB1EBD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Connection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: USB-A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or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USB-C (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plug-and-play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no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drivers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required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);</w:t>
            </w:r>
          </w:p>
          <w:p w14:paraId="091D95EE" w14:textId="77777777" w:rsidR="008A02F9" w:rsidRPr="008F6268" w:rsidRDefault="008A02F9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4F0D7220" w14:textId="77777777" w:rsidR="008A02F9" w:rsidRPr="008F6268" w:rsidRDefault="00CB1EBD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•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Pickup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pattern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: 360°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omnidirectional</w:t>
            </w:r>
            <w:proofErr w:type="spellEnd"/>
            <w:r w:rsidR="008A02F9" w:rsidRPr="008F6268">
              <w:rPr>
                <w:rFonts w:ascii="Cambria" w:eastAsia="Times New Roman" w:hAnsi="Cambria" w:cs="Times New Roman"/>
                <w:sz w:val="20"/>
                <w:szCs w:val="20"/>
              </w:rPr>
              <w:t>;</w:t>
            </w:r>
          </w:p>
          <w:p w14:paraId="51E004F9" w14:textId="77777777" w:rsidR="00CB1EBD" w:rsidRPr="008F6268" w:rsidRDefault="00CB1EBD" w:rsidP="008F6268">
            <w:pPr>
              <w:pStyle w:val="p1"/>
              <w:spacing w:before="0" w:beforeAutospacing="0" w:after="0" w:afterAutospacing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br/>
              <w:t>•</w:t>
            </w:r>
            <w:r w:rsidR="008A02F9"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Effective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microphone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pickup</w:t>
            </w:r>
            <w:proofErr w:type="spellEnd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 range: Up to 3 </w:t>
            </w:r>
            <w:proofErr w:type="spellStart"/>
            <w:r w:rsidRPr="008F6268">
              <w:rPr>
                <w:rFonts w:ascii="Cambria" w:eastAsia="Times New Roman" w:hAnsi="Cambria" w:cs="Times New Roman"/>
                <w:sz w:val="20"/>
                <w:szCs w:val="20"/>
              </w:rPr>
              <w:t>meters</w:t>
            </w:r>
            <w:proofErr w:type="spellEnd"/>
            <w:r w:rsidR="008A02F9" w:rsidRPr="008F6268">
              <w:rPr>
                <w:rFonts w:ascii="Cambria" w:eastAsia="Times New Roman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1A2BAC03" w14:textId="77777777" w:rsidR="00CB1EBD" w:rsidRPr="008F6268" w:rsidRDefault="00CB1EBD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Mikrofonai (1000vnt.)</w:t>
            </w:r>
          </w:p>
          <w:p w14:paraId="1872A39E" w14:textId="77777777" w:rsidR="008A02F9" w:rsidRPr="008F6268" w:rsidRDefault="008A02F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Jungtis: USB-A arba USB-C (prijunk ir naudok, nereikia tvarkyklių);</w:t>
            </w:r>
          </w:p>
          <w:p w14:paraId="00FBA48B" w14:textId="77777777" w:rsidR="008A02F9" w:rsidRPr="008F6268" w:rsidRDefault="008A02F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• Signalo priėmimo kampas: 360°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visakryptis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;</w:t>
            </w:r>
          </w:p>
          <w:p w14:paraId="50E40831" w14:textId="77777777" w:rsidR="008A02F9" w:rsidRPr="008F6268" w:rsidRDefault="008A02F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• Efektyvus mikrofono signalo priėmimo diapazonas: iki 3 metrų.</w:t>
            </w:r>
          </w:p>
        </w:tc>
        <w:tc>
          <w:tcPr>
            <w:tcW w:w="3543" w:type="dxa"/>
            <w:shd w:val="clear" w:color="auto" w:fill="auto"/>
          </w:tcPr>
          <w:p w14:paraId="571B1345" w14:textId="77777777" w:rsidR="00CB1EBD" w:rsidRPr="008F6268" w:rsidRDefault="00CB1EBD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5BC6625" w14:textId="77777777" w:rsidR="008E25CA" w:rsidRPr="008F6268" w:rsidRDefault="008E25CA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b/>
          <w:color w:val="000000"/>
          <w:sz w:val="20"/>
          <w:szCs w:val="20"/>
        </w:rPr>
      </w:pPr>
    </w:p>
    <w:p w14:paraId="57A783D7" w14:textId="77777777" w:rsidR="008E25CA" w:rsidRPr="008F6268" w:rsidRDefault="008E25CA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b/>
          <w:color w:val="000000"/>
          <w:sz w:val="20"/>
          <w:szCs w:val="20"/>
        </w:rPr>
      </w:pPr>
    </w:p>
    <w:p w14:paraId="5079A63F" w14:textId="77777777" w:rsidR="00CB1EBD" w:rsidRPr="008F6268" w:rsidRDefault="00CB1EBD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b/>
          <w:color w:val="000000"/>
          <w:sz w:val="20"/>
          <w:szCs w:val="20"/>
        </w:rPr>
      </w:pPr>
    </w:p>
    <w:p w14:paraId="65EBA23D" w14:textId="77777777" w:rsidR="002522D6" w:rsidRPr="008F6268" w:rsidRDefault="00FF01E9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b/>
          <w:color w:val="000000"/>
          <w:sz w:val="20"/>
          <w:szCs w:val="20"/>
        </w:rPr>
      </w:pPr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Support </w:t>
      </w:r>
      <w:proofErr w:type="spellStart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requirements</w:t>
      </w:r>
      <w:proofErr w:type="spellEnd"/>
      <w:r w:rsidRPr="008F6268">
        <w:rPr>
          <w:rFonts w:ascii="Cambria" w:eastAsia="Times New Roman" w:hAnsi="Cambria" w:cs="Times New Roman"/>
          <w:b/>
          <w:color w:val="000000"/>
          <w:sz w:val="20"/>
          <w:szCs w:val="20"/>
        </w:rPr>
        <w:t>/ Techninio palaikymo reikalavimai</w:t>
      </w:r>
    </w:p>
    <w:p w14:paraId="1BBBF8D2" w14:textId="77777777" w:rsidR="001B560B" w:rsidRPr="008F6268" w:rsidRDefault="001B560B" w:rsidP="008F626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Times New Roman" w:hAnsi="Cambria" w:cs="Times New Roman"/>
          <w:color w:val="000000"/>
          <w:sz w:val="20"/>
          <w:szCs w:val="20"/>
        </w:rPr>
      </w:pPr>
      <w:proofErr w:type="spellStart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Table</w:t>
      </w:r>
      <w:proofErr w:type="spellEnd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No</w:t>
      </w:r>
      <w:proofErr w:type="spellEnd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030850" w:rsidRPr="008F6268">
        <w:rPr>
          <w:rFonts w:ascii="Cambria" w:eastAsia="Times New Roman" w:hAnsi="Cambria" w:cs="Times New Roman"/>
          <w:color w:val="000000"/>
          <w:sz w:val="20"/>
          <w:szCs w:val="20"/>
        </w:rPr>
        <w:t>2</w:t>
      </w:r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/Lentelė </w:t>
      </w:r>
      <w:proofErr w:type="spellStart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>Nr</w:t>
      </w:r>
      <w:proofErr w:type="spellEnd"/>
      <w:r w:rsidRPr="008F626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030850" w:rsidRPr="008F6268">
        <w:rPr>
          <w:rFonts w:ascii="Cambria" w:eastAsia="Times New Roman" w:hAnsi="Cambria" w:cs="Times New Roman"/>
          <w:color w:val="000000"/>
          <w:sz w:val="20"/>
          <w:szCs w:val="20"/>
        </w:rPr>
        <w:t>2</w:t>
      </w:r>
    </w:p>
    <w:tbl>
      <w:tblPr>
        <w:tblStyle w:val="a6"/>
        <w:tblW w:w="99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253"/>
        <w:gridCol w:w="4110"/>
      </w:tblGrid>
      <w:tr w:rsidR="002522D6" w:rsidRPr="008F6268" w14:paraId="2FC82252" w14:textId="77777777" w:rsidTr="001B560B">
        <w:trPr>
          <w:trHeight w:val="153"/>
        </w:trPr>
        <w:tc>
          <w:tcPr>
            <w:tcW w:w="1555" w:type="dxa"/>
            <w:shd w:val="clear" w:color="auto" w:fill="D9E2F3" w:themeFill="accent1" w:themeFillTint="33"/>
          </w:tcPr>
          <w:p w14:paraId="15455108" w14:textId="77777777" w:rsidR="002522D6" w:rsidRPr="008F6268" w:rsidRDefault="002522D6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E2F3" w:themeFill="accent1" w:themeFillTint="33"/>
          </w:tcPr>
          <w:p w14:paraId="1F4250FD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Warranty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4110" w:type="dxa"/>
            <w:shd w:val="clear" w:color="auto" w:fill="D9E2F3" w:themeFill="accent1" w:themeFillTint="33"/>
          </w:tcPr>
          <w:p w14:paraId="4E29AC69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Garantija ir palaikymas</w:t>
            </w:r>
          </w:p>
        </w:tc>
      </w:tr>
      <w:tr w:rsidR="002522D6" w:rsidRPr="008F6268" w14:paraId="5C912B86" w14:textId="77777777">
        <w:trPr>
          <w:trHeight w:val="615"/>
        </w:trPr>
        <w:tc>
          <w:tcPr>
            <w:tcW w:w="1555" w:type="dxa"/>
          </w:tcPr>
          <w:p w14:paraId="2BD96607" w14:textId="77777777" w:rsidR="002522D6" w:rsidRPr="008F6268" w:rsidRDefault="002522D6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E2BE3E6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Warranty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first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hospital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department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begins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using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production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base.</w:t>
            </w:r>
          </w:p>
          <w:p w14:paraId="04D2C1BB" w14:textId="77777777" w:rsidR="00FA75F8" w:rsidRPr="008F6268" w:rsidRDefault="00FA75F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Warranty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period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months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245EC7E0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Garantijos ir palaikymo laikotarpis prasideda nuo tada, kai pirmasis ligoninės padalinys pradeda naudoti sistemą gamybinėje aplinkoje.</w:t>
            </w:r>
            <w:r w:rsidR="00FA75F8"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  <w:p w14:paraId="6326A4E7" w14:textId="77777777" w:rsidR="00FA75F8" w:rsidRPr="008F6268" w:rsidRDefault="00FA75F8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Garantinio palaikymo trukmė 24 mėn.</w:t>
            </w:r>
          </w:p>
        </w:tc>
      </w:tr>
      <w:tr w:rsidR="002522D6" w:rsidRPr="008F6268" w14:paraId="3D811FF0" w14:textId="77777777">
        <w:trPr>
          <w:trHeight w:val="315"/>
        </w:trPr>
        <w:tc>
          <w:tcPr>
            <w:tcW w:w="1555" w:type="dxa"/>
          </w:tcPr>
          <w:p w14:paraId="483FAC50" w14:textId="77777777" w:rsidR="002522D6" w:rsidRPr="008F6268" w:rsidRDefault="002522D6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C263D6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Support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include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ability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register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incidents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issues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get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reaction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based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5x8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policy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. </w:t>
            </w:r>
          </w:p>
          <w:p w14:paraId="357CDC5D" w14:textId="77777777" w:rsidR="002522D6" w:rsidRPr="008F6268" w:rsidRDefault="002522D6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21EAA8A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 xml:space="preserve">Palaikymas turi apimti galimybę registruoti incidentus, problemas ir gauti reakciją bei </w:t>
            </w: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pagalbą pagal 5x8 politiką (penkias darbo dienas per savaitę, 8 val. per dieną).</w:t>
            </w:r>
          </w:p>
        </w:tc>
      </w:tr>
      <w:tr w:rsidR="002522D6" w:rsidRPr="008F6268" w14:paraId="68CCEC0D" w14:textId="77777777">
        <w:trPr>
          <w:trHeight w:val="315"/>
        </w:trPr>
        <w:tc>
          <w:tcPr>
            <w:tcW w:w="1555" w:type="dxa"/>
          </w:tcPr>
          <w:p w14:paraId="1DB30FAF" w14:textId="77777777" w:rsidR="002522D6" w:rsidRPr="008F6268" w:rsidRDefault="002522D6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96D69B6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period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new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software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versions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all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kind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fixes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automatically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757D73B5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Palaikymo laikotarpiu visos naujos programinės įrangos versijos ir bet kokio pobūdžio pataisos turi būti teikiamos automatiškai.</w:t>
            </w:r>
          </w:p>
        </w:tc>
      </w:tr>
      <w:tr w:rsidR="002522D6" w:rsidRPr="008F6268" w14:paraId="37AEF503" w14:textId="77777777">
        <w:trPr>
          <w:trHeight w:val="315"/>
        </w:trPr>
        <w:tc>
          <w:tcPr>
            <w:tcW w:w="1555" w:type="dxa"/>
          </w:tcPr>
          <w:p w14:paraId="18888DF6" w14:textId="77777777" w:rsidR="002522D6" w:rsidRPr="008F6268" w:rsidRDefault="002522D6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9BAC4AC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System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have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help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desk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information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to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register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designated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user’s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requests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1D17DE11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Sistemos tiekėjas privalo turėti pagalbos tarnybos (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Help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Desk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) informacinę sistemą, kurioje būtų registruojami įgaliotų naudotojų prašymai.</w:t>
            </w:r>
          </w:p>
        </w:tc>
      </w:tr>
      <w:tr w:rsidR="002522D6" w:rsidRPr="008F6268" w14:paraId="73B073AE" w14:textId="77777777">
        <w:trPr>
          <w:trHeight w:val="315"/>
        </w:trPr>
        <w:tc>
          <w:tcPr>
            <w:tcW w:w="1555" w:type="dxa"/>
          </w:tcPr>
          <w:p w14:paraId="4DFA4ED4" w14:textId="77777777" w:rsidR="002522D6" w:rsidRPr="008F6268" w:rsidRDefault="002522D6" w:rsidP="008F626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6AEF395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At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least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help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desk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user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accounts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created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period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starts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Additionally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help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desk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address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provided</w:t>
            </w:r>
            <w:proofErr w:type="spellEnd"/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50C3696E" w14:textId="77777777" w:rsidR="002522D6" w:rsidRPr="008F6268" w:rsidRDefault="00FF01E9" w:rsidP="008F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F6268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Prasidėjus palaikymo laikotarpiui, turi būti sukurta ne mažiau kaip 10 pagalbos tarnybos naudotojų paskyrų. Taip pat turi būti pateiktas pagalbos tarnybos el. pašto adresas.</w:t>
            </w:r>
          </w:p>
        </w:tc>
      </w:tr>
    </w:tbl>
    <w:p w14:paraId="5352C86E" w14:textId="77777777" w:rsidR="002522D6" w:rsidRPr="008F6268" w:rsidRDefault="002522D6" w:rsidP="008F6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</w:p>
    <w:sectPr w:rsidR="002522D6" w:rsidRPr="008F6268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93E4E" w14:textId="77777777" w:rsidR="00B57AA9" w:rsidRDefault="00B57AA9" w:rsidP="004C42AE">
      <w:r>
        <w:separator/>
      </w:r>
    </w:p>
  </w:endnote>
  <w:endnote w:type="continuationSeparator" w:id="0">
    <w:p w14:paraId="11EE6FC0" w14:textId="77777777" w:rsidR="00B57AA9" w:rsidRDefault="00B57AA9" w:rsidP="004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ABA70" w14:textId="77777777" w:rsidR="00B57AA9" w:rsidRDefault="00B57AA9" w:rsidP="004C42AE">
      <w:r>
        <w:separator/>
      </w:r>
    </w:p>
  </w:footnote>
  <w:footnote w:type="continuationSeparator" w:id="0">
    <w:p w14:paraId="71FB375E" w14:textId="77777777" w:rsidR="00B57AA9" w:rsidRDefault="00B57AA9" w:rsidP="004C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2BF"/>
    <w:multiLevelType w:val="multilevel"/>
    <w:tmpl w:val="A79A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D1BA6"/>
    <w:multiLevelType w:val="hybridMultilevel"/>
    <w:tmpl w:val="CC6CC9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A5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007193"/>
    <w:multiLevelType w:val="hybridMultilevel"/>
    <w:tmpl w:val="AC8262D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F5557D"/>
    <w:multiLevelType w:val="multilevel"/>
    <w:tmpl w:val="17604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97096"/>
    <w:multiLevelType w:val="multilevel"/>
    <w:tmpl w:val="24C4C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066DE4"/>
    <w:multiLevelType w:val="multilevel"/>
    <w:tmpl w:val="3DDEE62C"/>
    <w:lvl w:ilvl="0">
      <w:start w:val="1"/>
      <w:numFmt w:val="bullet"/>
      <w:lvlText w:val=""/>
      <w:lvlJc w:val="left"/>
      <w:pPr>
        <w:tabs>
          <w:tab w:val="num" w:pos="392"/>
        </w:tabs>
        <w:ind w:left="3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214AA"/>
    <w:multiLevelType w:val="multilevel"/>
    <w:tmpl w:val="FF7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9976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A4CD7"/>
    <w:multiLevelType w:val="hybridMultilevel"/>
    <w:tmpl w:val="504A7D74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33B85A02"/>
    <w:multiLevelType w:val="hybridMultilevel"/>
    <w:tmpl w:val="ECBC9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15445"/>
    <w:multiLevelType w:val="multilevel"/>
    <w:tmpl w:val="64A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25665B"/>
    <w:multiLevelType w:val="hybridMultilevel"/>
    <w:tmpl w:val="0CD8F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31391"/>
    <w:multiLevelType w:val="multilevel"/>
    <w:tmpl w:val="83F01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F23497"/>
    <w:multiLevelType w:val="hybridMultilevel"/>
    <w:tmpl w:val="AA8428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C745C"/>
    <w:multiLevelType w:val="multilevel"/>
    <w:tmpl w:val="76C00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AE84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E616F7"/>
    <w:multiLevelType w:val="multilevel"/>
    <w:tmpl w:val="7E8A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F16CAE"/>
    <w:multiLevelType w:val="multilevel"/>
    <w:tmpl w:val="4AFE8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B8040C1"/>
    <w:multiLevelType w:val="multilevel"/>
    <w:tmpl w:val="EB829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17"/>
  </w:num>
  <w:num w:numId="9">
    <w:abstractNumId w:val="11"/>
  </w:num>
  <w:num w:numId="10">
    <w:abstractNumId w:val="9"/>
  </w:num>
  <w:num w:numId="11">
    <w:abstractNumId w:val="14"/>
  </w:num>
  <w:num w:numId="12">
    <w:abstractNumId w:val="3"/>
  </w:num>
  <w:num w:numId="13">
    <w:abstractNumId w:val="12"/>
  </w:num>
  <w:num w:numId="14">
    <w:abstractNumId w:val="1"/>
  </w:num>
  <w:num w:numId="15">
    <w:abstractNumId w:val="5"/>
  </w:num>
  <w:num w:numId="16">
    <w:abstractNumId w:val="8"/>
  </w:num>
  <w:num w:numId="17">
    <w:abstractNumId w:val="16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D6"/>
    <w:rsid w:val="00030850"/>
    <w:rsid w:val="00093F05"/>
    <w:rsid w:val="00176CDD"/>
    <w:rsid w:val="00195850"/>
    <w:rsid w:val="001A5880"/>
    <w:rsid w:val="001B560B"/>
    <w:rsid w:val="001D787E"/>
    <w:rsid w:val="002522D6"/>
    <w:rsid w:val="00275505"/>
    <w:rsid w:val="00296456"/>
    <w:rsid w:val="002B54C6"/>
    <w:rsid w:val="002D4E7A"/>
    <w:rsid w:val="0032204D"/>
    <w:rsid w:val="003E0F9C"/>
    <w:rsid w:val="003E4638"/>
    <w:rsid w:val="00485347"/>
    <w:rsid w:val="00492350"/>
    <w:rsid w:val="004C42AE"/>
    <w:rsid w:val="004C5E34"/>
    <w:rsid w:val="00587D57"/>
    <w:rsid w:val="005B028E"/>
    <w:rsid w:val="00610244"/>
    <w:rsid w:val="00695026"/>
    <w:rsid w:val="006E1BEA"/>
    <w:rsid w:val="00732C74"/>
    <w:rsid w:val="00771A6F"/>
    <w:rsid w:val="00793FE8"/>
    <w:rsid w:val="008A02F9"/>
    <w:rsid w:val="008B5304"/>
    <w:rsid w:val="008E25CA"/>
    <w:rsid w:val="008F6268"/>
    <w:rsid w:val="00902537"/>
    <w:rsid w:val="00932FB2"/>
    <w:rsid w:val="0097391D"/>
    <w:rsid w:val="009D4662"/>
    <w:rsid w:val="009E5831"/>
    <w:rsid w:val="00A46179"/>
    <w:rsid w:val="00A81CA3"/>
    <w:rsid w:val="00B517F0"/>
    <w:rsid w:val="00B57AA9"/>
    <w:rsid w:val="00B64C18"/>
    <w:rsid w:val="00C65029"/>
    <w:rsid w:val="00CB1EBD"/>
    <w:rsid w:val="00D0294B"/>
    <w:rsid w:val="00D0304A"/>
    <w:rsid w:val="00D80EF2"/>
    <w:rsid w:val="00DD119B"/>
    <w:rsid w:val="00E44C6A"/>
    <w:rsid w:val="00E853DF"/>
    <w:rsid w:val="00E91F6C"/>
    <w:rsid w:val="00EA3C97"/>
    <w:rsid w:val="00EC1329"/>
    <w:rsid w:val="00F30D92"/>
    <w:rsid w:val="00F34C14"/>
    <w:rsid w:val="00FA75F8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18044"/>
  <w15:docId w15:val="{06BC090B-2401-4E9A-ABBB-FF72BCA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2AE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4F4F19"/>
  </w:style>
  <w:style w:type="table" w:customStyle="1" w:styleId="TableNormal1">
    <w:name w:val="TableNormal"/>
    <w:rsid w:val="004F4F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1"/>
    <w:uiPriority w:val="99"/>
    <w:semiHidden/>
    <w:unhideWhenUsed/>
    <w:rsid w:val="00A43E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ED6"/>
    <w:rPr>
      <w:b/>
      <w:bCs/>
    </w:rPr>
  </w:style>
  <w:style w:type="table" w:styleId="TableGrid">
    <w:name w:val="Table Grid"/>
    <w:basedOn w:val="TableNormal"/>
    <w:uiPriority w:val="39"/>
    <w:rsid w:val="00D5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1"/>
    <w:uiPriority w:val="34"/>
    <w:qFormat/>
    <w:rsid w:val="006A5C4B"/>
    <w:pPr>
      <w:ind w:left="720"/>
      <w:contextualSpacing/>
    </w:pPr>
  </w:style>
  <w:style w:type="paragraph" w:styleId="HTMLPreformatted">
    <w:name w:val="HTML Preformatted"/>
    <w:basedOn w:val="Normal1"/>
    <w:link w:val="HTMLPreformattedChar"/>
    <w:uiPriority w:val="99"/>
    <w:semiHidden/>
    <w:unhideWhenUsed/>
    <w:rsid w:val="005E0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046B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5E046B"/>
  </w:style>
  <w:style w:type="table" w:customStyle="1" w:styleId="a">
    <w:basedOn w:val="TableNormal"/>
    <w:rsid w:val="004F4F19"/>
    <w:tblPr>
      <w:tblStyleRowBandSize w:val="1"/>
      <w:tblStyleColBandSize w:val="1"/>
    </w:tblPr>
  </w:style>
  <w:style w:type="table" w:customStyle="1" w:styleId="a0">
    <w:basedOn w:val="TableNormal"/>
    <w:rsid w:val="004F4F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F4F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F4F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2B54C6"/>
  </w:style>
  <w:style w:type="character" w:styleId="CommentReference">
    <w:name w:val="annotation reference"/>
    <w:basedOn w:val="DefaultParagraphFont"/>
    <w:uiPriority w:val="99"/>
    <w:semiHidden/>
    <w:unhideWhenUsed/>
    <w:rsid w:val="002B5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C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42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42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42AE"/>
    <w:rPr>
      <w:vertAlign w:val="superscript"/>
    </w:rPr>
  </w:style>
  <w:style w:type="paragraph" w:customStyle="1" w:styleId="p1">
    <w:name w:val="p1"/>
    <w:basedOn w:val="Normal"/>
    <w:rsid w:val="001A588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mdCXfGpgsklXjG5yESBnjcQ5Q==">CgMxLjAyDmguajNxMHkyNDF0MW1uMg5oLmFiNGI5eHg4eW02MTgAciExTGZPaTNQa1IzSGZxLWhkM2VKMmFRSzRkM3ZyVUxxS3I=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9FA4-8A02-49C6-A3FA-EB8171FF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95834E9-479E-4543-A548-77EBBE9E5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9E9FE-3145-4041-8754-88E02E9AB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1760FC-D45E-4019-BD62-392CEC83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6275</Words>
  <Characters>3578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Leimonas</dc:creator>
  <cp:lastModifiedBy>Deimantė Valavičiūtė</cp:lastModifiedBy>
  <cp:revision>4</cp:revision>
  <cp:lastPrinted>2026-02-18T08:05:00Z</cp:lastPrinted>
  <dcterms:created xsi:type="dcterms:W3CDTF">2026-02-18T08:03:00Z</dcterms:created>
  <dcterms:modified xsi:type="dcterms:W3CDTF">2026-02-18T08:05:00Z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86aef2d9-e075-417f-96dd-49779f5786c6</vt:lpwstr>
  </property>
  <property fmtid="{D5CDD505-2E9C-101B-9397-08002B2CF9AE}" pid="3" name="ContentTypeId">
    <vt:lpwstr>0x010100C67D48B3863A4C44A14B2D98D006F7EA</vt:lpwstr>
  </property>
</Properties>
</file>