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7DA0E" w14:textId="77777777" w:rsidR="00F82C22" w:rsidRPr="00181004" w:rsidRDefault="00F82C22" w:rsidP="00F82C22">
      <w:pPr>
        <w:pStyle w:val="Default"/>
        <w:jc w:val="center"/>
        <w:rPr>
          <w:rStyle w:val="Strong"/>
          <w:sz w:val="22"/>
          <w:szCs w:val="22"/>
          <w:shd w:val="clear" w:color="auto" w:fill="FFFFFF"/>
        </w:rPr>
      </w:pPr>
      <w:r w:rsidRPr="00181004">
        <w:rPr>
          <w:rStyle w:val="Strong"/>
          <w:sz w:val="22"/>
          <w:szCs w:val="22"/>
          <w:shd w:val="clear" w:color="auto" w:fill="FFFFFF"/>
        </w:rPr>
        <w:t>DUOMENŲ SAUGYKL</w:t>
      </w:r>
      <w:r w:rsidR="002A6712" w:rsidRPr="00181004">
        <w:rPr>
          <w:rStyle w:val="Strong"/>
          <w:sz w:val="22"/>
          <w:szCs w:val="22"/>
          <w:shd w:val="clear" w:color="auto" w:fill="FFFFFF"/>
        </w:rPr>
        <w:t>OS</w:t>
      </w:r>
      <w:r w:rsidRPr="00181004">
        <w:rPr>
          <w:rStyle w:val="Strong"/>
          <w:sz w:val="22"/>
          <w:szCs w:val="22"/>
          <w:shd w:val="clear" w:color="auto" w:fill="FFFFFF"/>
        </w:rPr>
        <w:t xml:space="preserve"> </w:t>
      </w:r>
      <w:r w:rsidR="002A6712" w:rsidRPr="00181004">
        <w:rPr>
          <w:rStyle w:val="Strong"/>
          <w:sz w:val="22"/>
          <w:szCs w:val="22"/>
          <w:shd w:val="clear" w:color="auto" w:fill="FFFFFF"/>
        </w:rPr>
        <w:t>IŠ</w:t>
      </w:r>
      <w:r w:rsidR="00925818" w:rsidRPr="00181004">
        <w:rPr>
          <w:rStyle w:val="Strong"/>
          <w:sz w:val="22"/>
          <w:szCs w:val="22"/>
          <w:shd w:val="clear" w:color="auto" w:fill="FFFFFF"/>
        </w:rPr>
        <w:t>PLĖTIMAS</w:t>
      </w:r>
    </w:p>
    <w:p w14:paraId="07D502B0" w14:textId="77777777" w:rsidR="00F82C22" w:rsidRPr="00181004" w:rsidRDefault="00F82C22" w:rsidP="00F82C22">
      <w:pPr>
        <w:jc w:val="center"/>
        <w:rPr>
          <w:rFonts w:ascii="Times New Roman" w:hAnsi="Times New Roman" w:cs="Times New Roman"/>
        </w:rPr>
      </w:pPr>
      <w:r w:rsidRPr="00181004">
        <w:rPr>
          <w:rFonts w:ascii="Times New Roman" w:hAnsi="Times New Roman" w:cs="Times New Roman"/>
          <w:b/>
        </w:rPr>
        <w:t>TECHNINĖ SPECIFIKACIJA</w:t>
      </w:r>
    </w:p>
    <w:p w14:paraId="11D4C4E0" w14:textId="77777777" w:rsidR="00925818" w:rsidRPr="00181004" w:rsidRDefault="00925818" w:rsidP="00925818">
      <w:pPr>
        <w:spacing w:line="254" w:lineRule="auto"/>
        <w:ind w:firstLine="360"/>
        <w:jc w:val="both"/>
        <w:rPr>
          <w:rFonts w:ascii="Times New Roman" w:eastAsia="Calibri" w:hAnsi="Times New Roman" w:cs="Times New Roman"/>
          <w:b/>
          <w:color w:val="000000"/>
          <w:shd w:val="clear" w:color="auto" w:fill="FFFFFF"/>
        </w:rPr>
      </w:pPr>
      <w:r w:rsidRPr="00181004">
        <w:rPr>
          <w:rFonts w:ascii="Times New Roman" w:eastAsia="Calibri" w:hAnsi="Times New Roman" w:cs="Times New Roman"/>
          <w:b/>
          <w:color w:val="000000"/>
          <w:shd w:val="clear" w:color="auto" w:fill="FFFFFF"/>
        </w:rPr>
        <w:t>Pirkimo objektas</w:t>
      </w:r>
    </w:p>
    <w:p w14:paraId="758F6903" w14:textId="77777777" w:rsidR="00181004"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 xml:space="preserve">Lietuvos sveikatos mokslų universiteto ligoninė Kauno klinikos (toliau Kauno klinikos) siekia padidinti duomenų saugyklų talpą, išplečiant duomenų saugyklos diskinę erdvę. </w:t>
      </w:r>
    </w:p>
    <w:p w14:paraId="2A4BEF91" w14:textId="383F759A"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Numatomų įsigyti prekių būtinosios charakteristikos pateikiamos Lentelėje Nr.1.</w:t>
      </w:r>
    </w:p>
    <w:p w14:paraId="3E32578E" w14:textId="77777777" w:rsidR="00925818" w:rsidRPr="00181004" w:rsidRDefault="00925818" w:rsidP="00925818">
      <w:pPr>
        <w:spacing w:line="254" w:lineRule="auto"/>
        <w:ind w:firstLine="360"/>
        <w:jc w:val="both"/>
        <w:rPr>
          <w:rFonts w:ascii="Times New Roman" w:eastAsia="Calibri" w:hAnsi="Times New Roman" w:cs="Times New Roman"/>
          <w:b/>
          <w:color w:val="000000"/>
          <w:shd w:val="clear" w:color="auto" w:fill="FFFFFF"/>
        </w:rPr>
      </w:pPr>
      <w:r w:rsidRPr="00181004">
        <w:rPr>
          <w:rFonts w:ascii="Times New Roman" w:eastAsia="Calibri" w:hAnsi="Times New Roman" w:cs="Times New Roman"/>
          <w:b/>
          <w:color w:val="000000"/>
          <w:shd w:val="clear" w:color="auto" w:fill="FFFFFF"/>
        </w:rPr>
        <w:t>Bendrieji reikalavimai</w:t>
      </w:r>
    </w:p>
    <w:p w14:paraId="2C55C02C" w14:textId="77777777"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 xml:space="preserve">Pateikiama įranga turi atitikti gamintojo šalies standartus, gamintojo techninius standartus, LR TA patvirtintus ir galiojančius standartus, įranga turi būti registruota naudoti Europos sąjungoje – turėti CE sertifikatą. </w:t>
      </w:r>
    </w:p>
    <w:p w14:paraId="70BA2CCD" w14:textId="77777777"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Įranga turi būti nauja, nenaudota, neatnaujinta.</w:t>
      </w:r>
    </w:p>
    <w:p w14:paraId="3155A5FE" w14:textId="77777777" w:rsidR="00CF595F" w:rsidRPr="00181004" w:rsidRDefault="00CF595F" w:rsidP="00925818">
      <w:pPr>
        <w:ind w:firstLine="360"/>
        <w:jc w:val="both"/>
        <w:rPr>
          <w:rFonts w:ascii="Times New Roman" w:hAnsi="Times New Roman" w:cs="Times New Roman"/>
        </w:rPr>
      </w:pPr>
      <w:r w:rsidRPr="00181004">
        <w:rPr>
          <w:rFonts w:ascii="Times New Roman" w:hAnsi="Times New Roman" w:cs="Times New Roman"/>
        </w:rPr>
        <w:t>Tiekėjas privalo pristatyti techninę įrangą nurodytu adresu, nereikalaujant papildomų Užsakovo lėšų.</w:t>
      </w:r>
    </w:p>
    <w:p w14:paraId="3DCDBBF1" w14:textId="77777777" w:rsidR="00CF595F" w:rsidRPr="00181004" w:rsidRDefault="00CF595F" w:rsidP="00925818">
      <w:pPr>
        <w:ind w:firstLine="360"/>
        <w:jc w:val="both"/>
        <w:rPr>
          <w:rFonts w:ascii="Times New Roman" w:hAnsi="Times New Roman" w:cs="Times New Roman"/>
        </w:rPr>
      </w:pPr>
      <w:r w:rsidRPr="00181004">
        <w:rPr>
          <w:rFonts w:ascii="Times New Roman" w:hAnsi="Times New Roman" w:cs="Times New Roman"/>
        </w:rPr>
        <w:t>Tiekėjas privalo užtikrinti, kad pateikta įranga tiks duomenų saugyklai ir jei reiks naujinti programinę įrangą, tiekėjas privalo tai padaryti nereikalaujant papildomų Užsakovo lėšų.</w:t>
      </w:r>
    </w:p>
    <w:p w14:paraId="18AFEF02" w14:textId="77777777" w:rsidR="00CF595F" w:rsidRPr="00181004" w:rsidRDefault="00CF595F" w:rsidP="00925818">
      <w:pPr>
        <w:ind w:firstLine="360"/>
        <w:jc w:val="both"/>
        <w:rPr>
          <w:rFonts w:ascii="Times New Roman" w:hAnsi="Times New Roman" w:cs="Times New Roman"/>
        </w:rPr>
      </w:pPr>
      <w:r w:rsidRPr="00181004">
        <w:rPr>
          <w:rFonts w:ascii="Times New Roman" w:hAnsi="Times New Roman" w:cs="Times New Roman"/>
        </w:rPr>
        <w:t>Gali būti siūloma nurodytų, lygiaverčių arba geresnių techninių parametrų (formatų, protokolų, identifikatorių, technologijų, standartų) įranga. Tiekėjas siūlydamas lygiaverčių parametrų įrangą, turi aiškiai nurodyti, kad siūlo lygiaverčių parametrų įrangą ir pateikti lygiavertiškumo įrodymų.</w:t>
      </w:r>
    </w:p>
    <w:p w14:paraId="3070ED21" w14:textId="77777777"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7745D6D0" w14:textId="7A59F49C"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 xml:space="preserve">Atsakymai „Atitinka“, „Yra“, „Tenkina“ ir pan. arba perkopijuoti reikalavimų formulavimai nebus laikomi pakankamu atitikimo įrodymu ir </w:t>
      </w:r>
      <w:r w:rsidR="00181004" w:rsidRPr="00181004">
        <w:rPr>
          <w:rFonts w:ascii="Times New Roman" w:hAnsi="Times New Roman" w:cs="Times New Roman"/>
        </w:rPr>
        <w:t>taps</w:t>
      </w:r>
      <w:r w:rsidRPr="00181004">
        <w:rPr>
          <w:rFonts w:ascii="Times New Roman" w:hAnsi="Times New Roman" w:cs="Times New Roman"/>
        </w:rPr>
        <w:t xml:space="preserve"> formalia priežastimi pasiūlymą atmesti.</w:t>
      </w:r>
    </w:p>
    <w:p w14:paraId="4D4EE2DF" w14:textId="4263AAA4" w:rsidR="00F82C22" w:rsidRPr="00181004" w:rsidRDefault="00F82C22" w:rsidP="00925818">
      <w:pPr>
        <w:ind w:firstLine="360"/>
        <w:jc w:val="both"/>
        <w:rPr>
          <w:rFonts w:ascii="Times New Roman" w:hAnsi="Times New Roman" w:cs="Times New Roman"/>
        </w:rPr>
      </w:pPr>
      <w:r w:rsidRPr="00181004">
        <w:rPr>
          <w:rFonts w:ascii="Times New Roman" w:hAnsi="Times New Roman" w:cs="Times New Roman"/>
        </w:rPr>
        <w:t>Tiekėjas turi užpildyti stulpelį Siūloma charakteristika, pateikiant aiškiai suformuluotus, atitikimą reikalavimams pagrindžiančius faktus. Kaip pagrindimas gali būti naudojamos interneto nuorodos į viešai prieinamus dokumentus, taip pat nuorodos į papildomai pateiktus dokumentu</w:t>
      </w:r>
      <w:r w:rsidR="00CD4215">
        <w:rPr>
          <w:rFonts w:ascii="Times New Roman" w:hAnsi="Times New Roman" w:cs="Times New Roman"/>
        </w:rPr>
        <w:t>s</w:t>
      </w:r>
      <w:bookmarkStart w:id="0" w:name="_GoBack"/>
      <w:bookmarkEnd w:id="0"/>
      <w:r w:rsidRPr="00181004">
        <w:rPr>
          <w:rFonts w:ascii="Times New Roman" w:hAnsi="Times New Roman" w:cs="Times New Roman"/>
        </w:rPr>
        <w:t xml:space="preserve"> – techninius gamintojo aprašymus, instrukcijas, brošiūras.</w:t>
      </w:r>
    </w:p>
    <w:p w14:paraId="666261D9" w14:textId="77777777" w:rsidR="00CF595F" w:rsidRPr="00181004" w:rsidRDefault="00CF595F" w:rsidP="00925818">
      <w:pPr>
        <w:autoSpaceDE w:val="0"/>
        <w:autoSpaceDN w:val="0"/>
        <w:adjustRightInd w:val="0"/>
        <w:spacing w:after="0" w:line="240" w:lineRule="auto"/>
        <w:ind w:firstLine="360"/>
        <w:jc w:val="both"/>
        <w:rPr>
          <w:rFonts w:ascii="Times New Roman" w:hAnsi="Times New Roman" w:cs="Times New Roman"/>
        </w:rPr>
      </w:pPr>
      <w:r w:rsidRPr="00181004">
        <w:rPr>
          <w:rFonts w:ascii="Times New Roman" w:hAnsi="Times New Roman" w:cs="Times New Roman"/>
        </w:rPr>
        <w:t>Prekių išpirkimo sąlygos – vienkartinis išpirkimas.</w:t>
      </w:r>
    </w:p>
    <w:p w14:paraId="67509DB1" w14:textId="77777777" w:rsidR="00F82C22" w:rsidRPr="00181004" w:rsidRDefault="00F82C22" w:rsidP="00925818">
      <w:pPr>
        <w:autoSpaceDE w:val="0"/>
        <w:autoSpaceDN w:val="0"/>
        <w:adjustRightInd w:val="0"/>
        <w:spacing w:after="0" w:line="240" w:lineRule="auto"/>
        <w:ind w:firstLine="360"/>
        <w:jc w:val="both"/>
        <w:rPr>
          <w:rFonts w:ascii="Times New Roman" w:hAnsi="Times New Roman" w:cs="Times New Roman"/>
        </w:rPr>
      </w:pPr>
      <w:r w:rsidRPr="00181004">
        <w:rPr>
          <w:rFonts w:ascii="Times New Roman" w:hAnsi="Times New Roman" w:cs="Times New Roman"/>
        </w:rPr>
        <w:t>Prekių pristatymo terminas – 60 darbo dienų nuo užsakymo pateikimo dienos.</w:t>
      </w:r>
    </w:p>
    <w:p w14:paraId="1ABE83AB" w14:textId="77777777" w:rsidR="00F82C22" w:rsidRPr="00181004" w:rsidRDefault="00F82C22" w:rsidP="00F82C22">
      <w:pPr>
        <w:rPr>
          <w:rFonts w:ascii="Times New Roman" w:hAnsi="Times New Roman" w:cs="Times New Roman"/>
        </w:rPr>
      </w:pPr>
      <w:r w:rsidRPr="00181004">
        <w:rPr>
          <w:rFonts w:ascii="Times New Roman" w:hAnsi="Times New Roman" w:cs="Times New Roman"/>
        </w:rPr>
        <w:br w:type="page"/>
      </w:r>
    </w:p>
    <w:p w14:paraId="19CDEDF9" w14:textId="77777777" w:rsidR="00F82C22" w:rsidRPr="00181004" w:rsidRDefault="00F82C22" w:rsidP="00F82C22">
      <w:pPr>
        <w:pStyle w:val="ListParagraph"/>
        <w:numPr>
          <w:ilvl w:val="0"/>
          <w:numId w:val="1"/>
        </w:numPr>
        <w:rPr>
          <w:b/>
        </w:rPr>
      </w:pPr>
      <w:r w:rsidRPr="00181004">
        <w:rPr>
          <w:rFonts w:ascii="Times New Roman" w:hAnsi="Times New Roman" w:cs="Times New Roman"/>
          <w:b/>
        </w:rPr>
        <w:lastRenderedPageBreak/>
        <w:t>Duomenų saugyklų diskai (28 vnt.)</w:t>
      </w:r>
    </w:p>
    <w:p w14:paraId="0C2F1B70" w14:textId="77777777" w:rsidR="00F82C22" w:rsidRPr="00181004" w:rsidRDefault="00F82C22" w:rsidP="00F82C22">
      <w:pPr>
        <w:ind w:firstLine="1296"/>
        <w:jc w:val="right"/>
        <w:rPr>
          <w:rFonts w:ascii="Times New Roman" w:hAnsi="Times New Roman" w:cs="Times New Roman"/>
        </w:rPr>
      </w:pPr>
      <w:r w:rsidRPr="00181004">
        <w:rPr>
          <w:rFonts w:ascii="Times New Roman" w:hAnsi="Times New Roman" w:cs="Times New Roman"/>
        </w:rPr>
        <w:t>Lentelė Nr. 1</w:t>
      </w:r>
    </w:p>
    <w:tbl>
      <w:tblPr>
        <w:tblW w:w="4950" w:type="pct"/>
        <w:tblInd w:w="-5"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CellMar>
          <w:top w:w="28" w:type="dxa"/>
          <w:left w:w="28" w:type="dxa"/>
          <w:bottom w:w="28" w:type="dxa"/>
          <w:right w:w="28" w:type="dxa"/>
        </w:tblCellMar>
        <w:tblLook w:val="04A0" w:firstRow="1" w:lastRow="0" w:firstColumn="1" w:lastColumn="0" w:noHBand="0" w:noVBand="1"/>
      </w:tblPr>
      <w:tblGrid>
        <w:gridCol w:w="747"/>
        <w:gridCol w:w="5221"/>
        <w:gridCol w:w="3894"/>
      </w:tblGrid>
      <w:tr w:rsidR="00F82C22" w:rsidRPr="00181004" w14:paraId="003E4371" w14:textId="77777777" w:rsidTr="00F82C22">
        <w:tc>
          <w:tcPr>
            <w:tcW w:w="36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hideMark/>
          </w:tcPr>
          <w:p w14:paraId="063C5116" w14:textId="77777777" w:rsidR="00F82C22" w:rsidRPr="00181004" w:rsidRDefault="00F82C22">
            <w:pPr>
              <w:jc w:val="center"/>
              <w:rPr>
                <w:rFonts w:ascii="Times New Roman" w:hAnsi="Times New Roman" w:cs="Times New Roman"/>
                <w:b/>
              </w:rPr>
            </w:pPr>
            <w:r w:rsidRPr="00181004">
              <w:rPr>
                <w:rFonts w:ascii="Times New Roman" w:hAnsi="Times New Roman" w:cs="Times New Roman"/>
                <w:b/>
              </w:rPr>
              <w:t>Eil. Nr.</w:t>
            </w:r>
          </w:p>
        </w:tc>
        <w:tc>
          <w:tcPr>
            <w:tcW w:w="265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2FF71B6" w14:textId="77777777" w:rsidR="00F82C22" w:rsidRPr="00181004" w:rsidRDefault="00F82C22">
            <w:pPr>
              <w:rPr>
                <w:rFonts w:ascii="Times New Roman" w:hAnsi="Times New Roman" w:cs="Times New Roman"/>
                <w:b/>
              </w:rPr>
            </w:pPr>
            <w:r w:rsidRPr="00181004">
              <w:rPr>
                <w:rFonts w:ascii="Times New Roman" w:hAnsi="Times New Roman" w:cs="Times New Roman"/>
                <w:b/>
              </w:rPr>
              <w:t>Reikalaujama charakteristika</w:t>
            </w:r>
          </w:p>
        </w:tc>
        <w:tc>
          <w:tcPr>
            <w:tcW w:w="198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2CBA4037" w14:textId="77777777" w:rsidR="00F82C22" w:rsidRPr="00181004" w:rsidRDefault="00F82C22">
            <w:pPr>
              <w:rPr>
                <w:rFonts w:ascii="Times New Roman" w:hAnsi="Times New Roman" w:cs="Times New Roman"/>
                <w:b/>
              </w:rPr>
            </w:pPr>
            <w:r w:rsidRPr="00181004">
              <w:rPr>
                <w:rFonts w:ascii="Times New Roman" w:hAnsi="Times New Roman" w:cs="Times New Roman"/>
                <w:b/>
              </w:rPr>
              <w:t>Siūloma charakteristika</w:t>
            </w:r>
          </w:p>
        </w:tc>
      </w:tr>
      <w:tr w:rsidR="00F82C22" w:rsidRPr="00181004" w14:paraId="18BC4FC5" w14:textId="77777777" w:rsidTr="00F82C22">
        <w:tc>
          <w:tcPr>
            <w:tcW w:w="361" w:type="pct"/>
            <w:tcBorders>
              <w:top w:val="single" w:sz="4" w:space="0" w:color="auto"/>
              <w:left w:val="single" w:sz="4" w:space="0" w:color="auto"/>
              <w:bottom w:val="single" w:sz="4" w:space="0" w:color="auto"/>
              <w:right w:val="single" w:sz="4" w:space="0" w:color="auto"/>
            </w:tcBorders>
            <w:noWrap/>
          </w:tcPr>
          <w:p w14:paraId="6FAE0823" w14:textId="77777777" w:rsidR="00F82C22" w:rsidRPr="00181004" w:rsidRDefault="00F82C22" w:rsidP="007545C1">
            <w:pPr>
              <w:pStyle w:val="ListParagraph"/>
              <w:numPr>
                <w:ilvl w:val="0"/>
                <w:numId w:val="2"/>
              </w:numPr>
              <w:spacing w:after="0" w:line="240" w:lineRule="auto"/>
              <w:jc w:val="center"/>
              <w:rPr>
                <w:rFonts w:ascii="Times New Roman" w:hAnsi="Times New Roman" w:cs="Times New Roman"/>
                <w:iCs/>
              </w:rPr>
            </w:pPr>
          </w:p>
        </w:tc>
        <w:tc>
          <w:tcPr>
            <w:tcW w:w="2656" w:type="pct"/>
            <w:tcBorders>
              <w:top w:val="single" w:sz="4" w:space="0" w:color="auto"/>
              <w:left w:val="single" w:sz="4" w:space="0" w:color="auto"/>
              <w:bottom w:val="single" w:sz="4" w:space="0" w:color="auto"/>
              <w:right w:val="single" w:sz="4" w:space="0" w:color="auto"/>
            </w:tcBorders>
            <w:hideMark/>
          </w:tcPr>
          <w:p w14:paraId="027B0880" w14:textId="77777777" w:rsidR="00CF595F" w:rsidRPr="00181004" w:rsidRDefault="00F82C22">
            <w:pPr>
              <w:pStyle w:val="ListParagraph"/>
              <w:spacing w:after="0" w:line="240" w:lineRule="auto"/>
              <w:ind w:left="0"/>
              <w:jc w:val="both"/>
              <w:rPr>
                <w:rFonts w:ascii="Times New Roman" w:hAnsi="Times New Roman" w:cs="Times New Roman"/>
                <w:iCs/>
              </w:rPr>
            </w:pPr>
            <w:r w:rsidRPr="00181004">
              <w:rPr>
                <w:rFonts w:ascii="Times New Roman" w:hAnsi="Times New Roman" w:cs="Times New Roman"/>
                <w:iCs/>
              </w:rPr>
              <w:t>Kietasis diskas privalo būti komplektuojamas gamintojo ir pažymėtas gamintojo gamykliniais kodais.</w:t>
            </w:r>
          </w:p>
          <w:p w14:paraId="4501DA03" w14:textId="0C1942E3" w:rsidR="00F82C22" w:rsidRPr="00181004" w:rsidRDefault="00F82C22">
            <w:pPr>
              <w:pStyle w:val="ListParagraph"/>
              <w:spacing w:after="0" w:line="240" w:lineRule="auto"/>
              <w:ind w:left="0"/>
              <w:jc w:val="both"/>
              <w:rPr>
                <w:rFonts w:ascii="Times New Roman" w:hAnsi="Times New Roman" w:cs="Times New Roman"/>
                <w:iCs/>
              </w:rPr>
            </w:pPr>
            <w:r w:rsidRPr="00181004">
              <w:rPr>
                <w:rFonts w:ascii="Times New Roman" w:hAnsi="Times New Roman" w:cs="Times New Roman"/>
                <w:iCs/>
              </w:rPr>
              <w:t>Nurodyti siūlom</w:t>
            </w:r>
            <w:r w:rsidR="00CF595F" w:rsidRPr="00181004">
              <w:rPr>
                <w:rFonts w:ascii="Times New Roman" w:hAnsi="Times New Roman" w:cs="Times New Roman"/>
                <w:iCs/>
              </w:rPr>
              <w:t>ą</w:t>
            </w:r>
            <w:r w:rsidRPr="00181004">
              <w:rPr>
                <w:rFonts w:ascii="Times New Roman" w:hAnsi="Times New Roman" w:cs="Times New Roman"/>
                <w:iCs/>
              </w:rPr>
              <w:t xml:space="preserve"> įrangos gamintoją, modelį, įrangos kodą (gamintojo kodą)</w:t>
            </w:r>
            <w:r w:rsidR="00181004">
              <w:rPr>
                <w:rFonts w:ascii="Times New Roman" w:hAnsi="Times New Roman" w:cs="Times New Roman"/>
                <w:iCs/>
              </w:rPr>
              <w:t xml:space="preserve"> (jei yra)</w:t>
            </w:r>
            <w:r w:rsidRPr="00181004">
              <w:rPr>
                <w:rFonts w:ascii="Times New Roman" w:hAnsi="Times New Roman" w:cs="Times New Roman"/>
                <w:iCs/>
              </w:rPr>
              <w:t>.</w:t>
            </w:r>
          </w:p>
        </w:tc>
        <w:tc>
          <w:tcPr>
            <w:tcW w:w="1983" w:type="pct"/>
            <w:tcBorders>
              <w:top w:val="single" w:sz="4" w:space="0" w:color="auto"/>
              <w:left w:val="single" w:sz="4" w:space="0" w:color="auto"/>
              <w:bottom w:val="single" w:sz="4" w:space="0" w:color="auto"/>
              <w:right w:val="single" w:sz="4" w:space="0" w:color="auto"/>
            </w:tcBorders>
            <w:noWrap/>
          </w:tcPr>
          <w:p w14:paraId="731571D1" w14:textId="77777777" w:rsidR="00F82C22" w:rsidRPr="00181004" w:rsidRDefault="00F82C22">
            <w:pPr>
              <w:pStyle w:val="ListParagraph"/>
              <w:spacing w:after="0" w:line="240" w:lineRule="auto"/>
              <w:ind w:left="0"/>
              <w:rPr>
                <w:rFonts w:ascii="Times New Roman" w:hAnsi="Times New Roman" w:cs="Times New Roman"/>
                <w:iCs/>
              </w:rPr>
            </w:pPr>
          </w:p>
        </w:tc>
      </w:tr>
      <w:tr w:rsidR="00F82C22" w:rsidRPr="00181004" w14:paraId="60D06966" w14:textId="77777777" w:rsidTr="00F82C22">
        <w:tc>
          <w:tcPr>
            <w:tcW w:w="361" w:type="pct"/>
            <w:tcBorders>
              <w:top w:val="single" w:sz="4" w:space="0" w:color="auto"/>
              <w:left w:val="single" w:sz="4" w:space="0" w:color="auto"/>
              <w:bottom w:val="single" w:sz="4" w:space="0" w:color="auto"/>
              <w:right w:val="single" w:sz="4" w:space="0" w:color="auto"/>
            </w:tcBorders>
            <w:noWrap/>
          </w:tcPr>
          <w:p w14:paraId="0B4D0153" w14:textId="77777777" w:rsidR="00F82C22" w:rsidRPr="00181004" w:rsidRDefault="00F82C22" w:rsidP="007545C1">
            <w:pPr>
              <w:pStyle w:val="ListParagraph"/>
              <w:numPr>
                <w:ilvl w:val="0"/>
                <w:numId w:val="2"/>
              </w:numPr>
              <w:spacing w:after="0" w:line="240" w:lineRule="auto"/>
              <w:jc w:val="center"/>
              <w:rPr>
                <w:rFonts w:ascii="Times New Roman" w:hAnsi="Times New Roman" w:cs="Times New Roman"/>
                <w:iCs/>
              </w:rPr>
            </w:pPr>
          </w:p>
        </w:tc>
        <w:tc>
          <w:tcPr>
            <w:tcW w:w="2656" w:type="pct"/>
            <w:tcBorders>
              <w:top w:val="single" w:sz="4" w:space="0" w:color="auto"/>
              <w:left w:val="single" w:sz="4" w:space="0" w:color="auto"/>
              <w:bottom w:val="single" w:sz="4" w:space="0" w:color="auto"/>
              <w:right w:val="single" w:sz="4" w:space="0" w:color="auto"/>
            </w:tcBorders>
          </w:tcPr>
          <w:p w14:paraId="24388EF1" w14:textId="77777777" w:rsidR="00F82C22" w:rsidRPr="00181004" w:rsidRDefault="00F82C22" w:rsidP="00CF595F">
            <w:pPr>
              <w:spacing w:after="0" w:line="240" w:lineRule="auto"/>
              <w:jc w:val="both"/>
              <w:rPr>
                <w:rFonts w:ascii="Times New Roman" w:hAnsi="Times New Roman" w:cs="Times New Roman"/>
                <w:iCs/>
              </w:rPr>
            </w:pPr>
            <w:r w:rsidRPr="00181004">
              <w:rPr>
                <w:rFonts w:ascii="Times New Roman" w:hAnsi="Times New Roman" w:cs="Times New Roman"/>
                <w:iCs/>
              </w:rPr>
              <w:t xml:space="preserve">Diskai turi veikti saugyklose Dell </w:t>
            </w:r>
            <w:proofErr w:type="spellStart"/>
            <w:r w:rsidR="00CF595F" w:rsidRPr="00181004">
              <w:rPr>
                <w:rFonts w:ascii="Times New Roman" w:hAnsi="Times New Roman" w:cs="Times New Roman"/>
                <w:iCs/>
              </w:rPr>
              <w:t>PowerVault</w:t>
            </w:r>
            <w:proofErr w:type="spellEnd"/>
            <w:r w:rsidR="00CF595F" w:rsidRPr="00181004">
              <w:rPr>
                <w:rFonts w:ascii="Times New Roman" w:hAnsi="Times New Roman" w:cs="Times New Roman"/>
                <w:iCs/>
              </w:rPr>
              <w:t xml:space="preserve"> </w:t>
            </w:r>
            <w:r w:rsidRPr="00181004">
              <w:rPr>
                <w:rFonts w:ascii="Times New Roman" w:hAnsi="Times New Roman" w:cs="Times New Roman"/>
                <w:iCs/>
              </w:rPr>
              <w:t>ME5084 (</w:t>
            </w:r>
            <w:proofErr w:type="spellStart"/>
            <w:r w:rsidRPr="00181004">
              <w:rPr>
                <w:rFonts w:ascii="Times New Roman" w:hAnsi="Times New Roman" w:cs="Times New Roman"/>
                <w:iCs/>
              </w:rPr>
              <w:t>Service</w:t>
            </w:r>
            <w:proofErr w:type="spellEnd"/>
            <w:r w:rsidRPr="00181004">
              <w:rPr>
                <w:rFonts w:ascii="Times New Roman" w:hAnsi="Times New Roman" w:cs="Times New Roman"/>
                <w:iCs/>
              </w:rPr>
              <w:t xml:space="preserve"> Tag:5WTVT74</w:t>
            </w:r>
            <w:r w:rsidR="00CF595F" w:rsidRPr="00181004">
              <w:rPr>
                <w:rFonts w:ascii="Times New Roman" w:hAnsi="Times New Roman" w:cs="Times New Roman"/>
                <w:iCs/>
              </w:rPr>
              <w:t xml:space="preserve">; </w:t>
            </w:r>
            <w:r w:rsidRPr="00181004">
              <w:rPr>
                <w:rFonts w:ascii="Times New Roman" w:hAnsi="Times New Roman" w:cs="Times New Roman"/>
                <w:iCs/>
              </w:rPr>
              <w:t>8YTVT74).</w:t>
            </w:r>
          </w:p>
        </w:tc>
        <w:tc>
          <w:tcPr>
            <w:tcW w:w="1983" w:type="pct"/>
            <w:tcBorders>
              <w:top w:val="single" w:sz="4" w:space="0" w:color="auto"/>
              <w:left w:val="single" w:sz="4" w:space="0" w:color="auto"/>
              <w:bottom w:val="single" w:sz="4" w:space="0" w:color="auto"/>
              <w:right w:val="single" w:sz="4" w:space="0" w:color="auto"/>
            </w:tcBorders>
            <w:noWrap/>
          </w:tcPr>
          <w:p w14:paraId="28D07976" w14:textId="77777777" w:rsidR="00F82C22" w:rsidRPr="00181004" w:rsidRDefault="00F82C22">
            <w:pPr>
              <w:pStyle w:val="ListParagraph"/>
              <w:spacing w:after="0" w:line="240" w:lineRule="auto"/>
              <w:ind w:left="0"/>
              <w:rPr>
                <w:rFonts w:ascii="Times New Roman" w:hAnsi="Times New Roman" w:cs="Times New Roman"/>
                <w:iCs/>
              </w:rPr>
            </w:pPr>
          </w:p>
        </w:tc>
      </w:tr>
      <w:tr w:rsidR="00F82C22" w:rsidRPr="00181004" w14:paraId="11FAC579" w14:textId="77777777" w:rsidTr="00F82C22">
        <w:tc>
          <w:tcPr>
            <w:tcW w:w="361" w:type="pct"/>
            <w:tcBorders>
              <w:top w:val="single" w:sz="4" w:space="0" w:color="auto"/>
              <w:left w:val="single" w:sz="4" w:space="0" w:color="auto"/>
              <w:bottom w:val="single" w:sz="4" w:space="0" w:color="auto"/>
              <w:right w:val="single" w:sz="4" w:space="0" w:color="auto"/>
            </w:tcBorders>
            <w:noWrap/>
          </w:tcPr>
          <w:p w14:paraId="36685D79" w14:textId="77777777" w:rsidR="00F82C22" w:rsidRPr="00181004" w:rsidRDefault="00F82C22" w:rsidP="007545C1">
            <w:pPr>
              <w:pStyle w:val="ListParagraph"/>
              <w:numPr>
                <w:ilvl w:val="0"/>
                <w:numId w:val="2"/>
              </w:numPr>
              <w:spacing w:after="0" w:line="240" w:lineRule="auto"/>
              <w:jc w:val="center"/>
              <w:rPr>
                <w:rFonts w:ascii="Times New Roman" w:hAnsi="Times New Roman" w:cs="Times New Roman"/>
                <w:iCs/>
              </w:rPr>
            </w:pPr>
          </w:p>
        </w:tc>
        <w:tc>
          <w:tcPr>
            <w:tcW w:w="2656" w:type="pct"/>
            <w:tcBorders>
              <w:top w:val="single" w:sz="4" w:space="0" w:color="auto"/>
              <w:left w:val="single" w:sz="4" w:space="0" w:color="auto"/>
              <w:bottom w:val="single" w:sz="4" w:space="0" w:color="auto"/>
              <w:right w:val="single" w:sz="4" w:space="0" w:color="auto"/>
            </w:tcBorders>
            <w:hideMark/>
          </w:tcPr>
          <w:p w14:paraId="5CD6C89E" w14:textId="77777777" w:rsidR="00F82C22" w:rsidRPr="00181004" w:rsidRDefault="00F82C22">
            <w:pPr>
              <w:pStyle w:val="ListParagraph"/>
              <w:spacing w:after="0" w:line="240" w:lineRule="auto"/>
              <w:ind w:left="0"/>
              <w:jc w:val="both"/>
              <w:rPr>
                <w:rFonts w:ascii="Times New Roman" w:hAnsi="Times New Roman" w:cs="Times New Roman"/>
                <w:iCs/>
              </w:rPr>
            </w:pPr>
            <w:r w:rsidRPr="00181004">
              <w:rPr>
                <w:rFonts w:ascii="Times New Roman" w:hAnsi="Times New Roman" w:cs="Times New Roman"/>
                <w:iCs/>
              </w:rPr>
              <w:t>Nuoroda į gamintojo portalą, kuriame aprašytos siūlomo įrenginio techninės charakteristikos.</w:t>
            </w:r>
          </w:p>
        </w:tc>
        <w:tc>
          <w:tcPr>
            <w:tcW w:w="1983" w:type="pct"/>
            <w:tcBorders>
              <w:top w:val="single" w:sz="4" w:space="0" w:color="auto"/>
              <w:left w:val="single" w:sz="4" w:space="0" w:color="auto"/>
              <w:bottom w:val="single" w:sz="4" w:space="0" w:color="auto"/>
              <w:right w:val="single" w:sz="4" w:space="0" w:color="auto"/>
            </w:tcBorders>
            <w:noWrap/>
          </w:tcPr>
          <w:p w14:paraId="36DB3130" w14:textId="77777777" w:rsidR="00F82C22" w:rsidRPr="00181004" w:rsidRDefault="00F82C22">
            <w:pPr>
              <w:rPr>
                <w:rFonts w:ascii="Times New Roman" w:hAnsi="Times New Roman" w:cs="Times New Roman"/>
                <w:iCs/>
              </w:rPr>
            </w:pPr>
          </w:p>
        </w:tc>
      </w:tr>
      <w:tr w:rsidR="00F82C22" w:rsidRPr="00181004" w14:paraId="155A5C9B" w14:textId="77777777" w:rsidTr="00F82C22">
        <w:tc>
          <w:tcPr>
            <w:tcW w:w="361" w:type="pct"/>
            <w:tcBorders>
              <w:top w:val="single" w:sz="4" w:space="0" w:color="auto"/>
              <w:left w:val="single" w:sz="4" w:space="0" w:color="auto"/>
              <w:bottom w:val="single" w:sz="4" w:space="0" w:color="auto"/>
              <w:right w:val="single" w:sz="4" w:space="0" w:color="auto"/>
            </w:tcBorders>
            <w:noWrap/>
          </w:tcPr>
          <w:p w14:paraId="5C766DED" w14:textId="77777777" w:rsidR="00F82C22" w:rsidRPr="00181004" w:rsidRDefault="00F82C22" w:rsidP="007545C1">
            <w:pPr>
              <w:pStyle w:val="ListParagraph"/>
              <w:numPr>
                <w:ilvl w:val="0"/>
                <w:numId w:val="2"/>
              </w:numPr>
              <w:spacing w:after="0" w:line="240" w:lineRule="auto"/>
              <w:jc w:val="center"/>
              <w:rPr>
                <w:rFonts w:ascii="Times New Roman" w:hAnsi="Times New Roman" w:cs="Times New Roman"/>
                <w:iCs/>
              </w:rPr>
            </w:pPr>
          </w:p>
        </w:tc>
        <w:tc>
          <w:tcPr>
            <w:tcW w:w="2656" w:type="pct"/>
            <w:tcBorders>
              <w:top w:val="single" w:sz="4" w:space="0" w:color="auto"/>
              <w:left w:val="single" w:sz="4" w:space="0" w:color="auto"/>
              <w:bottom w:val="single" w:sz="4" w:space="0" w:color="auto"/>
              <w:right w:val="single" w:sz="4" w:space="0" w:color="auto"/>
            </w:tcBorders>
            <w:hideMark/>
          </w:tcPr>
          <w:p w14:paraId="4663F510" w14:textId="77777777" w:rsidR="00CF595F" w:rsidRPr="00181004" w:rsidRDefault="00F82C22" w:rsidP="00CF595F">
            <w:pPr>
              <w:pStyle w:val="Heading2"/>
              <w:jc w:val="both"/>
              <w:rPr>
                <w:rFonts w:eastAsiaTheme="minorHAnsi"/>
                <w:b w:val="0"/>
                <w:bCs w:val="0"/>
                <w:iCs/>
                <w:sz w:val="22"/>
                <w:szCs w:val="22"/>
                <w:lang w:eastAsia="en-US"/>
              </w:rPr>
            </w:pPr>
            <w:r w:rsidRPr="00181004">
              <w:rPr>
                <w:rFonts w:eastAsiaTheme="minorHAnsi"/>
                <w:b w:val="0"/>
                <w:bCs w:val="0"/>
                <w:iCs/>
                <w:sz w:val="22"/>
                <w:szCs w:val="22"/>
                <w:lang w:eastAsia="en-US"/>
              </w:rPr>
              <w:t>Disko parametrai:</w:t>
            </w:r>
          </w:p>
          <w:p w14:paraId="03BD4A19" w14:textId="5875E8B6" w:rsidR="00CF595F" w:rsidRPr="00181004" w:rsidRDefault="00181004" w:rsidP="00CF595F">
            <w:pPr>
              <w:pStyle w:val="Heading2"/>
              <w:numPr>
                <w:ilvl w:val="0"/>
                <w:numId w:val="4"/>
              </w:numPr>
              <w:jc w:val="both"/>
              <w:rPr>
                <w:rFonts w:eastAsiaTheme="minorHAnsi"/>
                <w:b w:val="0"/>
                <w:bCs w:val="0"/>
                <w:iCs/>
                <w:sz w:val="22"/>
                <w:szCs w:val="22"/>
                <w:lang w:eastAsia="en-US"/>
              </w:rPr>
            </w:pPr>
            <w:proofErr w:type="spellStart"/>
            <w:r>
              <w:rPr>
                <w:rFonts w:eastAsiaTheme="minorHAnsi"/>
                <w:b w:val="0"/>
                <w:bCs w:val="0"/>
                <w:iCs/>
                <w:sz w:val="22"/>
                <w:szCs w:val="22"/>
                <w:lang w:eastAsia="en-US"/>
              </w:rPr>
              <w:t>Talapa</w:t>
            </w:r>
            <w:proofErr w:type="spellEnd"/>
            <w:r>
              <w:rPr>
                <w:rFonts w:eastAsiaTheme="minorHAnsi"/>
                <w:b w:val="0"/>
                <w:bCs w:val="0"/>
                <w:iCs/>
                <w:sz w:val="22"/>
                <w:szCs w:val="22"/>
                <w:lang w:eastAsia="en-US"/>
              </w:rPr>
              <w:t xml:space="preserve"> - </w:t>
            </w:r>
            <w:r w:rsidR="00CF595F" w:rsidRPr="00181004">
              <w:rPr>
                <w:rFonts w:eastAsiaTheme="minorHAnsi"/>
                <w:b w:val="0"/>
                <w:bCs w:val="0"/>
                <w:iCs/>
                <w:sz w:val="22"/>
                <w:szCs w:val="22"/>
                <w:lang w:eastAsia="en-US"/>
              </w:rPr>
              <w:t>Ne mažiau 20TB;</w:t>
            </w:r>
          </w:p>
          <w:p w14:paraId="0FD0480C" w14:textId="571FAEB4" w:rsidR="00CF595F" w:rsidRPr="00181004" w:rsidRDefault="00181004" w:rsidP="00CF595F">
            <w:pPr>
              <w:pStyle w:val="Heading2"/>
              <w:numPr>
                <w:ilvl w:val="0"/>
                <w:numId w:val="4"/>
              </w:numPr>
              <w:jc w:val="both"/>
              <w:rPr>
                <w:rFonts w:eastAsiaTheme="minorHAnsi"/>
                <w:b w:val="0"/>
                <w:bCs w:val="0"/>
                <w:iCs/>
                <w:sz w:val="22"/>
                <w:szCs w:val="22"/>
                <w:lang w:eastAsia="en-US"/>
              </w:rPr>
            </w:pPr>
            <w:r>
              <w:rPr>
                <w:rFonts w:eastAsiaTheme="minorHAnsi"/>
                <w:b w:val="0"/>
                <w:bCs w:val="0"/>
                <w:iCs/>
                <w:sz w:val="22"/>
                <w:szCs w:val="22"/>
                <w:lang w:eastAsia="en-US"/>
              </w:rPr>
              <w:t xml:space="preserve">Tipas – Ne mažiau </w:t>
            </w:r>
            <w:r w:rsidR="00CF595F" w:rsidRPr="00181004">
              <w:rPr>
                <w:rFonts w:eastAsiaTheme="minorHAnsi"/>
                <w:b w:val="0"/>
                <w:bCs w:val="0"/>
                <w:iCs/>
                <w:sz w:val="22"/>
                <w:szCs w:val="22"/>
                <w:lang w:eastAsia="en-US"/>
              </w:rPr>
              <w:t>SAS ISE 12Gbps;</w:t>
            </w:r>
          </w:p>
          <w:p w14:paraId="4468B938" w14:textId="563EE2C9" w:rsidR="00CF595F" w:rsidRPr="00181004" w:rsidRDefault="00181004" w:rsidP="00CF595F">
            <w:pPr>
              <w:pStyle w:val="Heading2"/>
              <w:numPr>
                <w:ilvl w:val="0"/>
                <w:numId w:val="4"/>
              </w:numPr>
              <w:jc w:val="both"/>
              <w:rPr>
                <w:rFonts w:eastAsiaTheme="minorHAnsi"/>
                <w:b w:val="0"/>
                <w:bCs w:val="0"/>
                <w:iCs/>
                <w:sz w:val="22"/>
                <w:szCs w:val="22"/>
                <w:lang w:eastAsia="en-US"/>
              </w:rPr>
            </w:pPr>
            <w:r>
              <w:rPr>
                <w:rFonts w:eastAsiaTheme="minorHAnsi"/>
                <w:b w:val="0"/>
                <w:bCs w:val="0"/>
                <w:iCs/>
                <w:sz w:val="22"/>
                <w:szCs w:val="22"/>
                <w:lang w:eastAsia="en-US"/>
              </w:rPr>
              <w:t xml:space="preserve">Sparta - </w:t>
            </w:r>
            <w:r w:rsidR="00CF595F" w:rsidRPr="00181004">
              <w:rPr>
                <w:rFonts w:eastAsiaTheme="minorHAnsi"/>
                <w:b w:val="0"/>
                <w:bCs w:val="0"/>
                <w:iCs/>
                <w:sz w:val="22"/>
                <w:szCs w:val="22"/>
                <w:lang w:eastAsia="en-US"/>
              </w:rPr>
              <w:t>Ne mažiau 7200 RPM;</w:t>
            </w:r>
          </w:p>
          <w:p w14:paraId="0096706A" w14:textId="531E01F0" w:rsidR="00CF595F" w:rsidRPr="00181004" w:rsidRDefault="00181004" w:rsidP="00CF595F">
            <w:pPr>
              <w:pStyle w:val="Heading2"/>
              <w:numPr>
                <w:ilvl w:val="0"/>
                <w:numId w:val="4"/>
              </w:numPr>
              <w:jc w:val="both"/>
              <w:rPr>
                <w:rFonts w:eastAsiaTheme="minorHAnsi"/>
                <w:b w:val="0"/>
                <w:bCs w:val="0"/>
                <w:iCs/>
                <w:sz w:val="22"/>
                <w:szCs w:val="22"/>
                <w:lang w:eastAsia="en-US"/>
              </w:rPr>
            </w:pPr>
            <w:proofErr w:type="spellStart"/>
            <w:r>
              <w:rPr>
                <w:rFonts w:eastAsiaTheme="minorHAnsi"/>
                <w:b w:val="0"/>
                <w:bCs w:val="0"/>
                <w:iCs/>
                <w:sz w:val="22"/>
                <w:szCs w:val="22"/>
                <w:lang w:eastAsia="en-US"/>
              </w:rPr>
              <w:t>Emuliacija</w:t>
            </w:r>
            <w:proofErr w:type="spellEnd"/>
            <w:r>
              <w:rPr>
                <w:rFonts w:eastAsiaTheme="minorHAnsi"/>
                <w:b w:val="0"/>
                <w:bCs w:val="0"/>
                <w:iCs/>
                <w:sz w:val="22"/>
                <w:szCs w:val="22"/>
                <w:lang w:eastAsia="en-US"/>
              </w:rPr>
              <w:t xml:space="preserve"> –</w:t>
            </w:r>
            <w:r w:rsidR="00CF595F" w:rsidRPr="00181004">
              <w:rPr>
                <w:rFonts w:eastAsiaTheme="minorHAnsi"/>
                <w:b w:val="0"/>
                <w:bCs w:val="0"/>
                <w:iCs/>
                <w:sz w:val="22"/>
                <w:szCs w:val="22"/>
                <w:lang w:eastAsia="en-US"/>
              </w:rPr>
              <w:t xml:space="preserve"> </w:t>
            </w:r>
            <w:r>
              <w:rPr>
                <w:rFonts w:eastAsiaTheme="minorHAnsi"/>
                <w:b w:val="0"/>
                <w:bCs w:val="0"/>
                <w:iCs/>
                <w:sz w:val="22"/>
                <w:szCs w:val="22"/>
                <w:lang w:eastAsia="en-US"/>
              </w:rPr>
              <w:t xml:space="preserve">Ne žemiau </w:t>
            </w:r>
            <w:r w:rsidR="00CF595F" w:rsidRPr="00181004">
              <w:rPr>
                <w:rFonts w:eastAsiaTheme="minorHAnsi"/>
                <w:b w:val="0"/>
                <w:bCs w:val="0"/>
                <w:iCs/>
                <w:sz w:val="22"/>
                <w:szCs w:val="22"/>
                <w:lang w:eastAsia="en-US"/>
              </w:rPr>
              <w:t>512e;</w:t>
            </w:r>
          </w:p>
          <w:p w14:paraId="26634888" w14:textId="779E18CC" w:rsidR="00CF595F" w:rsidRPr="00181004" w:rsidRDefault="00181004" w:rsidP="00711E93">
            <w:pPr>
              <w:pStyle w:val="Heading2"/>
              <w:numPr>
                <w:ilvl w:val="0"/>
                <w:numId w:val="4"/>
              </w:numPr>
              <w:spacing w:line="256" w:lineRule="auto"/>
              <w:jc w:val="both"/>
              <w:rPr>
                <w:rFonts w:eastAsiaTheme="minorHAnsi"/>
                <w:b w:val="0"/>
                <w:bCs w:val="0"/>
                <w:iCs/>
                <w:sz w:val="22"/>
                <w:szCs w:val="22"/>
                <w:lang w:eastAsia="en-US"/>
              </w:rPr>
            </w:pPr>
            <w:r>
              <w:rPr>
                <w:rFonts w:eastAsiaTheme="minorHAnsi"/>
                <w:b w:val="0"/>
                <w:bCs w:val="0"/>
                <w:iCs/>
                <w:sz w:val="22"/>
                <w:szCs w:val="22"/>
                <w:lang w:eastAsia="en-US"/>
              </w:rPr>
              <w:t xml:space="preserve">Dydis - </w:t>
            </w:r>
            <w:r w:rsidR="00F82C22" w:rsidRPr="00181004">
              <w:rPr>
                <w:rFonts w:eastAsiaTheme="minorHAnsi"/>
                <w:b w:val="0"/>
                <w:bCs w:val="0"/>
                <w:iCs/>
                <w:sz w:val="22"/>
                <w:szCs w:val="22"/>
                <w:lang w:eastAsia="en-US"/>
              </w:rPr>
              <w:t>3.5-</w:t>
            </w:r>
            <w:r>
              <w:rPr>
                <w:rFonts w:eastAsiaTheme="minorHAnsi"/>
                <w:b w:val="0"/>
                <w:bCs w:val="0"/>
                <w:iCs/>
                <w:sz w:val="22"/>
                <w:szCs w:val="22"/>
                <w:lang w:eastAsia="en-US"/>
              </w:rPr>
              <w:t xml:space="preserve">colio (angl. </w:t>
            </w:r>
            <w:proofErr w:type="spellStart"/>
            <w:r w:rsidRPr="00181004">
              <w:rPr>
                <w:rFonts w:eastAsiaTheme="minorHAnsi"/>
                <w:b w:val="0"/>
                <w:bCs w:val="0"/>
                <w:i/>
                <w:iCs/>
                <w:sz w:val="22"/>
                <w:szCs w:val="22"/>
                <w:lang w:eastAsia="en-US"/>
              </w:rPr>
              <w:t>inch</w:t>
            </w:r>
            <w:proofErr w:type="spellEnd"/>
            <w:r w:rsidR="00F82C22" w:rsidRPr="00181004">
              <w:rPr>
                <w:rFonts w:eastAsiaTheme="minorHAnsi"/>
                <w:b w:val="0"/>
                <w:bCs w:val="0"/>
                <w:i/>
                <w:iCs/>
                <w:sz w:val="22"/>
                <w:szCs w:val="22"/>
                <w:lang w:eastAsia="en-US"/>
              </w:rPr>
              <w:t xml:space="preserve"> </w:t>
            </w:r>
            <w:proofErr w:type="spellStart"/>
            <w:r w:rsidR="00F82C22" w:rsidRPr="00181004">
              <w:rPr>
                <w:rFonts w:eastAsiaTheme="minorHAnsi"/>
                <w:b w:val="0"/>
                <w:bCs w:val="0"/>
                <w:i/>
                <w:iCs/>
                <w:sz w:val="22"/>
                <w:szCs w:val="22"/>
                <w:lang w:eastAsia="en-US"/>
              </w:rPr>
              <w:t>large</w:t>
            </w:r>
            <w:proofErr w:type="spellEnd"/>
            <w:r w:rsidR="00F82C22" w:rsidRPr="00181004">
              <w:rPr>
                <w:rFonts w:eastAsiaTheme="minorHAnsi"/>
                <w:b w:val="0"/>
                <w:bCs w:val="0"/>
                <w:i/>
                <w:iCs/>
                <w:sz w:val="22"/>
                <w:szCs w:val="22"/>
                <w:lang w:eastAsia="en-US"/>
              </w:rPr>
              <w:t xml:space="preserve"> </w:t>
            </w:r>
            <w:proofErr w:type="spellStart"/>
            <w:r w:rsidR="00F82C22" w:rsidRPr="00181004">
              <w:rPr>
                <w:rFonts w:eastAsiaTheme="minorHAnsi"/>
                <w:b w:val="0"/>
                <w:bCs w:val="0"/>
                <w:i/>
                <w:iCs/>
                <w:sz w:val="22"/>
                <w:szCs w:val="22"/>
                <w:lang w:eastAsia="en-US"/>
              </w:rPr>
              <w:t>form</w:t>
            </w:r>
            <w:proofErr w:type="spellEnd"/>
            <w:r w:rsidR="00F82C22" w:rsidRPr="00181004">
              <w:rPr>
                <w:rFonts w:eastAsiaTheme="minorHAnsi"/>
                <w:b w:val="0"/>
                <w:bCs w:val="0"/>
                <w:i/>
                <w:iCs/>
                <w:sz w:val="22"/>
                <w:szCs w:val="22"/>
                <w:lang w:eastAsia="en-US"/>
              </w:rPr>
              <w:t xml:space="preserve"> </w:t>
            </w:r>
            <w:proofErr w:type="spellStart"/>
            <w:r w:rsidR="00F82C22" w:rsidRPr="00181004">
              <w:rPr>
                <w:rFonts w:eastAsiaTheme="minorHAnsi"/>
                <w:b w:val="0"/>
                <w:bCs w:val="0"/>
                <w:i/>
                <w:iCs/>
                <w:sz w:val="22"/>
                <w:szCs w:val="22"/>
                <w:lang w:eastAsia="en-US"/>
              </w:rPr>
              <w:t>factor</w:t>
            </w:r>
            <w:proofErr w:type="spellEnd"/>
            <w:r>
              <w:rPr>
                <w:rFonts w:eastAsiaTheme="minorHAnsi"/>
                <w:b w:val="0"/>
                <w:bCs w:val="0"/>
                <w:iCs/>
                <w:sz w:val="22"/>
                <w:szCs w:val="22"/>
                <w:lang w:eastAsia="en-US"/>
              </w:rPr>
              <w:t>)</w:t>
            </w:r>
            <w:r w:rsidR="00CF595F" w:rsidRPr="00181004">
              <w:rPr>
                <w:rFonts w:eastAsiaTheme="minorHAnsi"/>
                <w:b w:val="0"/>
                <w:bCs w:val="0"/>
                <w:iCs/>
                <w:sz w:val="22"/>
                <w:szCs w:val="22"/>
                <w:lang w:eastAsia="en-US"/>
              </w:rPr>
              <w:t>;</w:t>
            </w:r>
          </w:p>
          <w:p w14:paraId="49E261D3" w14:textId="65DAC1DB" w:rsidR="00F82C22" w:rsidRPr="00181004" w:rsidRDefault="00181004" w:rsidP="00CF595F">
            <w:pPr>
              <w:pStyle w:val="Heading2"/>
              <w:numPr>
                <w:ilvl w:val="0"/>
                <w:numId w:val="4"/>
              </w:numPr>
              <w:spacing w:line="256" w:lineRule="auto"/>
              <w:jc w:val="both"/>
              <w:rPr>
                <w:rFonts w:eastAsiaTheme="minorHAnsi"/>
                <w:b w:val="0"/>
                <w:bCs w:val="0"/>
                <w:iCs/>
                <w:sz w:val="22"/>
                <w:szCs w:val="22"/>
                <w:lang w:eastAsia="en-US"/>
              </w:rPr>
            </w:pPr>
            <w:r>
              <w:rPr>
                <w:rFonts w:eastAsiaTheme="minorHAnsi"/>
                <w:b w:val="0"/>
                <w:bCs w:val="0"/>
                <w:iCs/>
                <w:sz w:val="22"/>
                <w:szCs w:val="22"/>
                <w:lang w:eastAsia="en-US"/>
              </w:rPr>
              <w:t>Perjungimo tipas – įrenginio keitimas veikiant (</w:t>
            </w:r>
            <w:r w:rsidRPr="00181004">
              <w:rPr>
                <w:rFonts w:eastAsiaTheme="minorHAnsi"/>
                <w:b w:val="0"/>
                <w:bCs w:val="0"/>
                <w:i/>
                <w:iCs/>
                <w:sz w:val="22"/>
                <w:szCs w:val="22"/>
                <w:lang w:eastAsia="en-US"/>
              </w:rPr>
              <w:t xml:space="preserve">angl. </w:t>
            </w:r>
            <w:proofErr w:type="spellStart"/>
            <w:r w:rsidR="00CF595F" w:rsidRPr="00181004">
              <w:rPr>
                <w:rFonts w:eastAsiaTheme="minorHAnsi"/>
                <w:b w:val="0"/>
                <w:bCs w:val="0"/>
                <w:i/>
                <w:iCs/>
                <w:sz w:val="22"/>
                <w:szCs w:val="22"/>
                <w:lang w:eastAsia="en-US"/>
              </w:rPr>
              <w:t>Hot-Plug</w:t>
            </w:r>
            <w:proofErr w:type="spellEnd"/>
            <w:r>
              <w:rPr>
                <w:rFonts w:eastAsiaTheme="minorHAnsi"/>
                <w:b w:val="0"/>
                <w:bCs w:val="0"/>
                <w:iCs/>
                <w:sz w:val="22"/>
                <w:szCs w:val="22"/>
                <w:lang w:eastAsia="en-US"/>
              </w:rPr>
              <w:t>)</w:t>
            </w:r>
            <w:r w:rsidR="00CF595F" w:rsidRPr="00181004">
              <w:rPr>
                <w:rFonts w:eastAsiaTheme="minorHAnsi"/>
                <w:b w:val="0"/>
                <w:bCs w:val="0"/>
                <w:iCs/>
                <w:sz w:val="22"/>
                <w:szCs w:val="22"/>
                <w:lang w:eastAsia="en-US"/>
              </w:rPr>
              <w:t>.</w:t>
            </w:r>
          </w:p>
        </w:tc>
        <w:tc>
          <w:tcPr>
            <w:tcW w:w="1983" w:type="pct"/>
            <w:tcBorders>
              <w:top w:val="single" w:sz="4" w:space="0" w:color="auto"/>
              <w:left w:val="single" w:sz="4" w:space="0" w:color="auto"/>
              <w:bottom w:val="single" w:sz="4" w:space="0" w:color="auto"/>
              <w:right w:val="single" w:sz="4" w:space="0" w:color="auto"/>
            </w:tcBorders>
            <w:noWrap/>
          </w:tcPr>
          <w:p w14:paraId="0CCFA785" w14:textId="77777777" w:rsidR="00F82C22" w:rsidRPr="00181004" w:rsidRDefault="00F82C22">
            <w:pPr>
              <w:rPr>
                <w:rFonts w:ascii="Times New Roman" w:hAnsi="Times New Roman" w:cs="Times New Roman"/>
                <w:iCs/>
              </w:rPr>
            </w:pPr>
          </w:p>
        </w:tc>
      </w:tr>
    </w:tbl>
    <w:p w14:paraId="469F5E21" w14:textId="77777777" w:rsidR="00F82C22" w:rsidRPr="00181004" w:rsidRDefault="00F82C22" w:rsidP="00F82C22"/>
    <w:sectPr w:rsidR="00F82C22" w:rsidRPr="00181004" w:rsidSect="0057673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F4042"/>
    <w:multiLevelType w:val="hybridMultilevel"/>
    <w:tmpl w:val="EEA00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EF7D1B"/>
    <w:multiLevelType w:val="hybridMultilevel"/>
    <w:tmpl w:val="C064430A"/>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CCB4111"/>
    <w:multiLevelType w:val="hybridMultilevel"/>
    <w:tmpl w:val="B6960ED4"/>
    <w:lvl w:ilvl="0" w:tplc="FC223F6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22"/>
    <w:rsid w:val="00181004"/>
    <w:rsid w:val="002A6712"/>
    <w:rsid w:val="003F0027"/>
    <w:rsid w:val="00514A1A"/>
    <w:rsid w:val="0057673C"/>
    <w:rsid w:val="00925818"/>
    <w:rsid w:val="00CD4215"/>
    <w:rsid w:val="00CF595F"/>
    <w:rsid w:val="00EA5425"/>
    <w:rsid w:val="00F82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8A4D"/>
  <w15:chartTrackingRefBased/>
  <w15:docId w15:val="{36809FDF-EECA-4F84-8FB3-19666B7D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C22"/>
    <w:pPr>
      <w:spacing w:line="256" w:lineRule="auto"/>
    </w:pPr>
  </w:style>
  <w:style w:type="paragraph" w:styleId="Heading2">
    <w:name w:val="heading 2"/>
    <w:basedOn w:val="Normal"/>
    <w:link w:val="Heading2Char"/>
    <w:uiPriority w:val="9"/>
    <w:semiHidden/>
    <w:unhideWhenUsed/>
    <w:qFormat/>
    <w:rsid w:val="00F82C2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2C22"/>
    <w:rPr>
      <w:rFonts w:ascii="Times New Roman" w:eastAsia="Times New Roman" w:hAnsi="Times New Roman" w:cs="Times New Roman"/>
      <w:b/>
      <w:bCs/>
      <w:sz w:val="36"/>
      <w:szCs w:val="36"/>
      <w:lang w:eastAsia="lt-LT"/>
    </w:rPr>
  </w:style>
  <w:style w:type="paragraph" w:styleId="NoSpacing">
    <w:name w:val="No Spacing"/>
    <w:uiPriority w:val="1"/>
    <w:qFormat/>
    <w:rsid w:val="00F82C22"/>
    <w:pPr>
      <w:spacing w:after="0" w:line="240" w:lineRule="auto"/>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F82C22"/>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F82C22"/>
    <w:pPr>
      <w:ind w:left="720"/>
      <w:contextualSpacing/>
    </w:pPr>
  </w:style>
  <w:style w:type="paragraph" w:customStyle="1" w:styleId="Default">
    <w:name w:val="Default"/>
    <w:rsid w:val="00F82C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99"/>
    <w:rsid w:val="00F82C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2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847272">
      <w:bodyDiv w:val="1"/>
      <w:marLeft w:val="0"/>
      <w:marRight w:val="0"/>
      <w:marTop w:val="0"/>
      <w:marBottom w:val="0"/>
      <w:divBdr>
        <w:top w:val="none" w:sz="0" w:space="0" w:color="auto"/>
        <w:left w:val="none" w:sz="0" w:space="0" w:color="auto"/>
        <w:bottom w:val="none" w:sz="0" w:space="0" w:color="auto"/>
        <w:right w:val="none" w:sz="0" w:space="0" w:color="auto"/>
      </w:divBdr>
    </w:div>
    <w:div w:id="1049958159">
      <w:bodyDiv w:val="1"/>
      <w:marLeft w:val="0"/>
      <w:marRight w:val="0"/>
      <w:marTop w:val="0"/>
      <w:marBottom w:val="0"/>
      <w:divBdr>
        <w:top w:val="none" w:sz="0" w:space="0" w:color="auto"/>
        <w:left w:val="none" w:sz="0" w:space="0" w:color="auto"/>
        <w:bottom w:val="none" w:sz="0" w:space="0" w:color="auto"/>
        <w:right w:val="none" w:sz="0" w:space="0" w:color="auto"/>
      </w:divBdr>
    </w:div>
    <w:div w:id="1166938906">
      <w:bodyDiv w:val="1"/>
      <w:marLeft w:val="0"/>
      <w:marRight w:val="0"/>
      <w:marTop w:val="0"/>
      <w:marBottom w:val="0"/>
      <w:divBdr>
        <w:top w:val="none" w:sz="0" w:space="0" w:color="auto"/>
        <w:left w:val="none" w:sz="0" w:space="0" w:color="auto"/>
        <w:bottom w:val="none" w:sz="0" w:space="0" w:color="auto"/>
        <w:right w:val="none" w:sz="0" w:space="0" w:color="auto"/>
      </w:divBdr>
    </w:div>
    <w:div w:id="1209105491">
      <w:bodyDiv w:val="1"/>
      <w:marLeft w:val="0"/>
      <w:marRight w:val="0"/>
      <w:marTop w:val="0"/>
      <w:marBottom w:val="0"/>
      <w:divBdr>
        <w:top w:val="none" w:sz="0" w:space="0" w:color="auto"/>
        <w:left w:val="none" w:sz="0" w:space="0" w:color="auto"/>
        <w:bottom w:val="none" w:sz="0" w:space="0" w:color="auto"/>
        <w:right w:val="none" w:sz="0" w:space="0" w:color="auto"/>
      </w:divBdr>
    </w:div>
    <w:div w:id="1292980092">
      <w:bodyDiv w:val="1"/>
      <w:marLeft w:val="0"/>
      <w:marRight w:val="0"/>
      <w:marTop w:val="0"/>
      <w:marBottom w:val="0"/>
      <w:divBdr>
        <w:top w:val="none" w:sz="0" w:space="0" w:color="auto"/>
        <w:left w:val="none" w:sz="0" w:space="0" w:color="auto"/>
        <w:bottom w:val="none" w:sz="0" w:space="0" w:color="auto"/>
        <w:right w:val="none" w:sz="0" w:space="0" w:color="auto"/>
      </w:divBdr>
    </w:div>
    <w:div w:id="1323197773">
      <w:bodyDiv w:val="1"/>
      <w:marLeft w:val="0"/>
      <w:marRight w:val="0"/>
      <w:marTop w:val="0"/>
      <w:marBottom w:val="0"/>
      <w:divBdr>
        <w:top w:val="none" w:sz="0" w:space="0" w:color="auto"/>
        <w:left w:val="none" w:sz="0" w:space="0" w:color="auto"/>
        <w:bottom w:val="none" w:sz="0" w:space="0" w:color="auto"/>
        <w:right w:val="none" w:sz="0" w:space="0" w:color="auto"/>
      </w:divBdr>
    </w:div>
    <w:div w:id="21225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37A9B-B032-4610-B15D-D90078E8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B9B895-DF6D-435A-A487-04614B33C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F2328-77E5-416F-BD55-29644E45F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1796</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Simanavičius</dc:creator>
  <cp:keywords/>
  <dc:description/>
  <cp:lastModifiedBy>Deimantė Valavičiūtė</cp:lastModifiedBy>
  <cp:revision>3</cp:revision>
  <dcterms:created xsi:type="dcterms:W3CDTF">2026-02-19T11:23:00Z</dcterms:created>
  <dcterms:modified xsi:type="dcterms:W3CDTF">2026-02-19T11:30:00Z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