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B6B369C" w14:textId="77777777" w:rsidR="00FA3F0A" w:rsidRDefault="00FA3F0A" w:rsidP="003D3B1D">
                <w:pPr>
                  <w:rPr>
                    <w:rFonts w:ascii="Calibri" w:eastAsia="Times New Roman" w:hAnsi="Calibri" w:cs="Calibri"/>
                    <w:b/>
                    <w:color w:val="000000" w:themeColor="text1"/>
                    <w:spacing w:val="-8"/>
                    <w:lang w:val="en-GB"/>
                  </w:rPr>
                </w:pPr>
                <w:r w:rsidRPr="00FA3F0A">
                  <w:rPr>
                    <w:rFonts w:ascii="Calibri" w:eastAsia="Times New Roman" w:hAnsi="Calibri" w:cs="Calibri"/>
                    <w:b/>
                    <w:color w:val="000000" w:themeColor="text1"/>
                    <w:spacing w:val="-8"/>
                    <w:lang w:val="en-GB"/>
                  </w:rPr>
                  <w:t xml:space="preserve">Procurement of minibuses for the implementation of the project “Comprehensive Support Initiative for Ukrainian Children” </w:t>
                </w:r>
              </w:p>
              <w:p w14:paraId="67794F7E" w14:textId="05A52438"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04504292" w:rsidR="00BF013D" w:rsidRPr="001C0D43" w:rsidRDefault="00C32BB2" w:rsidP="002A7A49">
                <w:pPr>
                  <w:rPr>
                    <w:rFonts w:ascii="Calibri" w:eastAsia="Times New Roman" w:hAnsi="Calibri" w:cs="Calibri"/>
                    <w:color w:val="000000" w:themeColor="text1"/>
                    <w:spacing w:val="-8"/>
                    <w:lang w:val="en-GB"/>
                  </w:rPr>
                </w:pPr>
                <w:r w:rsidRPr="00C32BB2">
                  <w:rPr>
                    <w:rFonts w:ascii="Calibri" w:eastAsia="Times New Roman" w:hAnsi="Calibri" w:cs="Calibri"/>
                    <w:color w:val="000000" w:themeColor="text1"/>
                    <w:spacing w:val="-8"/>
                    <w:lang w:val="en-GB"/>
                  </w:rPr>
                  <w:t>The goods are financed from direct funding resources of the Lithuanian Development Cooperation and Humanitarian Aid Fund, in accordance with the decision of the Government of the Republic of Lithuania meeting protocol No. 3 dated 28 January 2026 and the resolution of the Council of the Development Cooperation and Humanitarian Aid Fund of 17 December 2025 (protocol No. 35).</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19099EF1" w:rsidR="002A7A49" w:rsidRPr="002059A4" w:rsidRDefault="00E36121" w:rsidP="00A36B0F">
                <w:pPr>
                  <w:rPr>
                    <w:rFonts w:ascii="Calibri" w:eastAsia="Times New Roman" w:hAnsi="Calibri" w:cs="Calibri"/>
                    <w:color w:val="000000" w:themeColor="text1"/>
                    <w:spacing w:val="-8"/>
                    <w:lang w:val="en-GB"/>
                  </w:rPr>
                </w:pPr>
                <w:r w:rsidRPr="002059A4">
                  <w:rPr>
                    <w:rFonts w:ascii="Calibri" w:eastAsia="Times New Roman" w:hAnsi="Calibri" w:cs="Calibri"/>
                    <w:color w:val="000000" w:themeColor="text1"/>
                    <w:spacing w:val="-8"/>
                    <w:lang w:val="en-GB"/>
                  </w:rPr>
                  <w:t>Charitable Organization "Olena Zelenska Foundation"</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7F3CC769"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vAlign w:val="center"/>
              </w:tcPr>
              <w:p w14:paraId="3E06E408" w14:textId="77777777" w:rsidR="00E36121" w:rsidRDefault="00E36121" w:rsidP="00E36121">
                <w:pPr>
                  <w:numPr>
                    <w:ilvl w:val="0"/>
                    <w:numId w:val="30"/>
                  </w:numPr>
                  <w:tabs>
                    <w:tab w:val="left" w:pos="262"/>
                  </w:tabs>
                  <w:ind w:left="0" w:hanging="9"/>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2966E5C4" w:rsidR="00B32B37" w:rsidRPr="001C0D43" w:rsidRDefault="00E36121" w:rsidP="00E36121">
                <w:pPr>
                  <w:pStyle w:val="ListParagraph"/>
                  <w:numPr>
                    <w:ilvl w:val="0"/>
                    <w:numId w:val="30"/>
                  </w:numPr>
                  <w:tabs>
                    <w:tab w:val="left" w:pos="262"/>
                  </w:tabs>
                  <w:ind w:left="0" w:hanging="9"/>
                  <w:rPr>
                    <w:rFonts w:ascii="Calibri" w:eastAsia="Times New Roman" w:hAnsi="Calibri" w:cs="Calibri"/>
                    <w:color w:val="000000" w:themeColor="text1"/>
                    <w:spacing w:val="-8"/>
                    <w:lang w:val="en-GB"/>
                  </w:rPr>
                </w:pPr>
                <w:r w:rsidRPr="00095435">
                  <w:rPr>
                    <w:rFonts w:eastAsia="Times New Roman" w:cstheme="minorHAnsi"/>
                    <w:color w:val="000000" w:themeColor="text1"/>
                    <w:spacing w:val="-8"/>
                    <w:lang w:val="en-GB"/>
                  </w:rPr>
                  <w:t xml:space="preserve">on the subject-matter and technical specifications – </w:t>
                </w:r>
                <w:r w:rsidRPr="00095435">
                  <w:rPr>
                    <w:rFonts w:eastAsia="Times New Roman" w:cstheme="minorHAnsi"/>
                    <w:color w:val="000000" w:themeColor="text1"/>
                    <w:spacing w:val="-8"/>
                  </w:rPr>
                  <w:t>Rytis Misiūnas</w:t>
                </w:r>
                <w:r w:rsidRPr="00095435">
                  <w:rPr>
                    <w:rFonts w:eastAsia="Times New Roman" w:cstheme="minorHAnsi"/>
                    <w:color w:val="000000" w:themeColor="text1"/>
                    <w:spacing w:val="-8"/>
                    <w:lang w:val="en-GB"/>
                  </w:rPr>
                  <w:t>, Project Manager, Ukraine and Peace Investment Unit, tel. +</w:t>
                </w:r>
                <w:r w:rsidRPr="00095435">
                  <w:rPr>
                    <w:rFonts w:eastAsia="Times New Roman" w:cstheme="minorHAnsi"/>
                    <w:color w:val="000000" w:themeColor="text1"/>
                    <w:spacing w:val="-8"/>
                  </w:rPr>
                  <w:t>37063627847</w:t>
                </w:r>
                <w:r w:rsidRPr="00095435">
                  <w:rPr>
                    <w:rFonts w:eastAsia="Times New Roman" w:cstheme="minorHAnsi"/>
                    <w:color w:val="000000" w:themeColor="text1"/>
                    <w:spacing w:val="-8"/>
                    <w:lang w:val="en-GB"/>
                  </w:rPr>
                  <w:t xml:space="preserve">, email </w:t>
                </w:r>
                <w:r w:rsidRPr="00095435">
                  <w:rPr>
                    <w:rFonts w:eastAsia="Times New Roman" w:cstheme="minorHAnsi"/>
                    <w:color w:val="000000" w:themeColor="text1"/>
                    <w:spacing w:val="-8"/>
                  </w:rPr>
                  <w:t>r.misiunas@cpva.lt</w:t>
                </w:r>
                <w:r w:rsidRPr="00095435">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6D677940" w14:textId="77777777" w:rsidR="00E36121" w:rsidRPr="00E36121" w:rsidRDefault="00E36121" w:rsidP="00E36121">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 xml:space="preserve">The CPO Centralized Procurement Catalogue does not offer the goods to be purchased under this </w:t>
                </w:r>
                <w:proofErr w:type="gramStart"/>
                <w:r w:rsidRPr="00E36121">
                  <w:rPr>
                    <w:rFonts w:eastAsia="Times New Roman" w:cstheme="minorHAnsi"/>
                    <w:color w:val="000000" w:themeColor="text1"/>
                    <w:spacing w:val="-8"/>
                    <w:lang w:val="en-GB"/>
                  </w:rPr>
                  <w:t>Procurement;</w:t>
                </w:r>
                <w:proofErr w:type="gramEnd"/>
                <w:r w:rsidRPr="00E36121">
                  <w:rPr>
                    <w:rFonts w:eastAsia="Times New Roman" w:cstheme="minorHAnsi"/>
                    <w:color w:val="000000" w:themeColor="text1"/>
                    <w:spacing w:val="-8"/>
                    <w:lang w:val="en-GB"/>
                  </w:rPr>
                  <w:t xml:space="preserve"> </w:t>
                </w:r>
              </w:p>
              <w:p w14:paraId="35A372FA" w14:textId="77777777" w:rsidR="00E36121" w:rsidRPr="00E36121" w:rsidRDefault="00E36121" w:rsidP="00E36121">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5A7EBBDB" w:rsidR="00967031" w:rsidRPr="00E36121" w:rsidRDefault="00E36121" w:rsidP="00E36121">
                <w:pPr>
                  <w:numPr>
                    <w:ilvl w:val="0"/>
                    <w:numId w:val="33"/>
                  </w:numPr>
                  <w:ind w:left="121" w:hanging="185"/>
                  <w:rPr>
                    <w:rFonts w:eastAsia="Times New Roman" w:cstheme="minorHAnsi"/>
                    <w:color w:val="000000" w:themeColor="text1"/>
                    <w:spacing w:val="-8"/>
                    <w:lang w:val="lt-LT"/>
                  </w:rPr>
                </w:pPr>
                <w:r w:rsidRPr="00E36121">
                  <w:rPr>
                    <w:rFonts w:eastAsia="Times New Roman" w:cstheme="minorHAnsi"/>
                    <w:color w:val="000000" w:themeColor="text1"/>
                    <w:spacing w:val="-8"/>
                    <w:lang w:val="en-GB"/>
                  </w:rPr>
                  <w:t xml:space="preserve">The standard main contractual conditions which have been drawn up and are applicable to the normal legal relations between the participants in a public procurement when the contract is concluded between the contracting authority and the supplier </w:t>
                </w:r>
                <w:r w:rsidRPr="00E36121">
                  <w:rPr>
                    <w:rFonts w:eastAsia="Times New Roman" w:cstheme="minorHAnsi"/>
                    <w:color w:val="000000" w:themeColor="text1"/>
                    <w:spacing w:val="-8"/>
                    <w:lang w:val="en-GB"/>
                  </w:rPr>
                  <w:lastRenderedPageBreak/>
                  <w:t>shall apply to the procurement 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CPVA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5D8D11BF" w14:textId="07EEB391" w:rsidR="000C4162" w:rsidRPr="001C0D43" w:rsidRDefault="000C4162" w:rsidP="00031495">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A8E63BD" w14:textId="60100C2A" w:rsidR="002E6329" w:rsidRPr="001C0D43" w:rsidRDefault="00966F28" w:rsidP="0003149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purchased goods will be exported </w:t>
                </w:r>
                <w:r w:rsidRPr="00E36121">
                  <w:rPr>
                    <w:rFonts w:ascii="Calibri" w:eastAsia="Times New Roman" w:hAnsi="Calibri" w:cs="Calibri"/>
                    <w:color w:val="000000" w:themeColor="text1"/>
                    <w:spacing w:val="-8"/>
                    <w:lang w:val="en-GB"/>
                  </w:rPr>
                  <w:t>to</w:t>
                </w:r>
                <w:r w:rsidR="00DD18F9" w:rsidRPr="00E36121">
                  <w:rPr>
                    <w:rFonts w:ascii="Calibri" w:eastAsia="Times New Roman" w:hAnsi="Calibri" w:cs="Calibri"/>
                    <w:color w:val="000000" w:themeColor="text1"/>
                    <w:spacing w:val="-8"/>
                    <w:lang w:val="en-GB"/>
                  </w:rPr>
                  <w:t xml:space="preserve"> </w:t>
                </w:r>
                <w:sdt>
                  <w:sdtPr>
                    <w:rPr>
                      <w:rFonts w:ascii="Calibri" w:eastAsia="Times New Roman" w:hAnsi="Calibri" w:cs="Calibri"/>
                      <w:color w:val="000000" w:themeColor="text1"/>
                      <w:spacing w:val="-8"/>
                      <w:lang w:val="en-GB"/>
                    </w:rPr>
                    <w:alias w:val="Select"/>
                    <w:tag w:val="Select"/>
                    <w:id w:val="230970399"/>
                    <w:placeholder>
                      <w:docPart w:val="12B3D6B2828E4C0D8F4F172938276B3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E36121" w:rsidRPr="00E36121">
                      <w:rPr>
                        <w:rFonts w:ascii="Calibri" w:eastAsia="Times New Roman" w:hAnsi="Calibri" w:cs="Calibri"/>
                        <w:color w:val="000000" w:themeColor="text1"/>
                        <w:spacing w:val="-8"/>
                        <w:lang w:val="en-GB"/>
                      </w:rPr>
                      <w:t>Ukraine</w:t>
                    </w:r>
                  </w:sdtContent>
                </w:sdt>
                <w:r w:rsidR="00031495" w:rsidRPr="001C0D43">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w:t>
                </w:r>
                <w:r w:rsidR="00031495" w:rsidRPr="001C0D43">
                  <w:rPr>
                    <w:rFonts w:ascii="Calibri" w:eastAsia="Times New Roman" w:hAnsi="Calibri" w:cs="Calibri"/>
                    <w:color w:val="000000" w:themeColor="text1"/>
                    <w:spacing w:val="-8"/>
                    <w:lang w:val="en-GB"/>
                  </w:rPr>
                  <w:t>a</w:t>
                </w:r>
                <w:r w:rsidRPr="001C0D43">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1C0D43" w:rsidRDefault="000C4162" w:rsidP="000C4162">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73659A9B" w:rsidR="000C4162" w:rsidRPr="001C0D43" w:rsidRDefault="000C4162" w:rsidP="000C4162">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goods to be purchased will be imported into </w:t>
                </w:r>
                <w:sdt>
                  <w:sdtPr>
                    <w:rPr>
                      <w:rFonts w:ascii="Calibri" w:eastAsia="Times New Roman" w:hAnsi="Calibri" w:cs="Calibri"/>
                      <w:color w:val="000000" w:themeColor="text1"/>
                      <w:spacing w:val="-8"/>
                      <w:lang w:val="en-GB"/>
                    </w:rPr>
                    <w:alias w:val="Select"/>
                    <w:tag w:val="Select"/>
                    <w:id w:val="1117729645"/>
                    <w:placeholder>
                      <w:docPart w:val="F00E28EED65D4931AB21589D9F077EB1"/>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E36121" w:rsidRPr="00E36121">
                      <w:rPr>
                        <w:rFonts w:ascii="Calibri" w:eastAsia="Times New Roman" w:hAnsi="Calibri" w:cs="Calibri"/>
                        <w:color w:val="000000" w:themeColor="text1"/>
                        <w:spacing w:val="-8"/>
                        <w:lang w:val="en-GB"/>
                      </w:rPr>
                      <w:t>Ukraine</w:t>
                    </w:r>
                  </w:sdtContent>
                </w:sdt>
                <w:r w:rsidRPr="00E36121">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6A20C04E" w14:textId="3A975116" w:rsidR="00E36121" w:rsidRPr="00E36121" w:rsidRDefault="00E36121" w:rsidP="00E36121">
                <w:pPr>
                  <w:pStyle w:val="ListParagraph"/>
                  <w:numPr>
                    <w:ilvl w:val="0"/>
                    <w:numId w:val="34"/>
                  </w:numPr>
                  <w:ind w:left="121" w:hanging="174"/>
                  <w:rPr>
                    <w:rFonts w:ascii="Calibri" w:eastAsia="Times New Roman" w:hAnsi="Calibri" w:cs="Calibri"/>
                    <w:color w:val="000000" w:themeColor="text1"/>
                    <w:spacing w:val="-8"/>
                    <w:lang w:val="en-GB"/>
                  </w:rPr>
                </w:pPr>
                <w:r w:rsidRPr="00E36121">
                  <w:rPr>
                    <w:rFonts w:ascii="Calibri" w:eastAsia="Times New Roman" w:hAnsi="Calibri" w:cs="Calibri"/>
                    <w:color w:val="000000" w:themeColor="text1"/>
                    <w:spacing w:val="-8"/>
                    <w:lang w:val="en-GB"/>
                  </w:rPr>
                  <w:t>Lot I of the procurement object “Minibuses” –</w:t>
                </w:r>
                <w:r>
                  <w:rPr>
                    <w:rFonts w:ascii="Calibri" w:eastAsia="Times New Roman" w:hAnsi="Calibri" w:cs="Calibri"/>
                    <w:color w:val="000000" w:themeColor="text1"/>
                    <w:spacing w:val="-8"/>
                    <w:lang w:val="en-GB"/>
                  </w:rPr>
                  <w:t xml:space="preserve"> </w:t>
                </w:r>
                <w:proofErr w:type="spellStart"/>
                <w:r w:rsidRPr="00E36121">
                  <w:rPr>
                    <w:rFonts w:ascii="Calibri" w:eastAsia="Times New Roman" w:hAnsi="Calibri" w:cs="Calibri"/>
                    <w:color w:val="000000" w:themeColor="text1"/>
                    <w:spacing w:val="-8"/>
                    <w:lang w:val="lt-LT"/>
                  </w:rPr>
                  <w:t>no</w:t>
                </w:r>
                <w:proofErr w:type="spellEnd"/>
                <w:r w:rsidRPr="00E36121">
                  <w:rPr>
                    <w:rFonts w:ascii="Calibri" w:eastAsia="Times New Roman" w:hAnsi="Calibri" w:cs="Calibri"/>
                    <w:color w:val="000000" w:themeColor="text1"/>
                    <w:spacing w:val="-8"/>
                    <w:lang w:val="lt-LT"/>
                  </w:rPr>
                  <w:t xml:space="preserve"> </w:t>
                </w:r>
                <w:r w:rsidRPr="00E36121">
                  <w:rPr>
                    <w:rFonts w:ascii="Calibri" w:eastAsia="Times New Roman" w:hAnsi="Calibri" w:cs="Calibri"/>
                    <w:color w:val="000000" w:themeColor="text1"/>
                    <w:spacing w:val="-8"/>
                    <w:lang w:val="en-GB"/>
                  </w:rPr>
                  <w:t xml:space="preserve">longer than </w:t>
                </w:r>
                <w:r w:rsidR="00791F88">
                  <w:rPr>
                    <w:rFonts w:ascii="Calibri" w:eastAsia="Times New Roman" w:hAnsi="Calibri" w:cs="Calibri"/>
                    <w:color w:val="000000" w:themeColor="text1"/>
                    <w:spacing w:val="-8"/>
                    <w:lang w:val="en-GB"/>
                  </w:rPr>
                  <w:t>8</w:t>
                </w:r>
                <w:r w:rsidRPr="00E36121">
                  <w:rPr>
                    <w:rFonts w:ascii="Calibri" w:eastAsia="Times New Roman" w:hAnsi="Calibri" w:cs="Calibri"/>
                    <w:color w:val="000000" w:themeColor="text1"/>
                    <w:spacing w:val="-8"/>
                    <w:lang w:val="en-GB"/>
                  </w:rPr>
                  <w:t xml:space="preserve"> months from </w:t>
                </w:r>
                <w:r w:rsidR="003B45CF" w:rsidRPr="00BC1744">
                  <w:rPr>
                    <w:rFonts w:ascii="Calibri" w:hAnsi="Calibri" w:cs="Calibri"/>
                  </w:rPr>
                  <w:t xml:space="preserve">from the date of order </w:t>
                </w:r>
                <w:proofErr w:type="gramStart"/>
                <w:r w:rsidR="003B45CF" w:rsidRPr="00BC1744">
                  <w:rPr>
                    <w:rFonts w:ascii="Calibri" w:hAnsi="Calibri" w:cs="Calibri"/>
                  </w:rPr>
                  <w:t>placement</w:t>
                </w:r>
                <w:r w:rsidRPr="00E36121">
                  <w:rPr>
                    <w:rFonts w:ascii="Calibri" w:eastAsia="Times New Roman" w:hAnsi="Calibri" w:cs="Calibri"/>
                    <w:color w:val="000000" w:themeColor="text1"/>
                    <w:spacing w:val="-8"/>
                    <w:lang w:val="en-GB"/>
                  </w:rPr>
                  <w:t>;</w:t>
                </w:r>
                <w:proofErr w:type="gramEnd"/>
              </w:p>
              <w:p w14:paraId="1BDA4F2C" w14:textId="35AADBDC" w:rsidR="00BF1C07" w:rsidRDefault="00E36121" w:rsidP="00E36121">
                <w:pPr>
                  <w:pStyle w:val="ListParagraph"/>
                  <w:numPr>
                    <w:ilvl w:val="0"/>
                    <w:numId w:val="34"/>
                  </w:numPr>
                  <w:ind w:left="121" w:hanging="174"/>
                  <w:rPr>
                    <w:rFonts w:ascii="Calibri" w:eastAsia="Times New Roman" w:hAnsi="Calibri" w:cs="Calibri"/>
                    <w:color w:val="000000" w:themeColor="text1"/>
                    <w:spacing w:val="-8"/>
                    <w:lang w:val="en-GB"/>
                  </w:rPr>
                </w:pPr>
                <w:r w:rsidRPr="00E36121">
                  <w:rPr>
                    <w:rFonts w:ascii="Calibri" w:eastAsia="Times New Roman" w:hAnsi="Calibri" w:cs="Calibri"/>
                    <w:color w:val="000000" w:themeColor="text1"/>
                    <w:spacing w:val="-8"/>
                    <w:lang w:val="en-GB"/>
                  </w:rPr>
                  <w:lastRenderedPageBreak/>
                  <w:t>Lot II of the procurement object “Minibuses adapted for persons with disabilities” –</w:t>
                </w:r>
                <w:r>
                  <w:rPr>
                    <w:rFonts w:ascii="Calibri" w:eastAsia="Times New Roman" w:hAnsi="Calibri" w:cs="Calibri"/>
                    <w:color w:val="000000" w:themeColor="text1"/>
                    <w:spacing w:val="-8"/>
                    <w:lang w:val="en-GB"/>
                  </w:rPr>
                  <w:t xml:space="preserve"> </w:t>
                </w:r>
                <w:r w:rsidRPr="00E36121">
                  <w:rPr>
                    <w:rFonts w:ascii="Calibri" w:eastAsia="Times New Roman" w:hAnsi="Calibri" w:cs="Calibri"/>
                    <w:color w:val="000000" w:themeColor="text1"/>
                    <w:spacing w:val="-8"/>
                    <w:lang w:val="en-GB"/>
                  </w:rPr>
                  <w:t xml:space="preserve">no longer than </w:t>
                </w:r>
                <w:r w:rsidR="00791F88">
                  <w:rPr>
                    <w:rFonts w:ascii="Calibri" w:eastAsia="Times New Roman" w:hAnsi="Calibri" w:cs="Calibri"/>
                    <w:color w:val="000000" w:themeColor="text1"/>
                    <w:spacing w:val="-8"/>
                    <w:lang w:val="en-GB"/>
                  </w:rPr>
                  <w:t>8</w:t>
                </w:r>
                <w:r w:rsidRPr="00E36121">
                  <w:rPr>
                    <w:rFonts w:ascii="Calibri" w:eastAsia="Times New Roman" w:hAnsi="Calibri" w:cs="Calibri"/>
                    <w:color w:val="000000" w:themeColor="text1"/>
                    <w:spacing w:val="-8"/>
                    <w:lang w:val="en-GB"/>
                  </w:rPr>
                  <w:t xml:space="preserve"> months </w:t>
                </w:r>
                <w:r w:rsidR="003B45CF" w:rsidRPr="003B45CF">
                  <w:rPr>
                    <w:rFonts w:ascii="Calibri" w:eastAsia="Times New Roman" w:hAnsi="Calibri" w:cs="Calibri"/>
                    <w:color w:val="000000" w:themeColor="text1"/>
                    <w:spacing w:val="-8"/>
                    <w:lang w:val="en-GB"/>
                  </w:rPr>
                  <w:t>from the date of order placement</w:t>
                </w:r>
                <w:r w:rsidRPr="00E36121">
                  <w:rPr>
                    <w:rFonts w:ascii="Calibri" w:eastAsia="Times New Roman" w:hAnsi="Calibri" w:cs="Calibri"/>
                    <w:color w:val="000000" w:themeColor="text1"/>
                    <w:spacing w:val="-8"/>
                    <w:lang w:val="en-GB"/>
                  </w:rPr>
                  <w:t>.</w:t>
                </w:r>
              </w:p>
              <w:p w14:paraId="66A4B48A" w14:textId="77777777" w:rsidR="00F04AA7" w:rsidRDefault="00F04AA7" w:rsidP="00F04AA7">
                <w:pPr>
                  <w:ind w:left="-53"/>
                  <w:rPr>
                    <w:rFonts w:ascii="Calibri" w:eastAsia="Times New Roman" w:hAnsi="Calibri" w:cs="Calibri"/>
                    <w:color w:val="000000" w:themeColor="text1"/>
                    <w:spacing w:val="-8"/>
                    <w:lang w:val="en-GB"/>
                  </w:rPr>
                </w:pPr>
              </w:p>
              <w:p w14:paraId="3DA43C4C" w14:textId="005ADC0E" w:rsidR="00F04AA7" w:rsidRPr="00F04AA7" w:rsidRDefault="00F04AA7" w:rsidP="00F04AA7">
                <w:pPr>
                  <w:rPr>
                    <w:rFonts w:ascii="Calibri" w:eastAsia="Times New Roman" w:hAnsi="Calibri" w:cs="Calibri"/>
                    <w:color w:val="000000" w:themeColor="text1"/>
                    <w:spacing w:val="-8"/>
                    <w:lang w:val="en-GB"/>
                  </w:rPr>
                </w:pPr>
                <w:r>
                  <w:t>Economic advantage points shall be awarded for a shorter delivery period proposed by the Supplier, in accordance with the procedure set out in Section 6 of the Special Part of the Procurement Documents.</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41AAA5EC" w:rsidR="00642366" w:rsidRPr="001C0D43" w:rsidRDefault="00F04AA7" w:rsidP="00642366">
                <w:pPr>
                  <w:rPr>
                    <w:rFonts w:ascii="Calibri" w:eastAsia="Times New Roman" w:hAnsi="Calibri" w:cs="Calibri"/>
                    <w:color w:val="000000" w:themeColor="text1"/>
                    <w:spacing w:val="-8"/>
                    <w:lang w:val="en-GB"/>
                  </w:rPr>
                </w:pPr>
                <w:r>
                  <w:rPr>
                    <w:rFonts w:cstheme="minorHAnsi"/>
                    <w:spacing w:val="-8"/>
                    <w:szCs w:val="24"/>
                  </w:rPr>
                  <w:t>Not applicable</w:t>
                </w:r>
              </w:p>
            </w:tc>
          </w:tr>
          <w:tr w:rsidR="00F04AA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F04AA7" w:rsidRPr="001C0D43" w:rsidRDefault="00F04AA7" w:rsidP="00F04AA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46D9C5F3"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Pr>
                    <w:rFonts w:ascii="Calibri" w:eastAsia="Times New Roman" w:hAnsi="Calibri" w:cs="Calibri"/>
                    <w:color w:val="000000" w:themeColor="text1"/>
                    <w:spacing w:val="-8"/>
                    <w:lang w:val="en-GB"/>
                  </w:rPr>
                  <w:t>Contract notice</w:t>
                </w:r>
              </w:p>
            </w:tc>
          </w:tr>
          <w:tr w:rsidR="00F04AA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F04AA7" w:rsidRPr="001C0D43" w:rsidRDefault="00F04AA7" w:rsidP="00F04AA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D2880D5"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F04AA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F04AA7" w:rsidRPr="001C0D43" w:rsidRDefault="00F04AA7" w:rsidP="00F04AA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7097C5C1"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Date, time of getting acquainted with the tenders submitted </w:t>
                </w:r>
              </w:p>
            </w:tc>
            <w:tc>
              <w:tcPr>
                <w:tcW w:w="2345" w:type="pct"/>
                <w:vAlign w:val="center"/>
              </w:tcPr>
              <w:p w14:paraId="377B2B8D" w14:textId="78F4DD42"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Pr>
                    <w:rFonts w:ascii="Calibri" w:eastAsia="Times New Roman" w:hAnsi="Calibri" w:cs="Calibri"/>
                    <w:color w:val="000000" w:themeColor="text1"/>
                    <w:spacing w:val="-8"/>
                    <w:lang w:val="en-GB"/>
                  </w:rPr>
                  <w:t>Contract notice</w:t>
                </w:r>
              </w:p>
            </w:tc>
          </w:tr>
          <w:tr w:rsidR="00F04AA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F04AA7" w:rsidRPr="001C0D43" w:rsidRDefault="00F04AA7" w:rsidP="00F04AA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28D2C9A9" w:rsidR="00F04AA7" w:rsidRPr="001C0D43" w:rsidRDefault="00F04AA7" w:rsidP="00F04AA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F04AA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F04AA7" w:rsidRPr="001C0D43" w:rsidRDefault="00F04AA7" w:rsidP="00F04AA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F04AA7" w:rsidRPr="001C0D43" w:rsidRDefault="00F04AA7" w:rsidP="00F04AA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44D1E19E" w:rsidR="00F04AA7" w:rsidRPr="001C0D43" w:rsidRDefault="00F04AA7" w:rsidP="00F04AA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C616E28" w14:textId="35C17940" w:rsidR="003F6524" w:rsidRPr="001C0D43" w:rsidRDefault="00791F88" w:rsidP="00B1613B">
                <w:pPr>
                  <w:rPr>
                    <w:rFonts w:ascii="Calibri" w:eastAsia="Times New Roman" w:hAnsi="Calibri" w:cs="Calibri"/>
                    <w:color w:val="000000" w:themeColor="text1"/>
                    <w:spacing w:val="-8"/>
                    <w:lang w:val="en-GB"/>
                  </w:rPr>
                </w:pPr>
                <w:r w:rsidRPr="00791F88">
                  <w:rPr>
                    <w:rFonts w:ascii="Calibri" w:eastAsia="Times New Roman" w:hAnsi="Calibri" w:cs="Calibri"/>
                    <w:color w:val="000000" w:themeColor="text1"/>
                    <w:spacing w:val="-8"/>
                    <w:lang w:val="en-GB"/>
                  </w:rPr>
                  <w:t xml:space="preserve">Maximum amount of funds allocated to each </w:t>
                </w:r>
                <w:r>
                  <w:rPr>
                    <w:rFonts w:ascii="Calibri" w:eastAsia="Times New Roman" w:hAnsi="Calibri" w:cs="Calibri"/>
                    <w:color w:val="000000" w:themeColor="text1"/>
                    <w:spacing w:val="-8"/>
                    <w:lang w:val="en-GB"/>
                  </w:rPr>
                  <w:t>lot</w:t>
                </w:r>
                <w:r w:rsidRPr="00791F88">
                  <w:rPr>
                    <w:rFonts w:ascii="Calibri" w:eastAsia="Times New Roman" w:hAnsi="Calibri" w:cs="Calibri"/>
                    <w:color w:val="000000" w:themeColor="text1"/>
                    <w:spacing w:val="-8"/>
                    <w:lang w:val="en-GB"/>
                  </w:rPr>
                  <w:t xml:space="preserve"> of the procurement object</w:t>
                </w:r>
              </w:p>
            </w:tc>
            <w:tc>
              <w:tcPr>
                <w:tcW w:w="2345" w:type="pct"/>
                <w:vAlign w:val="center"/>
              </w:tcPr>
              <w:p w14:paraId="211CAEE2" w14:textId="47A048FA" w:rsidR="000450A1" w:rsidRPr="00F04AA7" w:rsidRDefault="000450A1" w:rsidP="00F04AA7">
                <w:pPr>
                  <w:pStyle w:val="ListParagraph"/>
                  <w:numPr>
                    <w:ilvl w:val="0"/>
                    <w:numId w:val="35"/>
                  </w:numPr>
                  <w:ind w:left="121" w:hanging="142"/>
                  <w:rPr>
                    <w:rFonts w:ascii="Calibri" w:hAnsi="Calibri" w:cs="Calibri"/>
                    <w:iCs/>
                    <w:spacing w:val="-8"/>
                    <w:lang w:val="en-GB"/>
                  </w:rPr>
                </w:pPr>
                <w:r w:rsidRPr="00F04AA7">
                  <w:rPr>
                    <w:rFonts w:ascii="Calibri" w:hAnsi="Calibri" w:cs="Calibri"/>
                    <w:iCs/>
                    <w:spacing w:val="-8"/>
                    <w:lang w:val="en-GB"/>
                  </w:rPr>
                  <w:t>For Lot I "</w:t>
                </w:r>
                <w:r w:rsidR="00F04AA7" w:rsidRPr="00F04AA7">
                  <w:rPr>
                    <w:rFonts w:ascii="Calibri" w:hAnsi="Calibri" w:cs="Calibri"/>
                    <w:iCs/>
                    <w:spacing w:val="-8"/>
                    <w:lang w:val="en-GB"/>
                  </w:rPr>
                  <w:t>Minibuses</w:t>
                </w:r>
                <w:r w:rsidRPr="00F04AA7">
                  <w:rPr>
                    <w:rFonts w:ascii="Calibri" w:hAnsi="Calibri" w:cs="Calibri"/>
                    <w:iCs/>
                    <w:spacing w:val="-8"/>
                    <w:lang w:val="en-GB"/>
                  </w:rPr>
                  <w:t xml:space="preserve">" - </w:t>
                </w:r>
                <w:r w:rsidR="00791F88">
                  <w:t xml:space="preserve">500,000.00 </w:t>
                </w:r>
                <w:r w:rsidRPr="00F04AA7">
                  <w:rPr>
                    <w:rFonts w:ascii="Calibri" w:hAnsi="Calibri" w:cs="Calibri"/>
                    <w:iCs/>
                    <w:spacing w:val="-8"/>
                    <w:lang w:val="en-GB"/>
                  </w:rPr>
                  <w:t xml:space="preserve">EUR incl. </w:t>
                </w:r>
                <w:proofErr w:type="gramStart"/>
                <w:r w:rsidRPr="00F04AA7">
                  <w:rPr>
                    <w:rFonts w:ascii="Calibri" w:hAnsi="Calibri" w:cs="Calibri"/>
                    <w:iCs/>
                    <w:spacing w:val="-8"/>
                    <w:lang w:val="en-GB"/>
                  </w:rPr>
                  <w:t>VAT;</w:t>
                </w:r>
                <w:proofErr w:type="gramEnd"/>
              </w:p>
              <w:p w14:paraId="5FC79CC2" w14:textId="77777777" w:rsidR="00765F97" w:rsidRPr="00791F88" w:rsidRDefault="000450A1" w:rsidP="00F04AA7">
                <w:pPr>
                  <w:pStyle w:val="ListParagraph"/>
                  <w:numPr>
                    <w:ilvl w:val="0"/>
                    <w:numId w:val="35"/>
                  </w:numPr>
                  <w:ind w:left="121" w:hanging="142"/>
                  <w:rPr>
                    <w:rFonts w:ascii="Calibri" w:hAnsi="Calibri" w:cs="Calibri"/>
                    <w:i/>
                    <w:spacing w:val="-8"/>
                    <w:lang w:val="en-GB"/>
                  </w:rPr>
                </w:pPr>
                <w:r w:rsidRPr="00F04AA7">
                  <w:rPr>
                    <w:rFonts w:ascii="Calibri" w:hAnsi="Calibri" w:cs="Calibri"/>
                    <w:iCs/>
                    <w:spacing w:val="-8"/>
                    <w:lang w:val="en-GB"/>
                  </w:rPr>
                  <w:t>for Lot II "</w:t>
                </w:r>
                <w:r w:rsidR="00F04AA7" w:rsidRPr="00F04AA7">
                  <w:rPr>
                    <w:rFonts w:ascii="Calibri" w:hAnsi="Calibri" w:cs="Calibri"/>
                    <w:iCs/>
                    <w:spacing w:val="-8"/>
                    <w:lang w:val="en-GB"/>
                  </w:rPr>
                  <w:t>Minibuses adapted for persons with disabilities</w:t>
                </w:r>
                <w:r w:rsidRPr="00F04AA7">
                  <w:rPr>
                    <w:rFonts w:ascii="Calibri" w:hAnsi="Calibri" w:cs="Calibri"/>
                    <w:iCs/>
                    <w:spacing w:val="-8"/>
                    <w:lang w:val="en-GB"/>
                  </w:rPr>
                  <w:t xml:space="preserve">" - </w:t>
                </w:r>
                <w:r w:rsidR="00791F88">
                  <w:t>497,000.00</w:t>
                </w:r>
                <w:r w:rsidR="00791F88" w:rsidRPr="00457551">
                  <w:rPr>
                    <w:rFonts w:eastAsia="Times New Roman" w:cstheme="minorHAnsi"/>
                    <w:color w:val="000000" w:themeColor="text1"/>
                    <w:spacing w:val="-8"/>
                    <w:lang w:val="lt-LT"/>
                  </w:rPr>
                  <w:t xml:space="preserve"> </w:t>
                </w:r>
                <w:r w:rsidRPr="00F04AA7">
                  <w:rPr>
                    <w:rFonts w:ascii="Calibri" w:hAnsi="Calibri" w:cs="Calibri"/>
                    <w:iCs/>
                    <w:spacing w:val="-8"/>
                    <w:lang w:val="en-GB"/>
                  </w:rPr>
                  <w:t>EUR incl. VAT</w:t>
                </w:r>
              </w:p>
              <w:p w14:paraId="43DAA6EE" w14:textId="77777777" w:rsidR="00791F88" w:rsidRDefault="00791F88" w:rsidP="00791F88">
                <w:pPr>
                  <w:rPr>
                    <w:rFonts w:ascii="Calibri" w:hAnsi="Calibri" w:cs="Calibri"/>
                    <w:i/>
                    <w:spacing w:val="-8"/>
                    <w:lang w:val="en-GB"/>
                  </w:rPr>
                </w:pPr>
              </w:p>
              <w:p w14:paraId="00CBCEF9" w14:textId="0008F580" w:rsidR="00791F88" w:rsidRPr="00791F88" w:rsidRDefault="00791F88" w:rsidP="00791F88">
                <w:pPr>
                  <w:rPr>
                    <w:rFonts w:ascii="Calibri" w:hAnsi="Calibri" w:cs="Calibri"/>
                    <w:iCs/>
                    <w:spacing w:val="-8"/>
                    <w:lang w:val="en-GB"/>
                  </w:rPr>
                </w:pPr>
                <w:r w:rsidRPr="00791F88">
                  <w:rPr>
                    <w:rFonts w:ascii="Calibri" w:hAnsi="Calibri" w:cs="Calibri"/>
                    <w:iCs/>
                    <w:spacing w:val="-8"/>
                    <w:lang w:val="en-GB"/>
                  </w:rPr>
                  <w:t>The Contracting Authority intends to purchase as many units of the goods as possible without exceeding the maximum allocated amount</w:t>
                </w:r>
                <w:r w:rsidR="00056530">
                  <w:rPr>
                    <w:rFonts w:ascii="Calibri" w:hAnsi="Calibri" w:cs="Calibri"/>
                    <w:iCs/>
                    <w:spacing w:val="-8"/>
                    <w:lang w:val="en-GB"/>
                  </w:rPr>
                  <w:t>,</w:t>
                </w:r>
                <w:r w:rsidRPr="00791F88">
                  <w:rPr>
                    <w:rFonts w:ascii="Calibri" w:hAnsi="Calibri" w:cs="Calibri"/>
                    <w:iCs/>
                    <w:spacing w:val="-8"/>
                    <w:lang w:val="en-GB"/>
                  </w:rPr>
                  <w:t xml:space="preserve"> </w:t>
                </w:r>
                <w:r w:rsidR="00056530" w:rsidRPr="00056530">
                  <w:rPr>
                    <w:rFonts w:ascii="Calibri" w:hAnsi="Calibri" w:cs="Calibri"/>
                    <w:iCs/>
                    <w:spacing w:val="-8"/>
                    <w:lang w:val="en-GB"/>
                  </w:rPr>
                  <w:t>but in any case</w:t>
                </w:r>
                <w:r w:rsidRPr="00791F88">
                  <w:rPr>
                    <w:rFonts w:ascii="Calibri" w:hAnsi="Calibri" w:cs="Calibri"/>
                    <w:iCs/>
                    <w:spacing w:val="-8"/>
                    <w:lang w:val="en-GB"/>
                  </w:rPr>
                  <w:t>, not more than the minimum quantity specified in the Technical Specification.</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50ED81AF"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5C9D10BB" w:rsidR="00765F97" w:rsidRPr="00642366" w:rsidRDefault="00791F88" w:rsidP="00765F97">
                <w:pPr>
                  <w:rPr>
                    <w:rFonts w:ascii="Calibri" w:eastAsia="Times New Roman" w:hAnsi="Calibri" w:cs="Calibri"/>
                    <w:color w:val="000000" w:themeColor="text1"/>
                    <w:spacing w:val="-8"/>
                    <w:lang w:val="en-GB"/>
                  </w:rPr>
                </w:pPr>
                <w:r w:rsidRPr="003345EF">
                  <w:rPr>
                    <w:rFonts w:ascii="Calibri" w:hAnsi="Calibri" w:cs="Calibri"/>
                    <w:spacing w:val="-8"/>
                    <w:szCs w:val="24"/>
                    <w:lang w:val="en-GB"/>
                  </w:rPr>
                  <w:t>Fixed rate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6C07135" w:rsidR="00765F97" w:rsidRPr="001C0D43" w:rsidRDefault="00F129AA" w:rsidP="00765F97">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Contract</w:t>
                </w:r>
                <w:r w:rsidRPr="001C0D43">
                  <w:rPr>
                    <w:rFonts w:ascii="Calibri" w:eastAsia="Times New Roman" w:hAnsi="Calibri" w:cs="Calibri"/>
                    <w:color w:val="000000" w:themeColor="text1"/>
                    <w:spacing w:val="-8"/>
                    <w:lang w:val="en-GB"/>
                  </w:rPr>
                  <w:t xml:space="preserve"> </w:t>
                </w:r>
                <w:r w:rsidR="00D41908" w:rsidRPr="001C0D43">
                  <w:rPr>
                    <w:rFonts w:ascii="Calibri" w:eastAsia="Times New Roman" w:hAnsi="Calibri" w:cs="Calibri"/>
                    <w:color w:val="000000" w:themeColor="text1"/>
                    <w:spacing w:val="-8"/>
                    <w:lang w:val="en-GB"/>
                  </w:rPr>
                  <w:t xml:space="preserve">provisions / Draft </w:t>
                </w:r>
                <w:r>
                  <w:rPr>
                    <w:rFonts w:ascii="Calibri" w:eastAsia="Times New Roman" w:hAnsi="Calibri" w:cs="Calibri"/>
                    <w:color w:val="000000" w:themeColor="text1"/>
                    <w:spacing w:val="-8"/>
                    <w:lang w:val="en-GB"/>
                  </w:rPr>
                  <w:t>contract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F04AA7">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F04AA7">
            <w:trPr>
              <w:trHeight w:val="257"/>
            </w:trPr>
            <w:tc>
              <w:tcPr>
                <w:tcW w:w="279" w:type="pct"/>
                <w:shd w:val="clear" w:color="auto" w:fill="F2F2F2"/>
                <w:vAlign w:val="center"/>
              </w:tcPr>
              <w:p w14:paraId="02B985A0" w14:textId="77777777" w:rsidR="00EC613D" w:rsidRPr="00925BDE"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2F30E776" w:rsidR="00EC613D" w:rsidRPr="00925BDE"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925BDE">
                  <w:rPr>
                    <w:rFonts w:ascii="Calibri" w:eastAsia="Calibri" w:hAnsi="Calibri" w:cs="Calibri"/>
                    <w:color w:val="000000" w:themeColor="text1"/>
                    <w:spacing w:val="-8"/>
                    <w:sz w:val="22"/>
                    <w:szCs w:val="22"/>
                    <w:lang w:val="en-GB" w:eastAsia="en-US"/>
                  </w:rPr>
                  <w:t xml:space="preserve">The </w:t>
                </w:r>
                <w:r w:rsidR="00C33280" w:rsidRPr="00925BDE">
                  <w:rPr>
                    <w:rFonts w:ascii="Calibri" w:eastAsia="Calibri" w:hAnsi="Calibri" w:cs="Calibri"/>
                    <w:color w:val="000000" w:themeColor="text1"/>
                    <w:spacing w:val="-8"/>
                    <w:sz w:val="22"/>
                    <w:szCs w:val="22"/>
                    <w:lang w:val="en-GB" w:eastAsia="en-US"/>
                  </w:rPr>
                  <w:t xml:space="preserve">procurement </w:t>
                </w:r>
                <w:r w:rsidRPr="00925BDE">
                  <w:rPr>
                    <w:rFonts w:ascii="Calibri" w:eastAsia="Calibri" w:hAnsi="Calibri" w:cs="Calibri"/>
                    <w:color w:val="000000" w:themeColor="text1"/>
                    <w:spacing w:val="-8"/>
                    <w:sz w:val="22"/>
                    <w:szCs w:val="22"/>
                    <w:lang w:val="en-GB" w:eastAsia="en-US"/>
                  </w:rPr>
                  <w:t xml:space="preserve">is (not) </w:t>
                </w:r>
                <w:r w:rsidR="00551808" w:rsidRPr="00925BDE">
                  <w:rPr>
                    <w:rFonts w:ascii="Calibri" w:eastAsia="Calibri" w:hAnsi="Calibri" w:cs="Calibri"/>
                    <w:color w:val="000000" w:themeColor="text1"/>
                    <w:spacing w:val="-8"/>
                    <w:sz w:val="22"/>
                    <w:szCs w:val="22"/>
                    <w:lang w:val="en-GB" w:eastAsia="en-US"/>
                  </w:rPr>
                  <w:t>divi</w:t>
                </w:r>
                <w:r w:rsidR="009D2FF5" w:rsidRPr="00925BDE">
                  <w:rPr>
                    <w:rFonts w:ascii="Calibri" w:eastAsia="Calibri" w:hAnsi="Calibri" w:cs="Calibri"/>
                    <w:color w:val="000000" w:themeColor="text1"/>
                    <w:spacing w:val="-8"/>
                    <w:sz w:val="22"/>
                    <w:szCs w:val="22"/>
                    <w:lang w:val="en-GB" w:eastAsia="en-US"/>
                  </w:rPr>
                  <w:t>d</w:t>
                </w:r>
                <w:r w:rsidR="00551808" w:rsidRPr="00925BDE">
                  <w:rPr>
                    <w:rFonts w:ascii="Calibri" w:eastAsia="Calibri" w:hAnsi="Calibri" w:cs="Calibri"/>
                    <w:color w:val="000000" w:themeColor="text1"/>
                    <w:spacing w:val="-8"/>
                    <w:sz w:val="22"/>
                    <w:szCs w:val="22"/>
                    <w:lang w:val="en-GB" w:eastAsia="en-US"/>
                  </w:rPr>
                  <w:t>ed</w:t>
                </w:r>
                <w:r w:rsidR="004C5ED8" w:rsidRPr="00925BDE">
                  <w:rPr>
                    <w:rFonts w:ascii="Calibri" w:eastAsia="Calibri" w:hAnsi="Calibri" w:cs="Calibri"/>
                    <w:color w:val="000000" w:themeColor="text1"/>
                    <w:spacing w:val="-8"/>
                    <w:sz w:val="22"/>
                    <w:szCs w:val="22"/>
                    <w:lang w:val="en-GB" w:eastAsia="en-US"/>
                  </w:rPr>
                  <w:t xml:space="preserve"> </w:t>
                </w:r>
                <w:r w:rsidRPr="00925BDE">
                  <w:rPr>
                    <w:rFonts w:ascii="Calibri" w:eastAsia="Calibri" w:hAnsi="Calibri" w:cs="Calibri"/>
                    <w:color w:val="000000" w:themeColor="text1"/>
                    <w:spacing w:val="-8"/>
                    <w:sz w:val="22"/>
                    <w:szCs w:val="22"/>
                    <w:lang w:val="en-GB" w:eastAsia="en-US"/>
                  </w:rPr>
                  <w:t xml:space="preserve">into </w:t>
                </w:r>
                <w:r w:rsidR="00551808" w:rsidRPr="00925BDE">
                  <w:rPr>
                    <w:rFonts w:ascii="Calibri" w:eastAsia="Calibri" w:hAnsi="Calibri" w:cs="Calibri"/>
                    <w:color w:val="000000" w:themeColor="text1"/>
                    <w:spacing w:val="-8"/>
                    <w:sz w:val="22"/>
                    <w:szCs w:val="22"/>
                    <w:lang w:val="en-GB" w:eastAsia="en-US"/>
                  </w:rPr>
                  <w:t>lots</w:t>
                </w:r>
                <w:r w:rsidRPr="00925BDE">
                  <w:rPr>
                    <w:rFonts w:ascii="Calibri" w:eastAsia="Calibri" w:hAnsi="Calibri" w:cs="Calibri"/>
                    <w:color w:val="000000" w:themeColor="text1"/>
                    <w:spacing w:val="-8"/>
                    <w:sz w:val="22"/>
                    <w:szCs w:val="22"/>
                    <w:lang w:val="en-GB" w:eastAsia="en-US"/>
                  </w:rPr>
                  <w:t>.</w:t>
                </w:r>
              </w:p>
            </w:tc>
            <w:tc>
              <w:tcPr>
                <w:tcW w:w="2636" w:type="pct"/>
                <w:vAlign w:val="center"/>
              </w:tcPr>
              <w:p w14:paraId="3C2ACC36" w14:textId="5CF85D92" w:rsidR="00EC613D" w:rsidRPr="00925BDE" w:rsidRDefault="00F04AA7" w:rsidP="005E210E">
                <w:pPr>
                  <w:spacing w:line="240" w:lineRule="auto"/>
                  <w:jc w:val="both"/>
                  <w:rPr>
                    <w:rFonts w:ascii="Calibri" w:eastAsia="Calibri" w:hAnsi="Calibri" w:cs="Calibri"/>
                    <w:color w:val="000000" w:themeColor="text1"/>
                    <w:spacing w:val="-8"/>
                    <w:sz w:val="22"/>
                    <w:szCs w:val="22"/>
                    <w:lang w:val="en-GB" w:eastAsia="en-US"/>
                  </w:rPr>
                </w:pPr>
                <w:r w:rsidRPr="00925BDE">
                  <w:rPr>
                    <w:rFonts w:ascii="Calibri" w:hAnsi="Calibri" w:cs="Calibri"/>
                    <w:spacing w:val="-8"/>
                    <w:sz w:val="22"/>
                    <w:szCs w:val="22"/>
                    <w:lang w:val="en-GB"/>
                  </w:rPr>
                  <w:t>Divided into lots</w:t>
                </w:r>
              </w:p>
            </w:tc>
          </w:tr>
          <w:tr w:rsidR="00EC613D" w:rsidRPr="001C0D43" w14:paraId="2522DC63" w14:textId="77777777" w:rsidTr="00F04AA7">
            <w:trPr>
              <w:trHeight w:val="257"/>
            </w:trPr>
            <w:tc>
              <w:tcPr>
                <w:tcW w:w="279" w:type="pct"/>
                <w:shd w:val="clear" w:color="auto" w:fill="F2F2F2"/>
                <w:vAlign w:val="center"/>
              </w:tcPr>
              <w:p w14:paraId="479D99B2" w14:textId="77777777" w:rsidR="00EC613D" w:rsidRPr="00925BDE" w:rsidRDefault="00EC613D"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041E0DA5" w14:textId="52383F8A" w:rsidR="00EC613D" w:rsidRPr="00925BDE" w:rsidRDefault="0002565A" w:rsidP="005E210E">
                <w:pPr>
                  <w:spacing w:line="240" w:lineRule="auto"/>
                  <w:jc w:val="both"/>
                  <w:rPr>
                    <w:rFonts w:ascii="Calibri" w:eastAsia="Calibri" w:hAnsi="Calibri" w:cs="Calibri"/>
                    <w:color w:val="000000" w:themeColor="text1"/>
                    <w:spacing w:val="-8"/>
                    <w:sz w:val="22"/>
                    <w:szCs w:val="22"/>
                    <w:highlight w:val="lightGray"/>
                    <w:lang w:val="en-GB" w:eastAsia="en-US"/>
                  </w:rPr>
                </w:pPr>
                <w:r w:rsidRPr="00925BDE">
                  <w:rPr>
                    <w:rFonts w:ascii="Calibri" w:eastAsia="Calibri" w:hAnsi="Calibri" w:cs="Calibri"/>
                    <w:color w:val="000000" w:themeColor="text1"/>
                    <w:spacing w:val="-8"/>
                    <w:sz w:val="22"/>
                    <w:szCs w:val="22"/>
                    <w:lang w:val="en-GB" w:eastAsia="en-US"/>
                  </w:rPr>
                  <w:t xml:space="preserve">Procurement </w:t>
                </w:r>
                <w:r w:rsidR="00551808" w:rsidRPr="00925BDE">
                  <w:rPr>
                    <w:rFonts w:ascii="Calibri" w:eastAsia="Calibri" w:hAnsi="Calibri" w:cs="Calibri"/>
                    <w:color w:val="000000" w:themeColor="text1"/>
                    <w:spacing w:val="-8"/>
                    <w:sz w:val="22"/>
                    <w:szCs w:val="22"/>
                    <w:lang w:val="en-GB" w:eastAsia="en-US"/>
                  </w:rPr>
                  <w:t>lots</w:t>
                </w:r>
              </w:p>
            </w:tc>
            <w:tc>
              <w:tcPr>
                <w:tcW w:w="2636" w:type="pct"/>
                <w:vAlign w:val="center"/>
              </w:tcPr>
              <w:p w14:paraId="78A37205" w14:textId="18664747" w:rsidR="00925BDE" w:rsidRPr="00925BDE" w:rsidRDefault="00925BDE" w:rsidP="00925BDE">
                <w:pPr>
                  <w:pStyle w:val="ListParagraph"/>
                  <w:numPr>
                    <w:ilvl w:val="0"/>
                    <w:numId w:val="36"/>
                  </w:numPr>
                  <w:spacing w:line="240" w:lineRule="auto"/>
                  <w:ind w:left="98" w:hanging="142"/>
                  <w:jc w:val="both"/>
                  <w:rPr>
                    <w:rFonts w:ascii="Calibri" w:hAnsi="Calibri" w:cs="Calibri"/>
                    <w:spacing w:val="-8"/>
                    <w:sz w:val="22"/>
                    <w:szCs w:val="22"/>
                    <w:lang w:val="en-GB"/>
                  </w:rPr>
                </w:pPr>
                <w:r w:rsidRPr="00925BDE">
                  <w:rPr>
                    <w:rFonts w:ascii="Calibri" w:hAnsi="Calibri" w:cs="Calibri"/>
                    <w:spacing w:val="-8"/>
                    <w:sz w:val="22"/>
                    <w:szCs w:val="22"/>
                    <w:lang w:val="en-GB"/>
                  </w:rPr>
                  <w:t>Lot I of the procurement object</w:t>
                </w:r>
                <w:r>
                  <w:rPr>
                    <w:rFonts w:ascii="Calibri" w:hAnsi="Calibri" w:cs="Calibri"/>
                    <w:spacing w:val="-8"/>
                    <w:sz w:val="22"/>
                    <w:szCs w:val="22"/>
                    <w:lang w:val="en-GB"/>
                  </w:rPr>
                  <w:t xml:space="preserve"> –</w:t>
                </w:r>
                <w:r w:rsidRPr="00925BDE">
                  <w:rPr>
                    <w:rFonts w:ascii="Calibri" w:hAnsi="Calibri" w:cs="Calibri"/>
                    <w:spacing w:val="-8"/>
                    <w:sz w:val="22"/>
                    <w:szCs w:val="22"/>
                    <w:lang w:val="en-GB"/>
                  </w:rPr>
                  <w:t xml:space="preserve"> “Minibuses”</w:t>
                </w:r>
              </w:p>
              <w:p w14:paraId="0FFE2D77" w14:textId="674A5D5D" w:rsidR="00EC613D" w:rsidRPr="00925BDE" w:rsidRDefault="00925BDE" w:rsidP="00925BDE">
                <w:pPr>
                  <w:pStyle w:val="ListParagraph"/>
                  <w:numPr>
                    <w:ilvl w:val="0"/>
                    <w:numId w:val="36"/>
                  </w:numPr>
                  <w:spacing w:line="240" w:lineRule="auto"/>
                  <w:ind w:left="98" w:hanging="142"/>
                  <w:jc w:val="both"/>
                  <w:rPr>
                    <w:rFonts w:ascii="Calibri" w:eastAsia="Times New Roman" w:hAnsi="Calibri" w:cs="Calibri"/>
                    <w:color w:val="000000" w:themeColor="text1"/>
                    <w:spacing w:val="-8"/>
                    <w:sz w:val="22"/>
                    <w:szCs w:val="22"/>
                    <w:lang w:val="en-GB"/>
                  </w:rPr>
                </w:pPr>
                <w:r w:rsidRPr="00925BDE">
                  <w:rPr>
                    <w:rFonts w:ascii="Calibri" w:hAnsi="Calibri" w:cs="Calibri"/>
                    <w:spacing w:val="-8"/>
                    <w:sz w:val="22"/>
                    <w:szCs w:val="22"/>
                    <w:lang w:val="en-GB"/>
                  </w:rPr>
                  <w:t>Lot II of the procurement object</w:t>
                </w:r>
                <w:r>
                  <w:rPr>
                    <w:rFonts w:ascii="Calibri" w:hAnsi="Calibri" w:cs="Calibri"/>
                    <w:spacing w:val="-8"/>
                    <w:sz w:val="22"/>
                    <w:szCs w:val="22"/>
                    <w:lang w:val="en-GB"/>
                  </w:rPr>
                  <w:t xml:space="preserve"> –</w:t>
                </w:r>
                <w:r w:rsidRPr="00925BDE">
                  <w:rPr>
                    <w:rFonts w:ascii="Calibri" w:hAnsi="Calibri" w:cs="Calibri"/>
                    <w:spacing w:val="-8"/>
                    <w:sz w:val="22"/>
                    <w:szCs w:val="22"/>
                    <w:lang w:val="en-GB"/>
                  </w:rPr>
                  <w:t xml:space="preserve"> “Minibuses adapted for persons with disabilities”</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6C2AA17" w14:textId="77777777" w:rsidR="00925BDE" w:rsidRPr="001C0D43" w:rsidRDefault="00925BDE" w:rsidP="00925BDE">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'ESPD' to the Conditions of Contract).</w:t>
          </w:r>
        </w:p>
        <w:p w14:paraId="7503DD57" w14:textId="77777777" w:rsidR="00925BDE" w:rsidRPr="001C0D43" w:rsidRDefault="00925BDE" w:rsidP="00925BDE">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202B79"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5CC309F3" w14:textId="7DDFD466" w:rsidR="009C007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xml:space="preserve">, self-produced and/or self-sold </w:t>
                </w:r>
                <w:r w:rsidR="00925BDE" w:rsidRPr="00927419">
                  <w:rPr>
                    <w:rFonts w:eastAsia="Times New Roman" w:cstheme="minorHAnsi"/>
                    <w:iCs/>
                    <w:sz w:val="22"/>
                    <w:szCs w:val="22"/>
                    <w:lang w:val="en-GB" w:eastAsia="en-US"/>
                  </w:rPr>
                  <w:t>motorised vehicles</w:t>
                </w:r>
                <w:r w:rsidR="009C0073" w:rsidRPr="001C0D43">
                  <w:rPr>
                    <w:rFonts w:ascii="Calibri" w:eastAsia="Times New Roman" w:hAnsi="Calibri" w:cs="Calibri"/>
                    <w:iCs/>
                    <w:sz w:val="22"/>
                    <w:szCs w:val="22"/>
                    <w:lang w:val="en-GB" w:eastAsia="en-US"/>
                  </w:rPr>
                  <w:t xml:space="preserve">, </w:t>
                </w:r>
                <w:r w:rsidR="00AA3865">
                  <w:rPr>
                    <w:rFonts w:ascii="Calibri" w:eastAsia="Times New Roman" w:hAnsi="Calibri" w:cs="Calibri"/>
                    <w:iCs/>
                    <w:sz w:val="22"/>
                    <w:szCs w:val="22"/>
                    <w:lang w:val="en-GB" w:eastAsia="en-US"/>
                  </w:rPr>
                  <w:t xml:space="preserve"> </w:t>
                </w:r>
                <w:r w:rsidR="00AA3865" w:rsidRPr="00721380">
                  <w:rPr>
                    <w:rFonts w:eastAsia="Times New Roman" w:cstheme="minorHAnsi"/>
                    <w:iCs/>
                    <w:sz w:val="22"/>
                    <w:szCs w:val="22"/>
                    <w:lang w:val="en-US" w:eastAsia="en-US"/>
                  </w:rPr>
                  <w:t>with a total value</w:t>
                </w:r>
                <w:r w:rsidR="00AA3865">
                  <w:rPr>
                    <w:rFonts w:eastAsia="Times New Roman" w:cstheme="minorHAnsi"/>
                    <w:iCs/>
                    <w:sz w:val="22"/>
                    <w:szCs w:val="22"/>
                    <w:lang w:val="en-US" w:eastAsia="en-US"/>
                  </w:rPr>
                  <w:t xml:space="preserve"> </w:t>
                </w:r>
                <w:r w:rsidR="00AA3865" w:rsidRPr="00AD7F5C">
                  <w:rPr>
                    <w:rFonts w:ascii="Calibri" w:eastAsia="Times New Roman" w:hAnsi="Calibri" w:cs="Calibri"/>
                    <w:iCs/>
                    <w:sz w:val="22"/>
                    <w:szCs w:val="22"/>
                    <w:lang w:val="en-GB" w:eastAsia="en-US"/>
                  </w:rPr>
                  <w:t>(the total value of the implemented part, if implementation is in progress)</w:t>
                </w:r>
                <w:r w:rsidR="00AA3865" w:rsidRPr="00721380">
                  <w:rPr>
                    <w:rFonts w:eastAsia="Times New Roman" w:cstheme="minorHAnsi"/>
                    <w:iCs/>
                    <w:sz w:val="22"/>
                    <w:szCs w:val="22"/>
                    <w:lang w:val="en-US" w:eastAsia="en-US"/>
                  </w:rPr>
                  <w:t xml:space="preserve"> of not less than</w:t>
                </w:r>
                <w:r w:rsidR="00AD7F5C" w:rsidRPr="00AD7F5C">
                  <w:rPr>
                    <w:rFonts w:ascii="Calibri" w:eastAsia="Times New Roman" w:hAnsi="Calibri" w:cs="Calibri"/>
                    <w:iCs/>
                    <w:sz w:val="22"/>
                    <w:szCs w:val="22"/>
                    <w:lang w:val="en-GB" w:eastAsia="en-US"/>
                  </w:rPr>
                  <w:t>.</w:t>
                </w:r>
              </w:p>
              <w:p w14:paraId="602B283C" w14:textId="426F168D" w:rsidR="00AA3865" w:rsidRPr="00AA3865" w:rsidRDefault="00AA3865" w:rsidP="00AA3865">
                <w:pPr>
                  <w:widowControl w:val="0"/>
                  <w:numPr>
                    <w:ilvl w:val="0"/>
                    <w:numId w:val="38"/>
                  </w:numPr>
                  <w:tabs>
                    <w:tab w:val="left" w:pos="403"/>
                  </w:tabs>
                  <w:spacing w:line="240" w:lineRule="auto"/>
                  <w:ind w:left="120" w:hanging="142"/>
                  <w:jc w:val="both"/>
                  <w:outlineLvl w:val="1"/>
                  <w:rPr>
                    <w:rFonts w:eastAsia="Times New Roman" w:cstheme="minorHAnsi"/>
                    <w:bCs/>
                    <w:iCs/>
                    <w:sz w:val="22"/>
                    <w:szCs w:val="22"/>
                    <w:lang w:val="en-GB" w:eastAsia="en-US"/>
                  </w:rPr>
                </w:pPr>
                <w:r w:rsidRPr="00AA3865">
                  <w:rPr>
                    <w:rFonts w:eastAsia="Times New Roman" w:cstheme="minorHAnsi"/>
                    <w:bCs/>
                    <w:iCs/>
                    <w:sz w:val="22"/>
                    <w:szCs w:val="22"/>
                    <w:lang w:val="en-GB" w:eastAsia="en-US"/>
                  </w:rPr>
                  <w:t xml:space="preserve">for part I of the object of procurement “Minibuses” - </w:t>
                </w:r>
                <w:r w:rsidR="00791F88" w:rsidRPr="00791F88">
                  <w:rPr>
                    <w:rFonts w:eastAsia="Times New Roman" w:cstheme="minorHAnsi"/>
                    <w:bCs/>
                    <w:iCs/>
                    <w:sz w:val="22"/>
                    <w:szCs w:val="22"/>
                  </w:rPr>
                  <w:t xml:space="preserve">150,000.00 </w:t>
                </w:r>
                <w:r w:rsidRPr="00AA3865">
                  <w:rPr>
                    <w:rFonts w:eastAsia="Times New Roman" w:cstheme="minorHAnsi"/>
                    <w:bCs/>
                    <w:iCs/>
                    <w:sz w:val="22"/>
                    <w:szCs w:val="22"/>
                    <w:lang w:val="en-GB" w:eastAsia="en-US"/>
                  </w:rPr>
                  <w:t xml:space="preserve">EUR excluding </w:t>
                </w:r>
                <w:proofErr w:type="gramStart"/>
                <w:r w:rsidRPr="00AA3865">
                  <w:rPr>
                    <w:rFonts w:eastAsia="Times New Roman" w:cstheme="minorHAnsi"/>
                    <w:bCs/>
                    <w:iCs/>
                    <w:sz w:val="22"/>
                    <w:szCs w:val="22"/>
                    <w:lang w:val="en-GB" w:eastAsia="en-US"/>
                  </w:rPr>
                  <w:t>VAT;</w:t>
                </w:r>
                <w:proofErr w:type="gramEnd"/>
              </w:p>
              <w:p w14:paraId="72B381A7" w14:textId="76032B6C" w:rsidR="00AA3865" w:rsidRPr="00AA3865" w:rsidRDefault="00AA3865" w:rsidP="00AA3865">
                <w:pPr>
                  <w:widowControl w:val="0"/>
                  <w:numPr>
                    <w:ilvl w:val="0"/>
                    <w:numId w:val="38"/>
                  </w:numPr>
                  <w:tabs>
                    <w:tab w:val="left" w:pos="403"/>
                  </w:tabs>
                  <w:spacing w:line="240" w:lineRule="auto"/>
                  <w:ind w:left="120" w:hanging="142"/>
                  <w:jc w:val="both"/>
                  <w:outlineLvl w:val="1"/>
                  <w:rPr>
                    <w:rFonts w:eastAsia="Times New Roman" w:cstheme="minorHAnsi"/>
                    <w:bCs/>
                    <w:iCs/>
                    <w:sz w:val="22"/>
                    <w:szCs w:val="22"/>
                    <w:lang w:val="en-GB" w:eastAsia="en-US"/>
                  </w:rPr>
                </w:pPr>
                <w:r w:rsidRPr="00AA3865">
                  <w:rPr>
                    <w:rFonts w:eastAsia="Times New Roman" w:cstheme="minorHAnsi"/>
                    <w:bCs/>
                    <w:iCs/>
                    <w:sz w:val="22"/>
                    <w:szCs w:val="22"/>
                    <w:lang w:val="en-GB" w:eastAsia="en-US"/>
                  </w:rPr>
                  <w:t xml:space="preserve">for part II of the object of procurement “Minibuses </w:t>
                </w:r>
                <w:r w:rsidRPr="00AA3865">
                  <w:rPr>
                    <w:rFonts w:eastAsia="Times New Roman" w:cstheme="minorHAnsi"/>
                    <w:bCs/>
                    <w:iCs/>
                    <w:sz w:val="22"/>
                    <w:szCs w:val="22"/>
                    <w:lang w:val="en-GB" w:eastAsia="en-US"/>
                  </w:rPr>
                  <w:lastRenderedPageBreak/>
                  <w:t xml:space="preserve">adapted for persons with disabilities” - </w:t>
                </w:r>
                <w:r w:rsidR="00791F88" w:rsidRPr="00791F88">
                  <w:rPr>
                    <w:rFonts w:eastAsia="Times New Roman" w:cstheme="minorHAnsi"/>
                    <w:bCs/>
                    <w:iCs/>
                    <w:sz w:val="22"/>
                    <w:szCs w:val="22"/>
                  </w:rPr>
                  <w:t xml:space="preserve">150,000.00 </w:t>
                </w:r>
                <w:r w:rsidRPr="00AA3865">
                  <w:rPr>
                    <w:rFonts w:eastAsia="Times New Roman" w:cstheme="minorHAnsi"/>
                    <w:bCs/>
                    <w:iCs/>
                    <w:sz w:val="22"/>
                    <w:szCs w:val="22"/>
                    <w:lang w:val="en-GB" w:eastAsia="en-US"/>
                  </w:rPr>
                  <w:t>EUR excluding VAT.</w:t>
                </w:r>
              </w:p>
              <w:p w14:paraId="68785285" w14:textId="77777777" w:rsidR="00AA3865" w:rsidRDefault="00AA3865"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p>
              <w:p w14:paraId="65403944" w14:textId="2C846745" w:rsidR="009C0073" w:rsidRPr="00AA3865" w:rsidRDefault="00AA3865" w:rsidP="00AA3865">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2F54A5">
                  <w:rPr>
                    <w:rFonts w:ascii="Calibri" w:eastAsia="Times New Roman" w:hAnsi="Calibri" w:cs="Calibri"/>
                    <w:iCs/>
                    <w:sz w:val="22"/>
                    <w:szCs w:val="22"/>
                    <w:lang w:val="en-GB" w:eastAsia="en-US"/>
                  </w:rPr>
                  <w:t>Sale is understood as the performance of the contractual obligations of one party (seller) under the contract of purchase-sale agreement, as defined in Article 6.305(1) of the Civil Code of the Republic of Lithuania (CC).</w:t>
                </w:r>
                <w:r w:rsidRPr="002F54A5">
                  <w:rPr>
                    <w:rFonts w:ascii="Calibri" w:eastAsia="Times New Roman" w:hAnsi="Calibri" w:cs="Calibri"/>
                    <w:iCs/>
                    <w:sz w:val="22"/>
                    <w:szCs w:val="22"/>
                    <w:lang w:val="en-GB" w:eastAsia="en-US"/>
                  </w:rPr>
                  <w:footnoteReference w:id="2"/>
                </w:r>
                <w:r w:rsidRPr="002F54A5">
                  <w:rPr>
                    <w:rFonts w:ascii="Calibri" w:eastAsia="Times New Roman" w:hAnsi="Calibri" w:cs="Calibri"/>
                    <w:iCs/>
                    <w:sz w:val="22"/>
                    <w:szCs w:val="22"/>
                    <w:lang w:val="en-GB" w:eastAsia="en-US"/>
                  </w:rPr>
                  <w:t xml:space="preserve">  If, according to a specific contract of sale, the seller's duties include the delivery and / or installation of goods, the value of these services is included in the total value. </w:t>
                </w:r>
              </w:p>
            </w:tc>
            <w:tc>
              <w:tcPr>
                <w:tcW w:w="1946" w:type="pct"/>
              </w:tcPr>
              <w:p w14:paraId="4A9A280B" w14:textId="77777777" w:rsidR="00AA3865" w:rsidRPr="001C0D43" w:rsidRDefault="00AA3865" w:rsidP="00AA3865">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16FF1925"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Pr="001C0D43">
                  <w:rPr>
                    <w:rFonts w:ascii="Calibri" w:hAnsi="Calibri" w:cs="Calibri"/>
                    <w:lang w:val="en-GB"/>
                  </w:rPr>
                  <w:t xml:space="preserve"> </w:t>
                </w:r>
                <w:r w:rsidRPr="001C0D43">
                  <w:rPr>
                    <w:rFonts w:ascii="Calibri" w:eastAsia="Calibri" w:hAnsi="Calibri" w:cs="Calibri"/>
                    <w:color w:val="000000" w:themeColor="text1"/>
                    <w:spacing w:val="-8"/>
                    <w:sz w:val="22"/>
                    <w:szCs w:val="22"/>
                    <w:lang w:val="en-GB" w:eastAsia="en-US"/>
                  </w:rPr>
                  <w:t xml:space="preserve">A list of the goods </w:t>
                </w:r>
                <w:r>
                  <w:rPr>
                    <w:rFonts w:ascii="Calibri" w:eastAsia="Calibri" w:hAnsi="Calibri" w:cs="Calibri"/>
                    <w:color w:val="000000" w:themeColor="text1"/>
                    <w:spacing w:val="-8"/>
                    <w:sz w:val="22"/>
                    <w:szCs w:val="22"/>
                    <w:lang w:val="en-GB" w:eastAsia="en-US"/>
                  </w:rPr>
                  <w:t>produc</w:t>
                </w:r>
                <w:r w:rsidRPr="001C0D43">
                  <w:rPr>
                    <w:rFonts w:ascii="Calibri" w:eastAsia="Calibri" w:hAnsi="Calibri" w:cs="Calibri"/>
                    <w:color w:val="000000" w:themeColor="text1"/>
                    <w:spacing w:val="-8"/>
                    <w:sz w:val="22"/>
                    <w:szCs w:val="22"/>
                    <w:lang w:val="en-GB" w:eastAsia="en-US"/>
                  </w:rPr>
                  <w:t>ed</w:t>
                </w:r>
                <w:r>
                  <w:rPr>
                    <w:rFonts w:ascii="Calibri" w:eastAsia="Calibri" w:hAnsi="Calibri" w:cs="Calibri"/>
                    <w:color w:val="000000" w:themeColor="text1"/>
                    <w:spacing w:val="-8"/>
                    <w:sz w:val="22"/>
                    <w:szCs w:val="22"/>
                    <w:lang w:val="en-GB" w:eastAsia="en-US"/>
                  </w:rPr>
                  <w:t xml:space="preserve"> and/or sold</w:t>
                </w:r>
                <w:r w:rsidRPr="001C0D43">
                  <w:rPr>
                    <w:rFonts w:ascii="Calibri" w:eastAsia="Calibri" w:hAnsi="Calibri" w:cs="Calibri"/>
                    <w:color w:val="000000" w:themeColor="text1"/>
                    <w:spacing w:val="-8"/>
                    <w:sz w:val="22"/>
                    <w:szCs w:val="22"/>
                    <w:lang w:val="en-GB" w:eastAsia="en-US"/>
                  </w:rPr>
                  <w:t xml:space="preserve"> by the supplier during the last 3 years, or during the period from the date of registration of the supplier (if the supplier has been in business for less than 3 (three) years), in accordance with the form set out in </w:t>
                </w:r>
                <w:r w:rsidRPr="001C0D43">
                  <w:rPr>
                    <w:rFonts w:ascii="Calibri" w:eastAsia="Calibri" w:hAnsi="Calibri" w:cs="Calibri"/>
                    <w:i/>
                    <w:iCs/>
                    <w:color w:val="000000" w:themeColor="text1"/>
                    <w:spacing w:val="-8"/>
                    <w:sz w:val="22"/>
                    <w:szCs w:val="22"/>
                    <w:lang w:val="en-GB" w:eastAsia="en-US"/>
                  </w:rPr>
                  <w:t xml:space="preserve">Annex 6 to the Tender Conditions, "List of </w:t>
                </w:r>
                <w:r>
                  <w:rPr>
                    <w:rFonts w:ascii="Calibri" w:eastAsia="Calibri" w:hAnsi="Calibri" w:cs="Calibri"/>
                    <w:i/>
                    <w:iCs/>
                    <w:color w:val="000000" w:themeColor="text1"/>
                    <w:spacing w:val="-8"/>
                    <w:sz w:val="22"/>
                    <w:szCs w:val="22"/>
                    <w:lang w:val="en-GB" w:eastAsia="en-US"/>
                  </w:rPr>
                  <w:t xml:space="preserve">Supplier </w:t>
                </w:r>
                <w:r w:rsidRPr="001C0D43">
                  <w:rPr>
                    <w:rFonts w:ascii="Calibri" w:eastAsia="Calibri" w:hAnsi="Calibri" w:cs="Calibri"/>
                    <w:i/>
                    <w:iCs/>
                    <w:color w:val="000000" w:themeColor="text1"/>
                    <w:spacing w:val="-8"/>
                    <w:sz w:val="22"/>
                    <w:szCs w:val="22"/>
                    <w:lang w:val="en-GB" w:eastAsia="en-US"/>
                  </w:rPr>
                  <w:t>Goods ".</w:t>
                </w:r>
              </w:p>
              <w:p w14:paraId="5374708A" w14:textId="77777777" w:rsidR="00AA3865" w:rsidRPr="00B13905" w:rsidRDefault="00AA3865" w:rsidP="00AA386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w:t>
                </w:r>
                <w:r w:rsidRPr="00B13905">
                  <w:rPr>
                    <w:rFonts w:ascii="Calibri" w:eastAsia="Calibri" w:hAnsi="Calibri" w:cs="Calibri"/>
                    <w:color w:val="000000" w:themeColor="text1"/>
                    <w:spacing w:val="-8"/>
                    <w:sz w:val="22"/>
                    <w:szCs w:val="22"/>
                    <w:lang w:val="en-GB" w:eastAsia="en-US"/>
                  </w:rPr>
                  <w:lastRenderedPageBreak/>
                  <w:t xml:space="preserve">those documents prove the proper performance of the contract. </w:t>
                </w:r>
              </w:p>
              <w:p w14:paraId="350E3EA4"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properly performed </w:t>
                </w:r>
                <w:r>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7E85F19E"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p>
              <w:p w14:paraId="739324A5"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6EF1BDA8"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Pr>
                    <w:rFonts w:ascii="Calibri" w:eastAsia="Calibri" w:hAnsi="Calibri" w:cs="Calibri"/>
                    <w:color w:val="000000" w:themeColor="text1"/>
                    <w:spacing w:val="-8"/>
                    <w:sz w:val="22"/>
                    <w:szCs w:val="22"/>
                    <w:lang w:val="en-GB" w:eastAsia="en-US"/>
                  </w:rPr>
                  <w:t>produced and/or sold</w:t>
                </w:r>
                <w:r w:rsidRPr="001C0D43">
                  <w:rPr>
                    <w:rFonts w:ascii="Calibri" w:eastAsia="Calibri" w:hAnsi="Calibri" w:cs="Calibri"/>
                    <w:color w:val="000000" w:themeColor="text1"/>
                    <w:spacing w:val="-8"/>
                    <w:sz w:val="22"/>
                    <w:szCs w:val="22"/>
                    <w:lang w:val="en-GB" w:eastAsia="en-US"/>
                  </w:rPr>
                  <w:t>.</w:t>
                </w:r>
              </w:p>
              <w:p w14:paraId="4B05CFA4" w14:textId="77777777" w:rsidR="00AA3865" w:rsidRPr="001C0D43" w:rsidRDefault="00AA3865" w:rsidP="00AA3865">
                <w:pPr>
                  <w:spacing w:line="240" w:lineRule="auto"/>
                  <w:jc w:val="both"/>
                  <w:rPr>
                    <w:rFonts w:ascii="Calibri" w:eastAsia="Calibri" w:hAnsi="Calibri" w:cs="Calibri"/>
                    <w:color w:val="000000" w:themeColor="text1"/>
                    <w:spacing w:val="-8"/>
                    <w:sz w:val="22"/>
                    <w:szCs w:val="22"/>
                    <w:lang w:val="en-GB" w:eastAsia="en-US"/>
                  </w:rPr>
                </w:pPr>
              </w:p>
              <w:p w14:paraId="6BE1D5F1" w14:textId="38FB98ED" w:rsidR="009C0073" w:rsidRPr="001C0D43" w:rsidRDefault="00AA3865" w:rsidP="00AA386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lastRenderedPageBreak/>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2059A4" w:rsidRDefault="00032DB2" w:rsidP="002059A4">
                <w:pPr>
                  <w:rPr>
                    <w:rFonts w:ascii="Calibri" w:eastAsia="Calibri" w:hAnsi="Calibri" w:cs="Calibri"/>
                    <w:sz w:val="22"/>
                    <w:szCs w:val="22"/>
                    <w:lang w:val="en-GB" w:eastAsia="en-US"/>
                  </w:rPr>
                </w:pPr>
              </w:p>
              <w:p w14:paraId="51D98280" w14:textId="40EEB680" w:rsidR="00032DB2" w:rsidRPr="002059A4" w:rsidRDefault="00AA3865" w:rsidP="002059A4">
                <w:pPr>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533AEF0A"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2D2A6347" w14:textId="77777777" w:rsidR="00AA3865" w:rsidRDefault="00AA3865" w:rsidP="00AA3865">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 xml:space="preserve">6.1. The most economically advantageous tender is selected based </w:t>
          </w:r>
          <w:r w:rsidRPr="00CC7417">
            <w:rPr>
              <w:rFonts w:ascii="Calibri" w:eastAsia="Times New Roman" w:hAnsi="Calibri" w:cs="Calibri"/>
              <w:color w:val="000000" w:themeColor="text1"/>
              <w:spacing w:val="-8"/>
              <w:sz w:val="22"/>
              <w:szCs w:val="22"/>
              <w:lang w:val="en-GB" w:eastAsia="en-US"/>
            </w:rPr>
            <w:t>on price-quality ratio.</w:t>
          </w:r>
        </w:p>
        <w:p w14:paraId="4E2F62A6" w14:textId="77777777" w:rsidR="00AA3865" w:rsidRPr="001C0D43" w:rsidRDefault="00AA3865" w:rsidP="00AA3865">
          <w:pPr>
            <w:spacing w:after="60"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Pr="001C0D43">
            <w:rPr>
              <w:rFonts w:ascii="Calibri" w:hAnsi="Calibri" w:cs="Calibri"/>
              <w:spacing w:val="-8"/>
              <w:sz w:val="22"/>
              <w:szCs w:val="22"/>
              <w:lang w:val="en-GB"/>
            </w:rPr>
            <w:t>The most economically advantageous tender will be selected based on the following criteria and parameters:</w:t>
          </w:r>
        </w:p>
        <w:tbl>
          <w:tblPr>
            <w:tblW w:w="5342" w:type="pct"/>
            <w:tblInd w:w="-577" w:type="dxa"/>
            <w:tblCellMar>
              <w:left w:w="0" w:type="dxa"/>
              <w:right w:w="0" w:type="dxa"/>
            </w:tblCellMar>
            <w:tblLook w:val="04A0" w:firstRow="1" w:lastRow="0" w:firstColumn="1" w:lastColumn="0" w:noHBand="0" w:noVBand="1"/>
          </w:tblPr>
          <w:tblGrid>
            <w:gridCol w:w="6622"/>
            <w:gridCol w:w="4011"/>
          </w:tblGrid>
          <w:tr w:rsidR="00AA3865" w:rsidRPr="001C0D43" w14:paraId="1233E21A" w14:textId="77777777" w:rsidTr="002D0CE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AE85B91" w14:textId="77777777" w:rsidR="00AA3865" w:rsidRPr="001C0D43" w:rsidRDefault="00AA3865" w:rsidP="00256BB9">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401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F0D7450" w14:textId="77777777" w:rsidR="00AA3865" w:rsidRPr="001C0D43" w:rsidRDefault="00AA3865" w:rsidP="00256BB9">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AA3865" w:rsidRPr="001C0D43" w14:paraId="29EEE726" w14:textId="77777777" w:rsidTr="002D0CE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75CC65" w14:textId="77777777" w:rsidR="00AA3865" w:rsidRPr="001C0D43" w:rsidRDefault="00AA3865" w:rsidP="00256BB9">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 xml:space="preserve">First criterion: </w:t>
                </w:r>
                <w:r>
                  <w:rPr>
                    <w:rFonts w:ascii="Calibri" w:eastAsia="Times New Roman" w:hAnsi="Calibri" w:cs="Calibri"/>
                    <w:b/>
                    <w:bCs/>
                    <w:sz w:val="22"/>
                    <w:szCs w:val="22"/>
                    <w:lang w:val="en-GB" w:eastAsia="en-US"/>
                  </w:rPr>
                  <w:t>P</w:t>
                </w:r>
                <w:r w:rsidRPr="001C0D43">
                  <w:rPr>
                    <w:rFonts w:ascii="Calibri" w:eastAsia="Times New Roman" w:hAnsi="Calibri" w:cs="Calibri"/>
                    <w:b/>
                    <w:bCs/>
                    <w:sz w:val="22"/>
                    <w:szCs w:val="22"/>
                    <w:lang w:val="en-GB" w:eastAsia="en-US"/>
                  </w:rPr>
                  <w:t>rice (C)</w:t>
                </w:r>
              </w:p>
            </w:tc>
            <w:tc>
              <w:tcPr>
                <w:tcW w:w="40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2F2D70" w14:textId="77777777" w:rsidR="00AA3865" w:rsidRPr="001C0D43" w:rsidRDefault="00AA3865" w:rsidP="00256BB9">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AA3865" w:rsidRPr="001C0D43" w14:paraId="551E248B" w14:textId="77777777" w:rsidTr="002D0CE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265EE4" w14:textId="77777777" w:rsidR="00AA3865" w:rsidRPr="001C0D43" w:rsidRDefault="00AA3865" w:rsidP="00256BB9">
                <w:pPr>
                  <w:spacing w:line="240" w:lineRule="auto"/>
                  <w:rPr>
                    <w:rFonts w:ascii="Calibri" w:eastAsia="Times New Roman" w:hAnsi="Calibri" w:cs="Calibri"/>
                    <w:b/>
                    <w:bCs/>
                    <w:sz w:val="22"/>
                    <w:szCs w:val="22"/>
                    <w:lang w:val="en-GB" w:eastAsia="en-US"/>
                  </w:rPr>
                </w:pPr>
                <w:r w:rsidRPr="00E362A6">
                  <w:rPr>
                    <w:rFonts w:ascii="Calibri" w:eastAsia="Times New Roman" w:hAnsi="Calibri" w:cs="Calibri"/>
                    <w:b/>
                    <w:bCs/>
                    <w:sz w:val="22"/>
                    <w:szCs w:val="22"/>
                    <w:lang w:val="en-GB" w:eastAsia="en-US"/>
                  </w:rPr>
                  <w:t>Second criterion</w:t>
                </w:r>
                <w:r w:rsidRPr="001C0D43">
                  <w:rPr>
                    <w:rFonts w:ascii="Calibri" w:eastAsia="Times New Roman" w:hAnsi="Calibri" w:cs="Calibri"/>
                    <w:b/>
                    <w:bCs/>
                    <w:sz w:val="22"/>
                    <w:szCs w:val="22"/>
                    <w:lang w:val="en-GB" w:eastAsia="en-US"/>
                  </w:rPr>
                  <w:t>: Delivery time (T)</w:t>
                </w:r>
              </w:p>
              <w:p w14:paraId="5413329C" w14:textId="74CE5693" w:rsidR="00AA3865" w:rsidRPr="001C0D43" w:rsidRDefault="00AA3865" w:rsidP="00256BB9">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791F88">
                  <w:rPr>
                    <w:rFonts w:ascii="Calibri" w:eastAsia="Times New Roman" w:hAnsi="Calibri" w:cs="Calibri"/>
                    <w:b/>
                    <w:bCs/>
                    <w:i/>
                    <w:iCs/>
                    <w:sz w:val="22"/>
                    <w:szCs w:val="22"/>
                    <w:lang w:val="en-GB" w:eastAsia="en-US"/>
                  </w:rPr>
                  <w:t>7</w:t>
                </w:r>
                <w:r w:rsidRPr="001C0D43">
                  <w:rPr>
                    <w:rFonts w:ascii="Calibri" w:eastAsia="Times New Roman" w:hAnsi="Calibri" w:cs="Calibri"/>
                    <w:b/>
                    <w:bCs/>
                    <w:i/>
                    <w:iCs/>
                    <w:sz w:val="22"/>
                    <w:szCs w:val="22"/>
                    <w:lang w:val="en-GB" w:eastAsia="en-US"/>
                  </w:rPr>
                  <w:t xml:space="preserve"> points)</w:t>
                </w:r>
              </w:p>
            </w:tc>
            <w:tc>
              <w:tcPr>
                <w:tcW w:w="40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896615" w14:textId="77777777" w:rsidR="00AA3865" w:rsidRPr="001C0D43" w:rsidRDefault="00AA3865" w:rsidP="00256BB9">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006CDE83" w14:textId="77777777" w:rsidR="00AA3865" w:rsidRPr="001C0D43" w:rsidRDefault="00AA3865" w:rsidP="00AA3865">
          <w:pPr>
            <w:spacing w:line="240" w:lineRule="auto"/>
            <w:ind w:left="-567"/>
            <w:jc w:val="both"/>
            <w:rPr>
              <w:rFonts w:ascii="Calibri" w:hAnsi="Calibri" w:cs="Calibri"/>
              <w:b/>
              <w:spacing w:val="-8"/>
              <w:sz w:val="22"/>
              <w:szCs w:val="22"/>
              <w:lang w:val="en-GB"/>
            </w:rPr>
          </w:pPr>
        </w:p>
        <w:p w14:paraId="6BA0FE49" w14:textId="77777777" w:rsidR="00AA3865" w:rsidRPr="001C0D43" w:rsidRDefault="00AA3865" w:rsidP="00AA3865">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The </w:t>
          </w:r>
          <w:r w:rsidRPr="001C0D43">
            <w:rPr>
              <w:rFonts w:ascii="Calibri" w:eastAsia="Times New Roman" w:hAnsi="Calibri" w:cs="Calibri"/>
              <w:color w:val="000000" w:themeColor="text1"/>
              <w:spacing w:val="-8"/>
              <w:sz w:val="22"/>
              <w:szCs w:val="22"/>
              <w:lang w:val="en-GB" w:eastAsia="en-US"/>
            </w:rPr>
            <w:t>price-quality ratio</w:t>
          </w:r>
          <w:r w:rsidRPr="001C0D43">
            <w:rPr>
              <w:rFonts w:ascii="Calibri" w:hAnsi="Calibri" w:cs="Calibri"/>
              <w:spacing w:val="-8"/>
              <w:sz w:val="22"/>
              <w:szCs w:val="22"/>
              <w:lang w:val="en-GB"/>
            </w:rPr>
            <w:t xml:space="preserve"> (S) is calculated by adding the supplier's bid price (C) and the other criteria (T)</w:t>
          </w:r>
        </w:p>
        <w:p w14:paraId="1A48274A" w14:textId="77777777" w:rsidR="00AA3865" w:rsidRPr="001C0D43" w:rsidRDefault="00AA3865" w:rsidP="00AA3865">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5D180F22" w14:textId="77777777" w:rsidR="00AA3865" w:rsidRPr="001C0D43" w:rsidRDefault="00AA3865" w:rsidP="00AA3865">
          <w:pPr>
            <w:spacing w:line="240" w:lineRule="auto"/>
            <w:ind w:left="-567" w:firstLine="567"/>
            <w:jc w:val="both"/>
            <w:rPr>
              <w:rFonts w:ascii="Calibri" w:hAnsi="Calibri" w:cs="Calibri"/>
              <w:spacing w:val="-8"/>
              <w:sz w:val="22"/>
              <w:szCs w:val="22"/>
              <w:lang w:val="en-GB"/>
            </w:rPr>
          </w:pPr>
        </w:p>
        <w:p w14:paraId="7F096F9A" w14:textId="07B18F57" w:rsidR="00AA3865" w:rsidRPr="001C0D43" w:rsidRDefault="00AA3865" w:rsidP="00AA3865">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w:t>
          </w:r>
          <w:r w:rsidR="00D22CD3" w:rsidRPr="00D22CD3">
            <w:rPr>
              <w:rFonts w:ascii="Calibri" w:hAnsi="Calibri" w:cs="Calibri"/>
              <w:spacing w:val="-8"/>
              <w:sz w:val="22"/>
              <w:szCs w:val="22"/>
              <w:lang w:val="en-GB"/>
            </w:rPr>
            <w:t>The score for the first criterion, “Price” (C), shall be calculated by multiplying the ratio of the lowest offered unit price</w:t>
          </w:r>
          <w:r w:rsidR="00D22CD3">
            <w:rPr>
              <w:rFonts w:ascii="Calibri" w:hAnsi="Calibri" w:cs="Calibri"/>
              <w:spacing w:val="-8"/>
              <w:sz w:val="22"/>
              <w:szCs w:val="22"/>
              <w:lang w:val="en-GB"/>
            </w:rPr>
            <w:t xml:space="preserve"> (rate)</w:t>
          </w:r>
          <w:r w:rsidR="00D22CD3" w:rsidRPr="00D22CD3">
            <w:rPr>
              <w:rFonts w:ascii="Calibri" w:hAnsi="Calibri" w:cs="Calibri"/>
              <w:spacing w:val="-8"/>
              <w:sz w:val="22"/>
              <w:szCs w:val="22"/>
              <w:lang w:val="en-GB"/>
            </w:rPr>
            <w:t xml:space="preserve"> (</w:t>
          </w:r>
          <w:proofErr w:type="spellStart"/>
          <w:r w:rsidR="00D22CD3" w:rsidRPr="00D22CD3">
            <w:rPr>
              <w:rFonts w:ascii="Calibri" w:hAnsi="Calibri" w:cs="Calibri"/>
              <w:spacing w:val="-8"/>
              <w:sz w:val="22"/>
              <w:szCs w:val="22"/>
              <w:lang w:val="en-GB"/>
            </w:rPr>
            <w:t>Cmin</w:t>
          </w:r>
          <w:proofErr w:type="spellEnd"/>
          <w:r w:rsidR="00D22CD3" w:rsidRPr="00D22CD3">
            <w:rPr>
              <w:rFonts w:ascii="Calibri" w:hAnsi="Calibri" w:cs="Calibri"/>
              <w:spacing w:val="-8"/>
              <w:sz w:val="22"/>
              <w:szCs w:val="22"/>
              <w:lang w:val="en-GB"/>
            </w:rPr>
            <w:t>) to the unit price</w:t>
          </w:r>
          <w:r w:rsidR="00D22CD3">
            <w:rPr>
              <w:rFonts w:ascii="Calibri" w:hAnsi="Calibri" w:cs="Calibri"/>
              <w:spacing w:val="-8"/>
              <w:sz w:val="22"/>
              <w:szCs w:val="22"/>
              <w:lang w:val="en-GB"/>
            </w:rPr>
            <w:t xml:space="preserve"> (rate)</w:t>
          </w:r>
          <w:r w:rsidR="00D22CD3" w:rsidRPr="00D22CD3">
            <w:rPr>
              <w:rFonts w:ascii="Calibri" w:hAnsi="Calibri" w:cs="Calibri"/>
              <w:spacing w:val="-8"/>
              <w:sz w:val="22"/>
              <w:szCs w:val="22"/>
              <w:lang w:val="en-GB"/>
            </w:rPr>
            <w:t xml:space="preserve"> of the evaluated tender (Cp) by the weighting coefficient of the price criterion (X):</w:t>
          </w:r>
        </w:p>
        <w:p w14:paraId="280B6880" w14:textId="5F27A72C" w:rsidR="00AA3865" w:rsidRPr="001C0D43" w:rsidRDefault="00D22CD3" w:rsidP="00AA3865">
          <w:pPr>
            <w:spacing w:line="240" w:lineRule="auto"/>
            <w:ind w:left="-567" w:firstLine="567"/>
            <w:jc w:val="center"/>
            <w:rPr>
              <w:rFonts w:ascii="Calibri" w:hAnsi="Calibri" w:cs="Calibri"/>
              <w:spacing w:val="-8"/>
              <w:sz w:val="22"/>
              <w:szCs w:val="22"/>
              <w:lang w:val="en-GB"/>
            </w:rPr>
          </w:pPr>
          <w:r w:rsidRPr="00EC2FCD">
            <w:rPr>
              <w:rFonts w:ascii="Times New Roman" w:hAnsi="Times New Roman"/>
              <w:position w:val="-32"/>
            </w:rPr>
            <w:object w:dxaOrig="1300" w:dyaOrig="720" w14:anchorId="2D4F8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832479945" r:id="rId13"/>
            </w:object>
          </w:r>
        </w:p>
        <w:p w14:paraId="263FE99D" w14:textId="5D2DF6A9" w:rsidR="00AA3865" w:rsidRPr="001C0D43" w:rsidRDefault="00AA3865" w:rsidP="00AA3865">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6.5. The score for the second criterion (T) shall be calculated by multiplying the ratio between the criterion value (</w:t>
          </w:r>
          <w:proofErr w:type="spellStart"/>
          <w:r w:rsidRPr="001C0D43">
            <w:rPr>
              <w:rFonts w:ascii="Calibri" w:hAnsi="Calibri" w:cs="Calibri"/>
              <w:spacing w:val="-8"/>
              <w:sz w:val="22"/>
              <w:szCs w:val="22"/>
              <w:lang w:val="en-GB"/>
            </w:rPr>
            <w:t>Tp</w:t>
          </w:r>
          <w:proofErr w:type="spellEnd"/>
          <w:r w:rsidRPr="001C0D43">
            <w:rPr>
              <w:rFonts w:ascii="Calibri" w:hAnsi="Calibri" w:cs="Calibri"/>
              <w:spacing w:val="-8"/>
              <w:sz w:val="22"/>
              <w:szCs w:val="22"/>
              <w:lang w:val="en-GB"/>
            </w:rPr>
            <w:t>) of the evaluated proposal and the maximum possible value (</w:t>
          </w:r>
          <w:proofErr w:type="spellStart"/>
          <w:r w:rsidRPr="001C0D43">
            <w:rPr>
              <w:rFonts w:ascii="Calibri" w:hAnsi="Calibri" w:cs="Calibri"/>
              <w:spacing w:val="-8"/>
              <w:sz w:val="22"/>
              <w:szCs w:val="22"/>
              <w:lang w:val="en-GB"/>
            </w:rPr>
            <w:t>Tmax</w:t>
          </w:r>
          <w:proofErr w:type="spellEnd"/>
          <w:r w:rsidRPr="001C0D43">
            <w:rPr>
              <w:rFonts w:ascii="Calibri" w:hAnsi="Calibri" w:cs="Calibri"/>
              <w:spacing w:val="-8"/>
              <w:sz w:val="22"/>
              <w:szCs w:val="22"/>
              <w:lang w:val="en-GB"/>
            </w:rPr>
            <w:t xml:space="preserve">) of the criterion (i.e. </w:t>
          </w:r>
          <w:r w:rsidR="00791F88">
            <w:rPr>
              <w:rFonts w:ascii="Calibri" w:hAnsi="Calibri" w:cs="Calibri"/>
              <w:spacing w:val="-8"/>
              <w:sz w:val="22"/>
              <w:szCs w:val="22"/>
              <w:lang w:val="en-GB"/>
            </w:rPr>
            <w:t>7</w:t>
          </w:r>
          <w:r w:rsidRPr="001C0D43">
            <w:rPr>
              <w:rFonts w:ascii="Calibri" w:hAnsi="Calibri" w:cs="Calibri"/>
              <w:spacing w:val="-8"/>
              <w:sz w:val="22"/>
              <w:szCs w:val="22"/>
              <w:lang w:val="en-GB"/>
            </w:rPr>
            <w:t xml:space="preserve"> points) by the comparative weighting of the evaluated criterion (Y):</w:t>
          </w:r>
        </w:p>
        <w:p w14:paraId="7CF1FCE1" w14:textId="77777777" w:rsidR="00AA3865" w:rsidRPr="001C0D43" w:rsidRDefault="00AA3865" w:rsidP="00AA3865">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6A7F4390" w14:textId="77777777" w:rsidR="00AA3865" w:rsidRPr="001C0D43" w:rsidRDefault="00AA3865" w:rsidP="00AA3865">
          <w:pPr>
            <w:spacing w:line="240" w:lineRule="auto"/>
            <w:ind w:left="-567" w:firstLine="567"/>
            <w:jc w:val="both"/>
            <w:rPr>
              <w:rFonts w:ascii="Calibri" w:hAnsi="Calibri" w:cs="Calibri"/>
              <w:spacing w:val="-8"/>
              <w:sz w:val="22"/>
              <w:szCs w:val="22"/>
              <w:lang w:val="en-GB"/>
            </w:rPr>
          </w:pPr>
        </w:p>
        <w:p w14:paraId="2F4FE705" w14:textId="77777777" w:rsidR="00AA3865" w:rsidRDefault="00AA3865" w:rsidP="00AA3865">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Rounded to two decimal places.</w:t>
          </w:r>
        </w:p>
        <w:p w14:paraId="275E8063" w14:textId="77777777" w:rsidR="00AA3865" w:rsidRPr="00CC7417" w:rsidRDefault="00AA3865" w:rsidP="00AA3865">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 xml:space="preserve">6.7. </w:t>
          </w:r>
          <w:r w:rsidRPr="001C0D43">
            <w:rPr>
              <w:rFonts w:ascii="Calibri" w:hAnsi="Calibri" w:cs="Calibri"/>
              <w:spacing w:val="-8"/>
              <w:sz w:val="22"/>
              <w:szCs w:val="22"/>
              <w:lang w:val="en-GB"/>
            </w:rPr>
            <w:t xml:space="preserve">Rules for the </w:t>
          </w:r>
          <w:r w:rsidRPr="00CC7417">
            <w:rPr>
              <w:rFonts w:ascii="Calibri" w:hAnsi="Calibri" w:cs="Calibri"/>
              <w:spacing w:val="-8"/>
              <w:sz w:val="22"/>
              <w:szCs w:val="22"/>
              <w:lang w:val="en-GB"/>
            </w:rPr>
            <w:t>award of points under evaluation criterion T "Delivery time":</w:t>
          </w:r>
        </w:p>
        <w:p w14:paraId="6F701A12" w14:textId="77777777" w:rsidR="00AA3865" w:rsidRPr="00CC7417" w:rsidRDefault="00AA3865" w:rsidP="00AA3865">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.1.</w:t>
          </w:r>
          <w:r w:rsidRPr="00CC7417">
            <w:rPr>
              <w:rFonts w:ascii="Calibri" w:hAnsi="Calibri" w:cs="Calibri"/>
              <w:spacing w:val="-8"/>
              <w:sz w:val="22"/>
              <w:szCs w:val="22"/>
              <w:lang w:val="en-GB"/>
            </w:rPr>
            <w:tab/>
            <w:t xml:space="preserve">The Commission evaluates the tender under criterion T "Time for delivery" by assigning a score according to the requirements set </w:t>
          </w:r>
          <w:proofErr w:type="gramStart"/>
          <w:r w:rsidRPr="00CC7417">
            <w:rPr>
              <w:rFonts w:ascii="Calibri" w:hAnsi="Calibri" w:cs="Calibri"/>
              <w:spacing w:val="-8"/>
              <w:sz w:val="22"/>
              <w:szCs w:val="22"/>
              <w:lang w:val="en-GB"/>
            </w:rPr>
            <w:t>out;</w:t>
          </w:r>
          <w:proofErr w:type="gramEnd"/>
        </w:p>
        <w:p w14:paraId="3AA52903" w14:textId="46DD115F" w:rsidR="00AA3865" w:rsidRPr="00CC7417" w:rsidRDefault="00AA3865" w:rsidP="00AA3865">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.2.</w:t>
          </w:r>
          <w:r w:rsidRPr="00CC7417">
            <w:rPr>
              <w:rFonts w:ascii="Calibri" w:hAnsi="Calibri" w:cs="Calibri"/>
              <w:spacing w:val="-8"/>
              <w:sz w:val="22"/>
              <w:szCs w:val="22"/>
              <w:lang w:val="en-GB"/>
            </w:rPr>
            <w:tab/>
            <w:t xml:space="preserve">The maximum number of points for criterion T "Delivery time" shall be </w:t>
          </w:r>
          <w:r w:rsidR="00791F88">
            <w:rPr>
              <w:rFonts w:ascii="Calibri" w:hAnsi="Calibri" w:cs="Calibri"/>
              <w:spacing w:val="-8"/>
              <w:sz w:val="22"/>
              <w:szCs w:val="22"/>
              <w:lang w:val="en-GB"/>
            </w:rPr>
            <w:t>7</w:t>
          </w:r>
          <w:r w:rsidRPr="00CC7417">
            <w:rPr>
              <w:rFonts w:ascii="Calibri" w:hAnsi="Calibri" w:cs="Calibri"/>
              <w:spacing w:val="-8"/>
              <w:sz w:val="22"/>
              <w:szCs w:val="22"/>
              <w:lang w:val="en-GB"/>
            </w:rPr>
            <w:t xml:space="preserve"> points.</w:t>
          </w:r>
        </w:p>
        <w:p w14:paraId="6D233752" w14:textId="77777777" w:rsidR="00AA3865" w:rsidRDefault="00AA3865" w:rsidP="00AA3865">
          <w:pPr>
            <w:tabs>
              <w:tab w:val="left" w:pos="851"/>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.3. For quality criterion T "Delivery</w:t>
          </w:r>
          <w:r w:rsidRPr="001C0D43">
            <w:rPr>
              <w:rFonts w:ascii="Calibri" w:hAnsi="Calibri" w:cs="Calibri"/>
              <w:spacing w:val="-8"/>
              <w:sz w:val="22"/>
              <w:szCs w:val="22"/>
              <w:lang w:val="en-GB"/>
            </w:rPr>
            <w:t xml:space="preserve"> time", points are awarded according to the delivery time proposed by the supplier. The following scoring scale shall be used for the evaluation of the criterion (T)</w:t>
          </w:r>
          <w:r>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271"/>
            <w:gridCol w:w="9214"/>
          </w:tblGrid>
          <w:tr w:rsidR="00AA3865" w:rsidRPr="001C0D43" w14:paraId="338573AA" w14:textId="77777777" w:rsidTr="00256BB9">
            <w:tc>
              <w:tcPr>
                <w:tcW w:w="1271" w:type="dxa"/>
              </w:tcPr>
              <w:p w14:paraId="7B0E3FD1" w14:textId="77777777" w:rsidR="00AA3865" w:rsidRPr="001C0D43" w:rsidRDefault="00AA3865" w:rsidP="00256BB9">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9214" w:type="dxa"/>
              </w:tcPr>
              <w:p w14:paraId="6CB33F04" w14:textId="77777777" w:rsidR="00AA3865" w:rsidRPr="001C0D43" w:rsidRDefault="00AA3865" w:rsidP="00256BB9">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AA3865" w:rsidRPr="001C0D43" w14:paraId="2224BC71" w14:textId="77777777" w:rsidTr="00256BB9">
            <w:tc>
              <w:tcPr>
                <w:tcW w:w="1271" w:type="dxa"/>
              </w:tcPr>
              <w:p w14:paraId="21B31A4D"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214" w:type="dxa"/>
              </w:tcPr>
              <w:p w14:paraId="6F04B1C5"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515F4EEA" w14:textId="77777777" w:rsidTr="00256BB9">
            <w:tc>
              <w:tcPr>
                <w:tcW w:w="1271" w:type="dxa"/>
              </w:tcPr>
              <w:p w14:paraId="765E07D9"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2 points</w:t>
                </w:r>
              </w:p>
            </w:tc>
            <w:tc>
              <w:tcPr>
                <w:tcW w:w="9214" w:type="dxa"/>
              </w:tcPr>
              <w:p w14:paraId="10601702"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6B43425C" w14:textId="77777777" w:rsidTr="00256BB9">
            <w:tc>
              <w:tcPr>
                <w:tcW w:w="1271" w:type="dxa"/>
              </w:tcPr>
              <w:p w14:paraId="506340C5"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3 points</w:t>
                </w:r>
              </w:p>
            </w:tc>
            <w:tc>
              <w:tcPr>
                <w:tcW w:w="9214" w:type="dxa"/>
              </w:tcPr>
              <w:p w14:paraId="0AB8B6A3"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10F8F6DE" w14:textId="77777777" w:rsidTr="00256BB9">
            <w:tc>
              <w:tcPr>
                <w:tcW w:w="1271" w:type="dxa"/>
              </w:tcPr>
              <w:p w14:paraId="0E55B7A4" w14:textId="77777777" w:rsidR="00AA3865" w:rsidRPr="001C0D43" w:rsidRDefault="00AA3865" w:rsidP="00256BB9">
                <w:pPr>
                  <w:jc w:val="both"/>
                  <w:rPr>
                    <w:rFonts w:ascii="Calibri" w:hAnsi="Calibri" w:cs="Calibri"/>
                    <w:spacing w:val="-8"/>
                    <w:sz w:val="22"/>
                    <w:szCs w:val="22"/>
                    <w:lang w:val="en-GB"/>
                  </w:rPr>
                </w:pPr>
                <w:r>
                  <w:rPr>
                    <w:rFonts w:ascii="Calibri" w:hAnsi="Calibri" w:cs="Calibri"/>
                    <w:spacing w:val="-8"/>
                    <w:sz w:val="22"/>
                    <w:szCs w:val="22"/>
                    <w:lang w:val="en-GB"/>
                  </w:rPr>
                  <w:t>4</w:t>
                </w:r>
                <w:r w:rsidRPr="001C0D43">
                  <w:rPr>
                    <w:rFonts w:ascii="Calibri" w:hAnsi="Calibri" w:cs="Calibri"/>
                    <w:spacing w:val="-8"/>
                    <w:sz w:val="22"/>
                    <w:szCs w:val="22"/>
                    <w:lang w:val="en-GB"/>
                  </w:rPr>
                  <w:t xml:space="preserve"> points</w:t>
                </w:r>
              </w:p>
            </w:tc>
            <w:tc>
              <w:tcPr>
                <w:tcW w:w="9214" w:type="dxa"/>
              </w:tcPr>
              <w:p w14:paraId="0972B791"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4</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7BE29677" w14:textId="77777777" w:rsidTr="00256BB9">
            <w:tc>
              <w:tcPr>
                <w:tcW w:w="1271" w:type="dxa"/>
              </w:tcPr>
              <w:p w14:paraId="3A23572D" w14:textId="77777777" w:rsidR="00AA3865" w:rsidRPr="001C0D43" w:rsidRDefault="00AA3865" w:rsidP="00256BB9">
                <w:pPr>
                  <w:jc w:val="both"/>
                  <w:rPr>
                    <w:rFonts w:ascii="Calibri" w:hAnsi="Calibri" w:cs="Calibri"/>
                    <w:spacing w:val="-8"/>
                    <w:sz w:val="22"/>
                    <w:szCs w:val="22"/>
                    <w:lang w:val="en-GB"/>
                  </w:rPr>
                </w:pPr>
                <w:r>
                  <w:rPr>
                    <w:rFonts w:ascii="Calibri" w:hAnsi="Calibri" w:cs="Calibri"/>
                    <w:spacing w:val="-8"/>
                    <w:sz w:val="22"/>
                    <w:szCs w:val="22"/>
                    <w:lang w:val="en-GB"/>
                  </w:rPr>
                  <w:t>5</w:t>
                </w:r>
                <w:r w:rsidRPr="001C0D43">
                  <w:rPr>
                    <w:rFonts w:ascii="Calibri" w:hAnsi="Calibri" w:cs="Calibri"/>
                    <w:spacing w:val="-8"/>
                    <w:sz w:val="22"/>
                    <w:szCs w:val="22"/>
                    <w:lang w:val="en-GB"/>
                  </w:rPr>
                  <w:t xml:space="preserve"> points</w:t>
                </w:r>
              </w:p>
            </w:tc>
            <w:tc>
              <w:tcPr>
                <w:tcW w:w="9214" w:type="dxa"/>
              </w:tcPr>
              <w:p w14:paraId="78D4197C"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5</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30F32315" w14:textId="77777777" w:rsidTr="00256BB9">
            <w:tc>
              <w:tcPr>
                <w:tcW w:w="1271" w:type="dxa"/>
              </w:tcPr>
              <w:p w14:paraId="3EB34D24" w14:textId="77777777" w:rsidR="00AA3865" w:rsidRPr="001C0D43" w:rsidRDefault="00AA3865" w:rsidP="00256BB9">
                <w:pPr>
                  <w:jc w:val="both"/>
                  <w:rPr>
                    <w:rFonts w:ascii="Calibri" w:hAnsi="Calibri" w:cs="Calibri"/>
                    <w:spacing w:val="-8"/>
                    <w:sz w:val="22"/>
                    <w:szCs w:val="22"/>
                    <w:lang w:val="en-GB"/>
                  </w:rPr>
                </w:pPr>
                <w:r>
                  <w:rPr>
                    <w:rFonts w:ascii="Calibri" w:hAnsi="Calibri" w:cs="Calibri"/>
                    <w:spacing w:val="-8"/>
                    <w:sz w:val="22"/>
                    <w:szCs w:val="22"/>
                    <w:lang w:val="en-GB"/>
                  </w:rPr>
                  <w:t>6</w:t>
                </w:r>
                <w:r w:rsidRPr="001C0D43">
                  <w:rPr>
                    <w:rFonts w:ascii="Calibri" w:hAnsi="Calibri" w:cs="Calibri"/>
                    <w:spacing w:val="-8"/>
                    <w:sz w:val="22"/>
                    <w:szCs w:val="22"/>
                    <w:lang w:val="en-GB"/>
                  </w:rPr>
                  <w:t xml:space="preserve"> points</w:t>
                </w:r>
              </w:p>
            </w:tc>
            <w:tc>
              <w:tcPr>
                <w:tcW w:w="9214" w:type="dxa"/>
              </w:tcPr>
              <w:p w14:paraId="7FA325EE"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AA3865" w:rsidRPr="001C0D43" w14:paraId="20B76DEE" w14:textId="77777777" w:rsidTr="00256BB9">
            <w:tc>
              <w:tcPr>
                <w:tcW w:w="1271" w:type="dxa"/>
              </w:tcPr>
              <w:p w14:paraId="7A95ADC6" w14:textId="77777777" w:rsidR="00AA3865" w:rsidRPr="001C0D43" w:rsidRDefault="00AA3865" w:rsidP="00256BB9">
                <w:pPr>
                  <w:jc w:val="both"/>
                  <w:rPr>
                    <w:rFonts w:ascii="Calibri" w:hAnsi="Calibri" w:cs="Calibri"/>
                    <w:spacing w:val="-8"/>
                    <w:sz w:val="22"/>
                    <w:szCs w:val="22"/>
                    <w:lang w:val="en-GB"/>
                  </w:rPr>
                </w:pPr>
                <w:r>
                  <w:rPr>
                    <w:rFonts w:ascii="Calibri" w:hAnsi="Calibri" w:cs="Calibri"/>
                    <w:spacing w:val="-8"/>
                    <w:sz w:val="22"/>
                    <w:szCs w:val="22"/>
                    <w:lang w:val="en-GB"/>
                  </w:rPr>
                  <w:t>7</w:t>
                </w:r>
                <w:r w:rsidRPr="001C0D43">
                  <w:rPr>
                    <w:rFonts w:ascii="Calibri" w:hAnsi="Calibri" w:cs="Calibri"/>
                    <w:spacing w:val="-8"/>
                    <w:sz w:val="22"/>
                    <w:szCs w:val="22"/>
                    <w:lang w:val="en-GB"/>
                  </w:rPr>
                  <w:t xml:space="preserve"> points</w:t>
                </w:r>
              </w:p>
            </w:tc>
            <w:tc>
              <w:tcPr>
                <w:tcW w:w="9214" w:type="dxa"/>
              </w:tcPr>
              <w:p w14:paraId="5B387A44" w14:textId="77777777" w:rsidR="00AA3865" w:rsidRPr="001C0D43" w:rsidRDefault="00AA3865" w:rsidP="00256BB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7</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bl>
        <w:p w14:paraId="30B3B823" w14:textId="77777777" w:rsidR="00AA3865" w:rsidRDefault="00AA3865" w:rsidP="00AA3865">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 xml:space="preserve">Note: the proposed delivery time is to be evaluated in whole numbers to the nearest month (e.g. if the proposed delivery time is </w:t>
          </w:r>
          <w:r>
            <w:rPr>
              <w:rFonts w:ascii="Calibri" w:hAnsi="Calibri" w:cs="Calibri"/>
              <w:i/>
              <w:spacing w:val="-8"/>
              <w:sz w:val="22"/>
              <w:szCs w:val="22"/>
              <w:lang w:val="en-GB"/>
            </w:rPr>
            <w:t>3</w:t>
          </w:r>
          <w:r w:rsidRPr="001C0D43">
            <w:rPr>
              <w:rFonts w:ascii="Calibri" w:hAnsi="Calibri" w:cs="Calibri"/>
              <w:i/>
              <w:spacing w:val="-8"/>
              <w:sz w:val="22"/>
              <w:szCs w:val="22"/>
              <w:lang w:val="en-GB"/>
            </w:rPr>
            <w:t xml:space="preserve">.8 months shorter than the maximum delivery time stipulated in clause 1.9 of the Conditions of Contract, the evaluation of this value would be based on the integers in the proposal, i.e. for a </w:t>
          </w:r>
          <w:r>
            <w:rPr>
              <w:rFonts w:ascii="Calibri" w:hAnsi="Calibri" w:cs="Calibri"/>
              <w:i/>
              <w:spacing w:val="-8"/>
              <w:sz w:val="22"/>
              <w:szCs w:val="22"/>
              <w:lang w:val="en-GB"/>
            </w:rPr>
            <w:t>3</w:t>
          </w:r>
          <w:r w:rsidRPr="001C0D43">
            <w:rPr>
              <w:rFonts w:ascii="Calibri" w:hAnsi="Calibri" w:cs="Calibri"/>
              <w:i/>
              <w:spacing w:val="-8"/>
              <w:sz w:val="22"/>
              <w:szCs w:val="22"/>
              <w:lang w:val="en-GB"/>
            </w:rPr>
            <w:t xml:space="preserve"> month delivery time).</w:t>
          </w:r>
        </w:p>
        <w:p w14:paraId="79ABE742" w14:textId="77777777" w:rsidR="00AA3865" w:rsidRPr="001C0D43" w:rsidRDefault="00AA3865" w:rsidP="00AA3865">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 xml:space="preserve">6.8.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28C9D3A" w14:textId="77777777" w:rsidR="00AA3865" w:rsidRPr="001C0D43" w:rsidRDefault="00AA3865"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lastRenderedPageBreak/>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7BC98811"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r w:rsidR="00FA3F0A">
                  <w:rPr>
                    <w:rFonts w:ascii="Calibri" w:eastAsia="Times New Roman" w:hAnsi="Calibri" w:cs="Calibri"/>
                    <w:color w:val="000000" w:themeColor="text1"/>
                    <w:spacing w:val="-8"/>
                    <w:sz w:val="22"/>
                    <w:szCs w:val="22"/>
                    <w:lang w:val="en-GB"/>
                  </w:rPr>
                  <w:t>.</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0798646E"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r w:rsidR="00FA3F0A">
                  <w:rPr>
                    <w:rFonts w:ascii="Calibri" w:eastAsia="Times New Roman" w:hAnsi="Calibri" w:cs="Calibri"/>
                    <w:color w:val="000000" w:themeColor="text1"/>
                    <w:spacing w:val="-8"/>
                    <w:sz w:val="22"/>
                    <w:szCs w:val="22"/>
                    <w:lang w:val="en-GB"/>
                  </w:rPr>
                  <w:t>.</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2) the supplier, its sub-supplier, the economic operator whose capacities are relied upon, the </w:t>
                </w:r>
                <w:r w:rsidRPr="001C0D43">
                  <w:rPr>
                    <w:rFonts w:ascii="Calibri" w:eastAsia="Times New Roman" w:hAnsi="Calibri" w:cs="Calibri"/>
                    <w:color w:val="000000" w:themeColor="text1"/>
                    <w:spacing w:val="-8"/>
                    <w:sz w:val="22"/>
                    <w:szCs w:val="22"/>
                    <w:lang w:val="en-GB"/>
                  </w:rPr>
                  <w:lastRenderedPageBreak/>
                  <w:t>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2277D119"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634B1CC9"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FA3F0A">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w:t>
                </w:r>
                <w:r w:rsidR="00932FDC" w:rsidRPr="001C0D43">
                  <w:rPr>
                    <w:rFonts w:ascii="Calibri" w:hAnsi="Calibri" w:cs="Calibri"/>
                    <w:sz w:val="22"/>
                    <w:szCs w:val="22"/>
                    <w:lang w:val="en-GB"/>
                  </w:rPr>
                  <w:lastRenderedPageBreak/>
                  <w:t xml:space="preserve">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309209F5" w14:textId="77777777" w:rsidR="00FA3F0A" w:rsidRPr="001C0D43" w:rsidRDefault="00FA3F0A" w:rsidP="00FA3F0A">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6D94DA09" w:rsidR="00290370" w:rsidRPr="001C0D43" w:rsidRDefault="00FA3F0A" w:rsidP="00FA3F0A">
                <w:pPr>
                  <w:jc w:val="both"/>
                  <w:rPr>
                    <w:rFonts w:ascii="Calibri" w:hAnsi="Calibri" w:cs="Calibri"/>
                    <w:sz w:val="22"/>
                    <w:szCs w:val="22"/>
                    <w:lang w:val="en-GB"/>
                  </w:rPr>
                </w:pPr>
                <w:r w:rsidRPr="007B0C62">
                  <w:rPr>
                    <w:rFonts w:ascii="Calibri" w:hAnsi="Calibri" w:cs="Calibri"/>
                    <w:sz w:val="22"/>
                    <w:szCs w:val="22"/>
                    <w:lang w:val="en-GB"/>
                  </w:rPr>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r w:rsidR="00BB7B13" w:rsidRPr="001C0D43" w14:paraId="389D252A" w14:textId="77777777" w:rsidTr="00402234">
            <w:tc>
              <w:tcPr>
                <w:tcW w:w="851" w:type="dxa"/>
              </w:tcPr>
              <w:p w14:paraId="2E6448B6" w14:textId="19B5AA30" w:rsidR="00BB7B13" w:rsidRPr="001C0D43" w:rsidRDefault="00BB7B13"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FA3F0A">
                  <w:rPr>
                    <w:rFonts w:ascii="Calibri" w:eastAsia="Times New Roman" w:hAnsi="Calibri" w:cs="Calibri"/>
                    <w:color w:val="000000" w:themeColor="text1"/>
                    <w:spacing w:val="-8"/>
                    <w:sz w:val="22"/>
                    <w:szCs w:val="22"/>
                    <w:lang w:val="en-GB"/>
                  </w:rPr>
                  <w:t>4.</w:t>
                </w:r>
              </w:p>
            </w:tc>
            <w:tc>
              <w:tcPr>
                <w:tcW w:w="4536" w:type="dxa"/>
              </w:tcPr>
              <w:p w14:paraId="08805438" w14:textId="77777777" w:rsidR="00BB7B13" w:rsidRPr="001C0D43" w:rsidRDefault="00BB7B13" w:rsidP="00BB7B13">
                <w:pPr>
                  <w:jc w:val="both"/>
                  <w:rPr>
                    <w:rFonts w:ascii="Calibri" w:hAnsi="Calibri" w:cs="Calibri"/>
                    <w:b/>
                    <w:i/>
                    <w:sz w:val="22"/>
                    <w:szCs w:val="22"/>
                    <w:lang w:val="en-GB"/>
                  </w:rPr>
                </w:pPr>
                <w:r w:rsidRPr="001C0D43">
                  <w:rPr>
                    <w:rFonts w:ascii="Calibri" w:hAnsi="Calibri" w:cs="Calibri"/>
                    <w:b/>
                    <w:i/>
                    <w:sz w:val="22"/>
                    <w:szCs w:val="22"/>
                    <w:lang w:val="en-GB"/>
                  </w:rPr>
                  <w:t>National grounds for safeguarding national security interests in the beneficiary country</w:t>
                </w:r>
              </w:p>
              <w:p w14:paraId="58463213" w14:textId="3E2BA4A9" w:rsidR="00BB7B13" w:rsidRPr="001C0D43" w:rsidRDefault="00BB7B13" w:rsidP="00BB7B13">
                <w:pPr>
                  <w:jc w:val="both"/>
                  <w:rPr>
                    <w:rFonts w:ascii="Calibri" w:hAnsi="Calibri" w:cs="Calibri"/>
                    <w:b/>
                    <w:i/>
                    <w:sz w:val="22"/>
                    <w:szCs w:val="22"/>
                    <w:lang w:val="en-GB"/>
                  </w:rPr>
                </w:pPr>
                <w:r w:rsidRPr="001C0D43">
                  <w:rPr>
                    <w:rFonts w:ascii="Calibri" w:hAnsi="Calibri" w:cs="Calibri"/>
                    <w:sz w:val="22"/>
                    <w:szCs w:val="22"/>
                    <w:lang w:val="en-GB"/>
                  </w:rPr>
                  <w:t xml:space="preserve">The supplier, subcontractors, economic operators whose capacities are relied upon are not subject to sanctions </w:t>
                </w:r>
                <w:proofErr w:type="gramStart"/>
                <w:r w:rsidRPr="001C0D43">
                  <w:rPr>
                    <w:rFonts w:ascii="Calibri" w:hAnsi="Calibri" w:cs="Calibri"/>
                    <w:sz w:val="22"/>
                    <w:szCs w:val="22"/>
                    <w:lang w:val="en-GB"/>
                  </w:rPr>
                  <w:t>as a result of</w:t>
                </w:r>
                <w:proofErr w:type="gramEnd"/>
                <w:r w:rsidRPr="001C0D43">
                  <w:rPr>
                    <w:rFonts w:ascii="Calibri" w:hAnsi="Calibri" w:cs="Calibri"/>
                    <w:sz w:val="22"/>
                    <w:szCs w:val="22"/>
                    <w:lang w:val="en-GB"/>
                  </w:rPr>
                  <w:t xml:space="preserve"> the armed aggression of the Russian Federation against Ukraine and to sanctions in accordance with the Law on Sanctions of Ukraine.</w:t>
                </w:r>
              </w:p>
            </w:tc>
            <w:tc>
              <w:tcPr>
                <w:tcW w:w="5147" w:type="dxa"/>
              </w:tcPr>
              <w:p w14:paraId="17FBF971" w14:textId="2B58C9B4" w:rsidR="00BB7B13" w:rsidRPr="001C0D43" w:rsidRDefault="00BB7B13" w:rsidP="00BB7B13">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tc>
          </w:tr>
        </w:tbl>
        <w:p w14:paraId="0FC90D8B" w14:textId="674DC171" w:rsidR="00D526C8" w:rsidRPr="002059A4"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636AA299"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0F58" w14:textId="77777777" w:rsidR="00202B79" w:rsidRDefault="00202B79" w:rsidP="00D05666">
      <w:r>
        <w:separator/>
      </w:r>
    </w:p>
  </w:endnote>
  <w:endnote w:type="continuationSeparator" w:id="0">
    <w:p w14:paraId="5838668C" w14:textId="77777777" w:rsidR="00202B79" w:rsidRDefault="00202B79" w:rsidP="00D05666">
      <w:r>
        <w:continuationSeparator/>
      </w:r>
    </w:p>
  </w:endnote>
  <w:endnote w:type="continuationNotice" w:id="1">
    <w:p w14:paraId="0029000E" w14:textId="77777777" w:rsidR="00202B79" w:rsidRDefault="00202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C263" w14:textId="77777777" w:rsidR="00202B79" w:rsidRDefault="00202B79" w:rsidP="00D05666">
      <w:r>
        <w:separator/>
      </w:r>
    </w:p>
  </w:footnote>
  <w:footnote w:type="continuationSeparator" w:id="0">
    <w:p w14:paraId="0944B2A6" w14:textId="77777777" w:rsidR="00202B79" w:rsidRDefault="00202B79" w:rsidP="00D05666">
      <w:r>
        <w:continuationSeparator/>
      </w:r>
    </w:p>
  </w:footnote>
  <w:footnote w:type="continuationNotice" w:id="1">
    <w:p w14:paraId="5A94F574" w14:textId="77777777" w:rsidR="00202B79" w:rsidRDefault="00202B79">
      <w:pPr>
        <w:spacing w:line="240" w:lineRule="auto"/>
      </w:pPr>
    </w:p>
  </w:footnote>
  <w:footnote w:id="2">
    <w:p w14:paraId="66CB65EE" w14:textId="77777777" w:rsidR="00AA3865" w:rsidRPr="00F90B5B" w:rsidRDefault="00AA3865" w:rsidP="00DB6B6F">
      <w:pPr>
        <w:pStyle w:val="FootnoteText"/>
        <w:spacing w:line="240" w:lineRule="auto"/>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92685"/>
    <w:multiLevelType w:val="hybridMultilevel"/>
    <w:tmpl w:val="029A1C74"/>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A42598"/>
    <w:multiLevelType w:val="hybridMultilevel"/>
    <w:tmpl w:val="06DEB142"/>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C8A53CF"/>
    <w:multiLevelType w:val="hybridMultilevel"/>
    <w:tmpl w:val="D102C166"/>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374EFB"/>
    <w:multiLevelType w:val="hybridMultilevel"/>
    <w:tmpl w:val="7606306E"/>
    <w:lvl w:ilvl="0" w:tplc="E6502B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6"/>
  </w:num>
  <w:num w:numId="2" w16cid:durableId="1458796651">
    <w:abstractNumId w:val="34"/>
  </w:num>
  <w:num w:numId="3" w16cid:durableId="986669117">
    <w:abstractNumId w:val="30"/>
  </w:num>
  <w:num w:numId="4" w16cid:durableId="50422428">
    <w:abstractNumId w:val="15"/>
  </w:num>
  <w:num w:numId="5" w16cid:durableId="1287351064">
    <w:abstractNumId w:val="37"/>
  </w:num>
  <w:num w:numId="6" w16cid:durableId="2144691379">
    <w:abstractNumId w:val="17"/>
  </w:num>
  <w:num w:numId="7" w16cid:durableId="1321040374">
    <w:abstractNumId w:val="26"/>
  </w:num>
  <w:num w:numId="8" w16cid:durableId="74208215">
    <w:abstractNumId w:val="4"/>
  </w:num>
  <w:num w:numId="9" w16cid:durableId="1440834314">
    <w:abstractNumId w:val="13"/>
  </w:num>
  <w:num w:numId="10" w16cid:durableId="1223981521">
    <w:abstractNumId w:val="22"/>
  </w:num>
  <w:num w:numId="11" w16cid:durableId="584462305">
    <w:abstractNumId w:val="3"/>
  </w:num>
  <w:num w:numId="12" w16cid:durableId="1100294885">
    <w:abstractNumId w:val="33"/>
  </w:num>
  <w:num w:numId="13" w16cid:durableId="2082285250">
    <w:abstractNumId w:val="20"/>
  </w:num>
  <w:num w:numId="14" w16cid:durableId="762456588">
    <w:abstractNumId w:val="31"/>
  </w:num>
  <w:num w:numId="15" w16cid:durableId="2078437464">
    <w:abstractNumId w:val="1"/>
  </w:num>
  <w:num w:numId="16" w16cid:durableId="65689812">
    <w:abstractNumId w:val="7"/>
  </w:num>
  <w:num w:numId="17" w16cid:durableId="720203372">
    <w:abstractNumId w:val="24"/>
  </w:num>
  <w:num w:numId="18" w16cid:durableId="893614039">
    <w:abstractNumId w:val="25"/>
  </w:num>
  <w:num w:numId="19" w16cid:durableId="645162192">
    <w:abstractNumId w:val="32"/>
  </w:num>
  <w:num w:numId="20" w16cid:durableId="688991483">
    <w:abstractNumId w:val="0"/>
  </w:num>
  <w:num w:numId="21" w16cid:durableId="98530467">
    <w:abstractNumId w:val="35"/>
  </w:num>
  <w:num w:numId="22" w16cid:durableId="1551569479">
    <w:abstractNumId w:val="16"/>
  </w:num>
  <w:num w:numId="23" w16cid:durableId="542597720">
    <w:abstractNumId w:val="21"/>
  </w:num>
  <w:num w:numId="24" w16cid:durableId="848762111">
    <w:abstractNumId w:val="14"/>
  </w:num>
  <w:num w:numId="25" w16cid:durableId="753476839">
    <w:abstractNumId w:val="28"/>
  </w:num>
  <w:num w:numId="26" w16cid:durableId="447704344">
    <w:abstractNumId w:val="10"/>
  </w:num>
  <w:num w:numId="27" w16cid:durableId="654794468">
    <w:abstractNumId w:val="27"/>
  </w:num>
  <w:num w:numId="28" w16cid:durableId="1825850859">
    <w:abstractNumId w:val="8"/>
  </w:num>
  <w:num w:numId="29" w16cid:durableId="1535071831">
    <w:abstractNumId w:val="9"/>
  </w:num>
  <w:num w:numId="30" w16cid:durableId="1592159290">
    <w:abstractNumId w:val="2"/>
  </w:num>
  <w:num w:numId="31" w16cid:durableId="1453093723">
    <w:abstractNumId w:val="36"/>
  </w:num>
  <w:num w:numId="32" w16cid:durableId="1331830751">
    <w:abstractNumId w:val="18"/>
  </w:num>
  <w:num w:numId="33" w16cid:durableId="513148369">
    <w:abstractNumId w:val="12"/>
  </w:num>
  <w:num w:numId="34" w16cid:durableId="1231040376">
    <w:abstractNumId w:val="23"/>
  </w:num>
  <w:num w:numId="35" w16cid:durableId="700595114">
    <w:abstractNumId w:val="11"/>
  </w:num>
  <w:num w:numId="36" w16cid:durableId="358971018">
    <w:abstractNumId w:val="19"/>
  </w:num>
  <w:num w:numId="37" w16cid:durableId="1290669186">
    <w:abstractNumId w:val="5"/>
  </w:num>
  <w:num w:numId="38" w16cid:durableId="82385521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6530"/>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1E"/>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2B79"/>
    <w:rsid w:val="00203725"/>
    <w:rsid w:val="002037C0"/>
    <w:rsid w:val="00203E56"/>
    <w:rsid w:val="00203E8B"/>
    <w:rsid w:val="00203F35"/>
    <w:rsid w:val="00204A04"/>
    <w:rsid w:val="002052BC"/>
    <w:rsid w:val="002058A4"/>
    <w:rsid w:val="002059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718"/>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0CE7"/>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523"/>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6B82"/>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45CF"/>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7D6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7D9"/>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076B"/>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1D37"/>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4C6B"/>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88"/>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3D62"/>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5BDE"/>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472B9"/>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36D4"/>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3865"/>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399"/>
    <w:rsid w:val="00C3061F"/>
    <w:rsid w:val="00C31457"/>
    <w:rsid w:val="00C31480"/>
    <w:rsid w:val="00C32030"/>
    <w:rsid w:val="00C327B5"/>
    <w:rsid w:val="00C32BB2"/>
    <w:rsid w:val="00C32E53"/>
    <w:rsid w:val="00C33280"/>
    <w:rsid w:val="00C338F5"/>
    <w:rsid w:val="00C33938"/>
    <w:rsid w:val="00C346B2"/>
    <w:rsid w:val="00C35066"/>
    <w:rsid w:val="00C357D8"/>
    <w:rsid w:val="00C360F1"/>
    <w:rsid w:val="00C373EA"/>
    <w:rsid w:val="00C37E50"/>
    <w:rsid w:val="00C41B6F"/>
    <w:rsid w:val="00C42A0E"/>
    <w:rsid w:val="00C44102"/>
    <w:rsid w:val="00C4429E"/>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2CD3"/>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B6F"/>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6121"/>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778"/>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4AA7"/>
    <w:rsid w:val="00F05E60"/>
    <w:rsid w:val="00F05F84"/>
    <w:rsid w:val="00F10773"/>
    <w:rsid w:val="00F10EB1"/>
    <w:rsid w:val="00F1106D"/>
    <w:rsid w:val="00F1174E"/>
    <w:rsid w:val="00F126A8"/>
    <w:rsid w:val="00F129AA"/>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31"/>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3F0A"/>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
      <w:docPartPr>
        <w:name w:val="12B3D6B2828E4C0D8F4F172938276B31"/>
        <w:category>
          <w:name w:val="General"/>
          <w:gallery w:val="placeholder"/>
        </w:category>
        <w:types>
          <w:type w:val="bbPlcHdr"/>
        </w:types>
        <w:behaviors>
          <w:behavior w:val="content"/>
        </w:behaviors>
        <w:guid w:val="{282552E5-A65A-47C3-8169-F300CCF6D7CD}"/>
      </w:docPartPr>
      <w:docPartBody>
        <w:p w:rsidR="002E6CB3" w:rsidRDefault="006741D6" w:rsidP="006741D6">
          <w:pPr>
            <w:pStyle w:val="12B3D6B2828E4C0D8F4F172938276B313"/>
          </w:pPr>
          <w:r w:rsidRPr="001C0D43">
            <w:rPr>
              <w:rStyle w:val="PlaceholderText"/>
              <w:rFonts w:ascii="Calibri" w:hAnsi="Calibri" w:cs="Calibri"/>
              <w:i/>
              <w:iCs/>
              <w:highlight w:val="darkGray"/>
              <w:lang w:val="en-GB"/>
            </w:rPr>
            <w:t>Select</w:t>
          </w:r>
        </w:p>
      </w:docPartBody>
    </w:docPart>
    <w:docPart>
      <w:docPartPr>
        <w:name w:val="F00E28EED65D4931AB21589D9F077EB1"/>
        <w:category>
          <w:name w:val="General"/>
          <w:gallery w:val="placeholder"/>
        </w:category>
        <w:types>
          <w:type w:val="bbPlcHdr"/>
        </w:types>
        <w:behaviors>
          <w:behavior w:val="content"/>
        </w:behaviors>
        <w:guid w:val="{DAECC89C-3D30-432E-AE70-C54760448D44}"/>
      </w:docPartPr>
      <w:docPartBody>
        <w:p w:rsidR="00894F81" w:rsidRDefault="006741D6" w:rsidP="006741D6">
          <w:pPr>
            <w:pStyle w:val="F00E28EED65D4931AB21589D9F077EB13"/>
          </w:pPr>
          <w:r w:rsidRPr="001C0D43">
            <w:rPr>
              <w:rStyle w:val="PlaceholderText"/>
              <w:rFonts w:ascii="Calibri" w:hAnsi="Calibri" w:cs="Calibri"/>
              <w:i/>
              <w:iCs/>
              <w:highlight w:val="darkGray"/>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136A45"/>
    <w:rsid w:val="001B0B1E"/>
    <w:rsid w:val="001D2292"/>
    <w:rsid w:val="002121BF"/>
    <w:rsid w:val="00230A2C"/>
    <w:rsid w:val="00283AC8"/>
    <w:rsid w:val="002E6CB3"/>
    <w:rsid w:val="00372CD2"/>
    <w:rsid w:val="004D076B"/>
    <w:rsid w:val="004D7F5E"/>
    <w:rsid w:val="00502DEB"/>
    <w:rsid w:val="00534647"/>
    <w:rsid w:val="00541B1A"/>
    <w:rsid w:val="00551BD0"/>
    <w:rsid w:val="00576587"/>
    <w:rsid w:val="005765BA"/>
    <w:rsid w:val="005D113F"/>
    <w:rsid w:val="00614E80"/>
    <w:rsid w:val="006268FA"/>
    <w:rsid w:val="00673681"/>
    <w:rsid w:val="006741D6"/>
    <w:rsid w:val="00677DB6"/>
    <w:rsid w:val="00767B9D"/>
    <w:rsid w:val="007A7C28"/>
    <w:rsid w:val="007C6001"/>
    <w:rsid w:val="00894F81"/>
    <w:rsid w:val="008D3BC6"/>
    <w:rsid w:val="008E1673"/>
    <w:rsid w:val="008E607F"/>
    <w:rsid w:val="009472B9"/>
    <w:rsid w:val="009F7E60"/>
    <w:rsid w:val="00AC48BF"/>
    <w:rsid w:val="00BC2E9B"/>
    <w:rsid w:val="00C2494C"/>
    <w:rsid w:val="00C30399"/>
    <w:rsid w:val="00C4495F"/>
    <w:rsid w:val="00D17783"/>
    <w:rsid w:val="00E023EC"/>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 w:type="paragraph" w:customStyle="1" w:styleId="12B3D6B2828E4C0D8F4F172938276B313">
    <w:name w:val="12B3D6B2828E4C0D8F4F172938276B313"/>
    <w:rsid w:val="006741D6"/>
    <w:pPr>
      <w:spacing w:after="0" w:line="276" w:lineRule="auto"/>
    </w:pPr>
    <w:rPr>
      <w:sz w:val="21"/>
      <w:szCs w:val="21"/>
    </w:rPr>
  </w:style>
  <w:style w:type="paragraph" w:customStyle="1" w:styleId="F00E28EED65D4931AB21589D9F077EB13">
    <w:name w:val="F00E28EED65D4931AB21589D9F077EB13"/>
    <w:rsid w:val="006741D6"/>
    <w:pPr>
      <w:spacing w:after="0"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16445</Words>
  <Characters>9375</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29</cp:revision>
  <dcterms:created xsi:type="dcterms:W3CDTF">2024-04-02T06:02:00Z</dcterms:created>
  <dcterms:modified xsi:type="dcterms:W3CDTF">2026-02-13T07:26:00Z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9ce003515c83b7003b3fa0cf9e2c30a87b91e03ae2ff39a52cfd0ea61e3ed4b3</vt:lpwstr>
  </property>
</Properties>
</file>