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Normal"/>
        <w:tabs>
          <w:tab w:val="clear" w:pos="1296"/>
          <w:tab w:val="left" w:pos="7692" w:leader="none"/>
        </w:tabs>
        <w:textAlignment w:val="center"/>
        <w:rPr>
          <w:szCs w:val="24"/>
        </w:rPr>
      </w:pPr>
      <w:r>
        <w:rPr>
          <w:szCs w:val="24"/>
        </w:rPr>
      </w:r>
    </w:p>
    <w:p>
      <w:pPr>
        <w:pStyle w:val="Normal"/>
        <w:tabs>
          <w:tab w:val="clear" w:pos="1296"/>
          <w:tab w:val="left" w:pos="5400" w:leader="none"/>
        </w:tabs>
        <w:textAlignment w:val="center"/>
        <w:rPr>
          <w:szCs w:val="24"/>
        </w:rPr>
      </w:pPr>
      <w:r>
        <w:rPr>
          <w:szCs w:val="24"/>
        </w:rPr>
      </w:r>
    </w:p>
    <w:p>
      <w:pPr>
        <w:pStyle w:val="Normal"/>
        <w:tabs>
          <w:tab w:val="clear" w:pos="1296"/>
          <w:tab w:val="left" w:pos="5400" w:leader="none"/>
        </w:tabs>
        <w:textAlignment w:val="center"/>
        <w:rPr>
          <w:szCs w:val="24"/>
        </w:rPr>
      </w:pPr>
      <w:r>
        <w:rPr>
          <w:szCs w:val="24"/>
        </w:rPr>
      </w:r>
    </w:p>
    <w:p>
      <w:pPr>
        <w:pStyle w:val="Normal"/>
        <w:widowControl w:val="false"/>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widowControl w:val="false"/>
        <w:tabs>
          <w:tab w:val="clear" w:pos="1296"/>
          <w:tab w:val="left" w:pos="567" w:leader="none"/>
          <w:tab w:val="left" w:pos="851" w:leader="none"/>
        </w:tabs>
        <w:jc w:val="center"/>
        <w:rPr>
          <w:b/>
          <w:bCs/>
          <w:caps/>
          <w:szCs w:val="24"/>
        </w:rPr>
      </w:pPr>
      <w:r>
        <w:rPr>
          <w:b/>
          <w:bCs/>
          <w:caps/>
          <w:szCs w:val="24"/>
        </w:rPr>
      </w:r>
    </w:p>
    <w:p>
      <w:pPr>
        <w:pStyle w:val="Normal"/>
        <w:tabs>
          <w:tab w:val="clear" w:pos="1296"/>
          <w:tab w:val="left" w:pos="5400" w:leader="none"/>
        </w:tabs>
        <w:textAlignment w:val="center"/>
        <w:rPr>
          <w:szCs w:val="24"/>
        </w:rPr>
      </w:pPr>
      <w:r>
        <w:rPr>
          <w:szCs w:val="24"/>
        </w:rPr>
      </w:r>
    </w:p>
    <w:p>
      <w:pPr>
        <w:pStyle w:val="Normal"/>
        <w:widowControl w:val="false"/>
        <w:tabs>
          <w:tab w:val="clear" w:pos="1296"/>
          <w:tab w:val="left" w:pos="567" w:leader="none"/>
          <w:tab w:val="left" w:pos="851" w:leader="none"/>
        </w:tabs>
        <w:jc w:val="center"/>
        <w:rPr>
          <w:caps/>
          <w:szCs w:val="24"/>
        </w:rPr>
      </w:pPr>
      <w:r>
        <w:rPr>
          <w:caps/>
          <w:szCs w:val="24"/>
        </w:rPr>
      </w:r>
    </w:p>
    <w:p>
      <w:pPr>
        <w:pStyle w:val="Normal"/>
        <w:jc w:val="center"/>
        <w:rPr>
          <w:szCs w:val="24"/>
        </w:rPr>
      </w:pPr>
      <w:r>
        <w:rPr>
          <w:szCs w:val="24"/>
        </w:rPr>
      </w:r>
    </w:p>
    <w:tbl>
      <w:tblPr>
        <w:tblW w:w="99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2"/>
        <w:gridCol w:w="2183"/>
        <w:gridCol w:w="2361"/>
        <w:gridCol w:w="2988"/>
      </w:tblGrid>
      <w:tr>
        <w:trPr/>
        <w:tc>
          <w:tcPr>
            <w:tcW w:w="2442"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pavadinimas</w:t>
            </w:r>
          </w:p>
        </w:tc>
        <w:tc>
          <w:tcPr>
            <w:tcW w:w="7532" w:type="dxa"/>
            <w:gridSpan w:val="3"/>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r>
        <w:trPr/>
        <w:tc>
          <w:tcPr>
            <w:tcW w:w="2442"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83"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1"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988"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9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4"/>
        <w:gridCol w:w="3136"/>
        <w:gridCol w:w="4035"/>
      </w:tblGrid>
      <w:tr>
        <w:trPr/>
        <w:tc>
          <w:tcPr>
            <w:tcW w:w="997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80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1.1. Pirkėjas</w:t>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 Pavadinimas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t>Lietuvos Respublikos generalinė prokuratūra</w:t>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1.1.2. Juridinio asmens kodas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t>288603320</w:t>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1.1.3. Adresas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t>Rinktinės g. 5 A, Vilnius</w:t>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1.1.4. PVM mokėtojo kodas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t>Ne PVM mokėtojas</w:t>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1.1.5. Atsiskaitomoji sąskaita</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t>LT10 4040 0636 1000 2305</w:t>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1.1.6. Bankas, banko kodas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t>Lietuvos Respublikos finansų ministerija</w:t>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1.1.7. Telefonas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t>+370 5 266 2304</w:t>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1.1.8. El. paštas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lang w:val="en-US"/>
              </w:rPr>
              <w:t>g</w:t>
            </w:r>
            <w:r>
              <w:rPr>
                <w:kern w:val="2"/>
                <w:szCs w:val="24"/>
              </w:rPr>
              <w:t>eneraline.prokuratura</w:t>
            </w:r>
            <w:r>
              <w:rPr>
                <w:kern w:val="2"/>
                <w:szCs w:val="24"/>
                <w:lang w:val="en-US"/>
              </w:rPr>
              <w:t>@prokuraturos.lt</w:t>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1.1.9. Šalies atstovas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lang w:val="en-US"/>
              </w:rPr>
            </w:pPr>
            <w:r>
              <w:rPr>
                <w:kern w:val="2"/>
                <w:szCs w:val="24"/>
                <w:lang w:val="en-US"/>
              </w:rPr>
              <w:t>Prokurat</w:t>
            </w:r>
            <w:r>
              <w:rPr>
                <w:kern w:val="2"/>
                <w:szCs w:val="24"/>
                <w:lang w:val="lt-LT"/>
              </w:rPr>
              <w:t>ūros kancleris Nerijus Rudaitis</w:t>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1.1.10. Atstovavimo pagrindas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t>2021-02-03 įsakymas Nr. I-18</w:t>
            </w:r>
          </w:p>
        </w:tc>
      </w:tr>
      <w:tr>
        <w:trPr/>
        <w:tc>
          <w:tcPr>
            <w:tcW w:w="2804" w:type="dxa"/>
            <w:vMerge w:val="restart"/>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1.2. Tiekėjas</w:t>
            </w:r>
          </w:p>
          <w:p>
            <w:pPr>
              <w:pStyle w:val="Normal"/>
              <w:rPr>
                <w:color w:val="4472C4"/>
                <w:kern w:val="2"/>
                <w:szCs w:val="24"/>
              </w:rPr>
            </w:pPr>
            <w:r>
              <w:rPr>
                <w:color w:val="4472C4"/>
                <w:kern w:val="2"/>
                <w:szCs w:val="24"/>
              </w:rPr>
              <w:t>(jei Tiekėjas yra fizinis asmuo, skiltys atitinkamai pakoreguojamos.</w:t>
            </w:r>
          </w:p>
          <w:p>
            <w:pPr>
              <w:pStyle w:val="Normal"/>
              <w:rPr>
                <w:color w:val="4472C4"/>
                <w:kern w:val="2"/>
                <w:szCs w:val="24"/>
              </w:rPr>
            </w:pPr>
            <w:r>
              <w:rPr>
                <w:color w:val="4472C4"/>
                <w:kern w:val="2"/>
                <w:szCs w:val="24"/>
              </w:rPr>
              <w:t>Jei Tiekėjas yra tiekėjų grupė, skiltys pildomos įterpiant kiekvieno grupės nario informaciją)</w:t>
            </w:r>
          </w:p>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 Pavadinimas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 Juridinio asmens kodas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1.2.3. Adresas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1.2.4. PVM mokėtojo kodas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1.2.5. Atsiskaitomoji sąskaita</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1.2.6. Bankas, banko kodas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1.2.7. Telefonas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1.2.8. El. paštas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1.2.9. Šalies atstovas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4"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136"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1.2.10. Atstovavimo pagrindas</w:t>
            </w:r>
          </w:p>
        </w:tc>
        <w:tc>
          <w:tcPr>
            <w:tcW w:w="4035"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bl>
    <w:p>
      <w:pPr>
        <w:pStyle w:val="Normal"/>
        <w:jc w:val="both"/>
        <w:rPr>
          <w:szCs w:val="24"/>
        </w:rPr>
      </w:pPr>
      <w:r>
        <w:rPr>
          <w:szCs w:val="24"/>
        </w:rPr>
      </w:r>
    </w:p>
    <w:tbl>
      <w:tblPr>
        <w:tblW w:w="99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6"/>
        <w:gridCol w:w="38"/>
        <w:gridCol w:w="2129"/>
        <w:gridCol w:w="4751"/>
      </w:tblGrid>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kern w:val="2"/>
                <w:szCs w:val="24"/>
              </w:rPr>
              <w:t xml:space="preserve">Tiekėjas įsipareigoja Sutartyje numatytomis sąlygomis suteikti Pirkėjui Paslaugas Tiekėjas įsipareigoja Sutartyje numatytomis sąlygomis suteikti Pirkėjui </w:t>
            </w:r>
            <w:r>
              <w:rPr>
                <w:rFonts w:eastAsia="Calibri"/>
                <w:kern w:val="2"/>
                <w:szCs w:val="24"/>
              </w:rPr>
              <w:t xml:space="preserve">Prokuratūros administravimo </w:t>
            </w:r>
            <w:r>
              <w:rPr>
                <w:kern w:val="2"/>
                <w:szCs w:val="24"/>
              </w:rPr>
              <w:t xml:space="preserve">informacinės sistemos (PAIS) palaikymo ir tobulinimo </w:t>
            </w:r>
            <w:r>
              <w:rPr>
                <w:rFonts w:eastAsia="Calibri"/>
                <w:color w:themeColor="text1" w:val="000000"/>
                <w:kern w:val="2"/>
                <w:szCs w:val="24"/>
              </w:rPr>
              <w:t xml:space="preserve">paslaugas </w:t>
            </w:r>
            <w:r>
              <w:rPr>
                <w:color w:val="000000"/>
                <w:kern w:val="2"/>
                <w:szCs w:val="24"/>
              </w:rPr>
              <w:t>(toliau – Paslaugos).</w:t>
            </w:r>
          </w:p>
          <w:p>
            <w:pPr>
              <w:pStyle w:val="Normal"/>
              <w:rPr>
                <w:color w:val="000000"/>
                <w:kern w:val="2"/>
                <w:szCs w:val="24"/>
              </w:rPr>
            </w:pPr>
            <w:r>
              <w:rPr>
                <w:color w:val="000000"/>
                <w:kern w:val="2"/>
                <w:szCs w:val="24"/>
              </w:rPr>
              <w:t>Išsamus Paslaugų aprašymas ir kiti reikalavimai teikiamoms Paslaugoms nustatyti Sutarties priede Nr. 1 „Techninė specifikacija“ (toliau – Techninė specifikacija) ir Sutarties priede Nr. 2 „Pasiūlymas“. (toliau – Paslaugos).</w:t>
            </w:r>
          </w:p>
          <w:p>
            <w:pPr>
              <w:pStyle w:val="Normal"/>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Prokuratūros administravimo informacinės sistemos (PAIS) palaikymo ir tobulinimo paslaugų pirkimas, pirkimo ID</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kern w:val="2"/>
                <w:szCs w:val="24"/>
              </w:rPr>
            </w:pPr>
            <w:r>
              <w:rPr>
                <w:kern w:val="2"/>
                <w:szCs w:val="24"/>
              </w:rPr>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 xml:space="preserve">4.1. </w:t>
            </w:r>
            <w:r>
              <w:rPr>
                <w:b/>
                <w:color w:val="auto"/>
                <w:szCs w:val="24"/>
              </w:rPr>
              <w:t>Paslaugų</w:t>
            </w:r>
            <w:r>
              <w:rPr>
                <w:b/>
                <w:color w:val="auto"/>
                <w:kern w:val="2"/>
                <w:szCs w:val="24"/>
              </w:rPr>
              <w:t xml:space="preserve"> </w:t>
            </w:r>
            <w:r>
              <w:rPr>
                <w:b/>
                <w:color w:val="auto"/>
                <w:szCs w:val="24"/>
              </w:rPr>
              <w:t>suteikimo</w:t>
            </w:r>
            <w:r>
              <w:rPr>
                <w:b/>
                <w:color w:val="auto"/>
                <w:kern w:val="2"/>
                <w:szCs w:val="24"/>
              </w:rPr>
              <w:t xml:space="preserve"> terminas, kai </w:t>
            </w:r>
            <w:r>
              <w:rPr>
                <w:b/>
                <w:color w:val="auto"/>
                <w:szCs w:val="24"/>
              </w:rPr>
              <w:t>Paslaugos yra vienkartinio pobūdžio, teikiamos periodiškai arba pagal Pirkėjo Užsakymą</w:t>
            </w:r>
          </w:p>
          <w:p>
            <w:pPr>
              <w:pStyle w:val="Normal"/>
              <w:rPr>
                <w:b/>
                <w:color w:val="auto"/>
                <w:kern w:val="2"/>
                <w:szCs w:val="24"/>
              </w:rPr>
            </w:pPr>
            <w:r>
              <w:rPr>
                <w:b/>
                <w:color w:val="auto"/>
                <w:kern w:val="2"/>
                <w:szCs w:val="24"/>
              </w:rPr>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 xml:space="preserve">Tiekėjas Paslaugas įsipareigoja teikti 36 mėnesius nuo Sutarties įsigaliojimo dienos, bet ne ilgiau nei paslaugų suteikiama už </w:t>
            </w:r>
            <w:r>
              <w:rPr>
                <w:rFonts w:cs="Calibri" w:cstheme="minorHAnsi"/>
                <w:color w:val="auto"/>
                <w:kern w:val="2"/>
                <w:szCs w:val="24"/>
              </w:rPr>
              <w:t xml:space="preserve">200 000,00 </w:t>
            </w:r>
            <w:r>
              <w:rPr>
                <w:b/>
                <w:bCs/>
                <w:color w:val="auto"/>
              </w:rPr>
              <w:t xml:space="preserve">Eur be PVM / </w:t>
            </w:r>
            <w:r>
              <w:rPr>
                <w:b/>
                <w:bCs/>
                <w:color w:val="auto"/>
                <w:kern w:val="2"/>
                <w:szCs w:val="24"/>
              </w:rPr>
              <w:t xml:space="preserve">242 000,00 </w:t>
            </w:r>
            <w:r>
              <w:rPr>
                <w:b/>
                <w:bCs/>
                <w:color w:val="auto"/>
              </w:rPr>
              <w:t xml:space="preserve">Eur su PVM, </w:t>
            </w:r>
            <w:r>
              <w:rPr>
                <w:color w:val="auto"/>
              </w:rPr>
              <w:t>priklausomai nuo to, kuri sąlyga įvyksta anksčiau</w:t>
            </w:r>
          </w:p>
          <w:p>
            <w:pPr>
              <w:pStyle w:val="Normal"/>
              <w:rPr>
                <w:color w:val="auto"/>
                <w:szCs w:val="24"/>
              </w:rPr>
            </w:pPr>
            <w:r>
              <w:rPr>
                <w:color w:val="auto"/>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4.2. Paslaugų / jų dalies / etapo / periodo suteikimo termino pratęsimas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kern w:val="2"/>
                <w:szCs w:val="24"/>
              </w:rPr>
              <w:t>Netaikoma</w:t>
            </w:r>
          </w:p>
          <w:p>
            <w:pPr>
              <w:pStyle w:val="Normal"/>
              <w:jc w:val="both"/>
              <w:rPr>
                <w:color w:val="auto"/>
                <w:kern w:val="2"/>
                <w:szCs w:val="24"/>
              </w:rPr>
            </w:pPr>
            <w:r>
              <w:rPr>
                <w:color w:val="auto"/>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4.3. Užsakymų teikimo tvarka</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kern w:val="2"/>
                <w:szCs w:val="24"/>
              </w:rPr>
              <w:t>Užsakymai teikiami elektroninėje užsakymų sistemoje / Tiekėjo nurodytu elektroniniu paštu  ir laikomi gautais nedelsiant nuo Užsakymo pateikimo.</w:t>
            </w:r>
          </w:p>
        </w:tc>
      </w:tr>
      <w:tr>
        <w:trPr>
          <w:trHeight w:val="3341"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4.4. Dėl minimalios Užsakymo vertės ar apimties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kern w:val="2"/>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4.5. Pateikiami dokumentai</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 xml:space="preserve">Turi būti pateikiami šie dokumentai: </w:t>
            </w:r>
            <w:r>
              <w:rPr>
                <w:b w:val="false"/>
                <w:i w:val="false"/>
                <w:strike w:val="false"/>
                <w:dstrike w:val="false"/>
                <w:color w:val="000000"/>
                <w:kern w:val="2"/>
                <w:sz w:val="24"/>
                <w:szCs w:val="24"/>
                <w:u w:val="none"/>
              </w:rPr>
              <w:t>Tiekėjas, kiekvieną mėnesį pateikia Perkančiajai organizacijai palaikymo paslaugų perdavimo – priėmimo aktą ir suteiktų palaikymo paslaugų, atliktų veiksmų, įvykusių sutrikimų  ataskaitą ir sąskaitą.</w:t>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Fiksuoto įkainio kainodara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color w:val="000000"/>
                <w:kern w:val="2"/>
                <w:szCs w:val="24"/>
              </w:rPr>
              <w:t xml:space="preserve">Pradinės Sutarties vertė yra  </w:t>
            </w:r>
            <w:r>
              <w:rPr>
                <w:rFonts w:cs="Calibri" w:cstheme="minorHAnsi"/>
                <w:color w:val="000000"/>
                <w:kern w:val="2"/>
                <w:szCs w:val="24"/>
              </w:rPr>
              <w:t xml:space="preserve">200 000,00 Eur be PVM </w:t>
            </w:r>
            <w:r>
              <w:rPr>
                <w:color w:val="000000"/>
                <w:kern w:val="2"/>
                <w:szCs w:val="24"/>
              </w:rPr>
              <w:t>(su šimtai tūkstančių, 00 ct) Eur be PVM /242 000,00 (du šimtai keturiasdešimt du tūkstančiai eurų, 00 ct) Eur su PVM.</w:t>
            </w:r>
          </w:p>
          <w:p>
            <w:pPr>
              <w:pStyle w:val="Normal"/>
              <w:rPr>
                <w:kern w:val="2"/>
                <w:szCs w:val="24"/>
              </w:rPr>
            </w:pPr>
            <w:r>
              <w:rPr>
                <w:kern w:val="2"/>
                <w:szCs w:val="24"/>
              </w:rPr>
            </w:r>
          </w:p>
          <w:p>
            <w:pPr>
              <w:pStyle w:val="Normal"/>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 Tiekėjo pasiūlyme nurodytais įkainiais be PVM.</w:t>
            </w:r>
            <w:r>
              <w:rPr>
                <w:color w:val="2B579A"/>
                <w:kern w:val="2"/>
                <w:szCs w:val="24"/>
              </w:rPr>
              <w:t xml:space="preserve"> </w:t>
            </w:r>
            <w:r>
              <w:rPr>
                <w:color w:val="000000"/>
                <w:kern w:val="2"/>
                <w:szCs w:val="24"/>
              </w:rPr>
              <w:t>Pirkėjas perka Paslaugas pagal poreikį Sutartyje arba jos priede Nr. 2 „Pasiūlymas“ nurodytais įkainiais, neviršijant Sutarties kainos. Sutartyje arba jos priede Nr. 2 „Pasiūlymas“ atskirose eilutėse nurodytas Paslaugų kiekis gali būti keičiamas (didėti ar mažėti).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pPr>
              <w:pStyle w:val="Normal"/>
              <w:rPr>
                <w:b/>
                <w:kern w:val="2"/>
                <w:szCs w:val="24"/>
              </w:rPr>
            </w:pPr>
            <w:r>
              <w:rPr>
                <w:b/>
                <w:kern w:val="2"/>
                <w:szCs w:val="24"/>
              </w:rPr>
            </w:r>
          </w:p>
          <w:p>
            <w:pPr>
              <w:pStyle w:val="Normal"/>
              <w:rPr>
                <w:kern w:val="2"/>
                <w:szCs w:val="24"/>
              </w:rPr>
            </w:pPr>
            <w:r>
              <w:rPr>
                <w:kern w:val="2"/>
                <w:szCs w:val="24"/>
              </w:rPr>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pPr>
            <w:r>
              <w:rPr>
                <w:kern w:val="2"/>
              </w:rPr>
              <w:t>Sutarties įkainiai bus perskaičiuojami</w:t>
            </w:r>
            <w:r>
              <w:rPr>
                <w:kern w:val="2"/>
                <w:szCs w:val="24"/>
              </w:rPr>
              <w:t>:</w:t>
            </w:r>
          </w:p>
          <w:p>
            <w:pPr>
              <w:pStyle w:val="Normal"/>
              <w:rPr>
                <w:kern w:val="2"/>
                <w:szCs w:val="24"/>
              </w:rPr>
            </w:pPr>
            <w:r>
              <w:rPr>
                <w:kern w:val="2"/>
                <w:szCs w:val="24"/>
              </w:rPr>
              <w:t>5.3</w:t>
            </w:r>
            <w:r>
              <w:rPr>
                <w:color w:val="auto"/>
                <w:kern w:val="2"/>
                <w:szCs w:val="24"/>
              </w:rPr>
              <w:t>.1. dėl PVM tarifo pasikeitimo;</w:t>
            </w:r>
          </w:p>
          <w:p>
            <w:pPr>
              <w:pStyle w:val="Normal"/>
              <w:rPr>
                <w:color w:val="auto"/>
              </w:rPr>
            </w:pPr>
            <w:r>
              <w:rPr>
                <w:color w:val="auto"/>
                <w:kern w:val="2"/>
                <w:szCs w:val="24"/>
              </w:rPr>
              <w:t>5.3.2. dėl kainų lygio pokyčio.</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 įkainių peržiūra dėl PVM tarifo pasikeitimo</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pPr>
              <w:pStyle w:val="Normal"/>
              <w:rPr>
                <w:kern w:val="2"/>
                <w:szCs w:val="24"/>
              </w:rPr>
            </w:pPr>
            <w:r>
              <w:rPr>
                <w:kern w:val="2"/>
                <w:szCs w:val="24"/>
              </w:rPr>
            </w:r>
          </w:p>
          <w:p>
            <w:pPr>
              <w:pStyle w:val="Normal"/>
              <w:jc w:val="both"/>
              <w:rPr>
                <w:szCs w:val="24"/>
              </w:rPr>
            </w:pPr>
            <w:r>
              <w:rPr>
                <w:kern w:val="2"/>
                <w:szCs w:val="24"/>
              </w:rPr>
              <w:t>Perskaičiuota (-i) Sutarties kaina / įkainiai įforminama (-i) Susitarimu ir turi būti taikoma (-i) nuo naujo PVM įvedimo datos (nepriklausomai nuo to, kada pasirašytas Susitarimas).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7875"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
                <w:kern w:val="2"/>
                <w:szCs w:val="24"/>
              </w:rPr>
              <w:t>5.3.3. Sutarties kainos / įkainių peržiūra dėl kainų lygio pokyčio</w:t>
            </w:r>
          </w:p>
          <w:p>
            <w:pPr>
              <w:pStyle w:val="Normal"/>
              <w:rPr>
                <w:kern w:val="2"/>
                <w:szCs w:val="24"/>
              </w:rPr>
            </w:pPr>
            <w:r>
              <w:rPr>
                <w:kern w:val="2"/>
                <w:szCs w:val="24"/>
              </w:rPr>
            </w:r>
          </w:p>
          <w:p>
            <w:pPr>
              <w:pStyle w:val="Normal"/>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color w:val="000000"/>
                <w:szCs w:val="24"/>
              </w:rPr>
              <w:t>5.3.3.1. Bet</w:t>
            </w:r>
            <w:r>
              <w:rPr>
                <w:szCs w:val="24"/>
              </w:rPr>
              <w:t xml:space="preserve"> kuri Sutarties Šalis Sutarties galiojimo metu turi teisę inicijuoti Sutarties įkainių peržiūrą (keitimą) ne anksčiau kaip po 9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Sutarties įkainių peržiūra atliekama ne rečiau kaip kas 12 (dvylika) mėnesių.</w:t>
            </w:r>
          </w:p>
          <w:p>
            <w:pPr>
              <w:pStyle w:val="Normal"/>
              <w:jc w:val="both"/>
              <w:rPr>
                <w:kern w:val="2"/>
                <w:szCs w:val="24"/>
                <w:shd w:fill="FFFFFF" w:val="clear"/>
              </w:rPr>
            </w:pPr>
            <w:r>
              <w:rPr>
                <w:kern w:val="2"/>
                <w:szCs w:val="24"/>
              </w:rPr>
              <w:t xml:space="preserve">5.3.3.2. Sutarties </w:t>
            </w:r>
            <w:r>
              <w:rPr>
                <w:kern w:val="2"/>
                <w:szCs w:val="24"/>
                <w:shd w:fill="FFFFFF" w:val="clear"/>
              </w:rPr>
              <w:t>įkainiai peržiūrimi tik tai Sutarties daliai, kuri nėra išpirkta, t. y. Paslaugoms, kurios nėra priimtos ir apmokėtos. Vėlesnė Sutarties įkainių peržiūra negali apimti laikotarpio, už kurį jau buvo atlikta peržiūra.</w:t>
            </w:r>
          </w:p>
          <w:p>
            <w:pPr>
              <w:pStyle w:val="Normal"/>
              <w:jc w:val="both"/>
              <w:rPr>
                <w:kern w:val="2"/>
                <w:szCs w:val="24"/>
                <w:shd w:fill="FFFFFF" w:val="clear"/>
              </w:rPr>
            </w:pPr>
            <w:r>
              <w:rPr>
                <w:kern w:val="2"/>
                <w:szCs w:val="24"/>
              </w:rPr>
              <w:t xml:space="preserve">5.3.3.3. </w:t>
            </w:r>
            <w:r>
              <w:rPr>
                <w:kern w:val="2"/>
                <w:szCs w:val="24"/>
                <w:shd w:fill="FFFFFF" w:val="clear"/>
              </w:rPr>
              <w:t>Jeigu P</w:t>
            </w:r>
            <w:r>
              <w:rPr>
                <w:szCs w:val="24"/>
              </w:rPr>
              <w:t>aslaugų teikimas</w:t>
            </w:r>
            <w:r>
              <w:rPr>
                <w:kern w:val="2"/>
                <w:szCs w:val="24"/>
                <w:shd w:fill="FFFFFF" w:val="clear"/>
              </w:rPr>
              <w:t xml:space="preserve"> vėluoja dėl Tiekėjo kaltės, uždelstų suteikti P</w:t>
            </w:r>
            <w:r>
              <w:rPr>
                <w:szCs w:val="24"/>
              </w:rPr>
              <w:t>aslaugų</w:t>
            </w:r>
            <w:r>
              <w:rPr>
                <w:kern w:val="2"/>
                <w:szCs w:val="24"/>
                <w:shd w:fill="FFFFFF" w:val="clear"/>
              </w:rPr>
              <w:t xml:space="preserve"> įkainiai nėra perskaičiuojami dėl kainų lygio kilimo (gali būti mažinami, tačiau negali būti didinami).</w:t>
            </w:r>
          </w:p>
          <w:p>
            <w:pPr>
              <w:pStyle w:val="Normal"/>
              <w:jc w:val="both"/>
              <w:rPr>
                <w:color w:val="000000"/>
                <w:kern w:val="2"/>
                <w:szCs w:val="24"/>
                <w:shd w:fill="FFFFFF" w:val="clear"/>
              </w:rPr>
            </w:pPr>
            <w:r>
              <w:rPr>
                <w:kern w:val="2"/>
                <w:szCs w:val="24"/>
              </w:rPr>
              <w:t xml:space="preserve">5.3.3.4. Atlikdamos Sutarties įkainių peržiūrą </w:t>
            </w:r>
            <w:r>
              <w:rPr>
                <w:kern w:val="2"/>
                <w:szCs w:val="24"/>
                <w:shd w:fill="FFFFFF" w:val="clear"/>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fill="FFFFFF" w:val="clear"/>
              </w:rPr>
              <w:t>Valstybės duomenų agentūros ar kitos institucijos išduoto dokumento ar patvirtinimo.</w:t>
            </w:r>
          </w:p>
          <w:p>
            <w:pPr>
              <w:pStyle w:val="Normal"/>
              <w:jc w:val="both"/>
              <w:rPr>
                <w:kern w:val="2"/>
                <w:szCs w:val="24"/>
                <w:shd w:fill="FFFFFF" w:val="clear"/>
              </w:rPr>
            </w:pPr>
            <w:r>
              <w:rPr>
                <w:color w:val="000000"/>
                <w:kern w:val="2"/>
                <w:szCs w:val="24"/>
                <w:shd w:fill="FFFFFF" w:val="clear"/>
              </w:rPr>
              <w:t xml:space="preserve">5.3.3.5. Šalys privalo Susitarime nurodyti vartojimo prekių ir paslaugų indekso reikšmę laikotarpio pradžioje ir jo nustatymo datą, indekso reikšmę laikotarpio pabaigoje ir jo nustatymo datą, kainų pokytį (k), perskaičiuotą </w:t>
            </w:r>
            <w:r>
              <w:rPr>
                <w:kern w:val="2"/>
                <w:szCs w:val="24"/>
                <w:shd w:fill="FFFFFF" w:val="clear"/>
              </w:rPr>
              <w:t>Sutarties įkainius, perskaičiuotą Pradinės Sutarties vertę.</w:t>
            </w:r>
          </w:p>
          <w:p>
            <w:pPr>
              <w:pStyle w:val="Normal"/>
              <w:jc w:val="both"/>
              <w:rPr/>
            </w:pPr>
            <w:r>
              <w:rPr>
                <w:kern w:val="2"/>
                <w:shd w:fill="FFFFFF" w:val="clear"/>
              </w:rPr>
              <w:t>5.3.3.6. Nauji Sutarties įkainiai apskaičiuojami pagal žemiau pateiktą formulę:</w:t>
            </w:r>
          </w:p>
          <w:p>
            <w:pPr>
              <w:pStyle w:val="Normal"/>
              <w:rPr>
                <w:szCs w:val="24"/>
              </w:rPr>
            </w:pPr>
            <w:r>
              <w:rPr>
                <w:szCs w:val="24"/>
              </w:rPr>
            </w:r>
          </w:p>
          <w:p>
            <w:pPr>
              <w:pStyle w:val="Normal"/>
              <w:jc w:val="both"/>
              <w:textAlignment w:val="baseline"/>
              <w:rPr>
                <w:kern w:val="2"/>
                <w:szCs w:val="24"/>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kern w:val="2"/>
                <w:szCs w:val="24"/>
              </w:rPr>
              <w:t>, kur a įkainis (Eur be PVM) (jei peržiūra jau buvo atlikta, tai po paskutinio perskaičiavimo)</w:t>
            </w:r>
          </w:p>
          <w:p>
            <w:pPr>
              <w:pStyle w:val="Normal"/>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pPr>
              <w:pStyle w:val="Normal"/>
              <w:jc w:val="both"/>
              <w:textAlignment w:val="baseline"/>
              <w:rPr/>
            </w:pPr>
            <w:r>
              <w:rPr>
                <w:kern w:val="2"/>
              </w:rPr>
              <w:t>k – pagal vartotojų kainų indeksą</w:t>
            </w:r>
            <w:r>
              <w:rPr/>
              <w:t xml:space="preserve"> </w:t>
            </w:r>
            <w:sdt>
              <w:sdtPr>
                <w:placeholder>
                  <w:docPart w:val="8AA654EE75F04C4F8F70B2409B56BED5"/>
                </w:placeholder>
                <w:id w:val="191920827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
                <w:r>
                  <w:rPr/>
                  <w:t>127 NIEKUR KITUR NEPRISKIRTOS PASLAUGOS</w:t>
                </w:r>
              </w:sdtContent>
            </w:sdt>
            <w:r>
              <w:rPr/>
              <w:t xml:space="preserve"> </w:t>
            </w:r>
            <w:r>
              <w:rPr>
                <w:kern w:val="2"/>
              </w:rPr>
              <w:t>apskaičiuotas Vartojimo prekių ir paslaugų kainų pokytis (padidėjimas arba sumažėjimas) (%). „k“ reikšmė skaičiuojama pagal formulę</w:t>
            </w:r>
            <w:r>
              <w:rPr>
                <w:kern w:val="2"/>
                <w:szCs w:val="24"/>
              </w:rPr>
              <w:t>:</w:t>
            </w:r>
          </w:p>
          <w:p>
            <w:pPr>
              <w:pStyle w:val="Normal"/>
              <w:jc w:val="both"/>
              <w:textAlignment w:val="baseline"/>
              <w:rPr>
                <w:kern w:val="2"/>
                <w:szCs w:val="24"/>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kern w:val="2"/>
                <w:szCs w:val="24"/>
              </w:rPr>
              <w:t>, (proc.) kur</w:t>
            </w:r>
          </w:p>
          <w:p>
            <w:pPr>
              <w:pStyle w:val="Normal"/>
              <w:jc w:val="both"/>
              <w:textAlignment w:val="baseline"/>
              <w:rPr/>
            </w:pPr>
            <w:r>
              <w:rPr>
                <w:kern w:val="2"/>
              </w:rPr>
              <w:t>Ind</w:t>
            </w:r>
            <w:r>
              <w:rPr>
                <w:kern w:val="2"/>
                <w:vertAlign w:val="subscript"/>
              </w:rPr>
              <w:t>naujausias</w:t>
            </w:r>
            <w:r>
              <w:rPr>
                <w:kern w:val="2"/>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pPr>
              <w:pStyle w:val="Normal"/>
              <w:jc w:val="both"/>
              <w:rPr/>
            </w:pPr>
            <w:r>
              <w:rPr>
                <w:kern w:val="2"/>
              </w:rPr>
              <w:t>Ind</w:t>
            </w:r>
            <w:r>
              <w:rPr>
                <w:kern w:val="2"/>
                <w:vertAlign w:val="subscript"/>
              </w:rPr>
              <w:t>pradžia</w:t>
            </w:r>
            <w:r>
              <w:rPr>
                <w:kern w:val="2"/>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w:t>
            </w:r>
            <w:r>
              <w:rPr/>
              <w:t xml:space="preserve"> Sutarties įsigaliojimo dienos mėnuo</w:t>
            </w:r>
            <w:r>
              <w:rPr>
                <w:kern w:val="2"/>
                <w:szCs w:val="24"/>
                <w:shd w:fill="FFFFFF" w:val="clear"/>
              </w:rPr>
              <w:t>.</w:t>
            </w:r>
            <w:r>
              <w:rPr>
                <w:kern w:val="2"/>
              </w:rPr>
              <w:t xml:space="preserve"> Antrojo ir vėlesnių perskaičiavimų atveju laikotarpio pradžia (mėnuo) yra paskutinio perskaičiavimo metu naudotos paskelbto atitinkamo indekso reikšmės mėnuo.</w:t>
            </w:r>
          </w:p>
          <w:p>
            <w:pPr>
              <w:pStyle w:val="Normal"/>
              <w:jc w:val="both"/>
              <w:rPr>
                <w:kern w:val="2"/>
                <w:szCs w:val="24"/>
                <w:shd w:fill="FFFFFF" w:val="clear"/>
              </w:rPr>
            </w:pPr>
            <w:r>
              <w:rPr>
                <w:kern w:val="2"/>
                <w:szCs w:val="24"/>
              </w:rPr>
              <w:t xml:space="preserve">5.3.3.7. </w:t>
            </w:r>
            <w:r>
              <w:rPr>
                <w:kern w:val="2"/>
                <w:szCs w:val="24"/>
                <w:shd w:fill="FFFFFF" w:val="clear"/>
              </w:rPr>
              <w:t xml:space="preserve">Skaičiavimams indeksų reikšmės imamos </w:t>
            </w:r>
            <w:r>
              <w:rPr>
                <w:b/>
                <w:kern w:val="2"/>
                <w:szCs w:val="24"/>
                <w:shd w:fill="FFFFFF" w:val="clear"/>
              </w:rPr>
              <w:t>keturių</w:t>
            </w:r>
            <w:r>
              <w:rPr>
                <w:kern w:val="2"/>
                <w:szCs w:val="24"/>
                <w:shd w:fill="FFFFFF" w:val="clear"/>
              </w:rPr>
              <w:t xml:space="preserve"> skaitmenų po kablelio tikslumu. Apskaičiuotas pokytis (k) tolimesniems skaičiavimams naudojamas suapvalinus iki </w:t>
            </w:r>
            <w:r>
              <w:rPr>
                <w:b/>
                <w:kern w:val="2"/>
                <w:szCs w:val="24"/>
                <w:shd w:fill="FFFFFF" w:val="clear"/>
              </w:rPr>
              <w:t>vieno</w:t>
            </w:r>
            <w:r>
              <w:rPr>
                <w:kern w:val="2"/>
                <w:szCs w:val="24"/>
                <w:shd w:fill="FFFFFF" w:val="clear"/>
              </w:rPr>
              <w:t xml:space="preserve"> (Valstybės duomenų agentūra pokyčius skelbia apvalindama iki vieno skaitmens po kablelio) skaitmens po kablelio, o apskaičiuotas įkainis „a</w:t>
            </w:r>
            <w:r>
              <w:rPr>
                <w:kern w:val="2"/>
                <w:szCs w:val="24"/>
                <w:shd w:fill="FFFFFF" w:val="clear"/>
                <w:vertAlign w:val="subscript"/>
              </w:rPr>
              <w:t>1</w:t>
            </w:r>
            <w:r>
              <w:rPr>
                <w:kern w:val="2"/>
                <w:szCs w:val="24"/>
                <w:shd w:fill="FFFFFF" w:val="clear"/>
              </w:rPr>
              <w:t xml:space="preserve">“ suapvalinamas iki </w:t>
            </w:r>
            <w:r>
              <w:rPr>
                <w:b/>
                <w:kern w:val="2"/>
                <w:szCs w:val="24"/>
                <w:shd w:fill="FFFFFF" w:val="clear"/>
              </w:rPr>
              <w:t>dviejų</w:t>
            </w:r>
            <w:r>
              <w:rPr>
                <w:kern w:val="2"/>
                <w:szCs w:val="24"/>
                <w:shd w:fill="FFFFFF" w:val="clear"/>
              </w:rPr>
              <w:t xml:space="preserve"> (įrašyti tiek skaitmenų, kiek įkainiams nurodyti naudojama sudarytoje sutartyje) skaitmenų po kablelio.</w:t>
            </w:r>
          </w:p>
          <w:p>
            <w:pPr>
              <w:pStyle w:val="Normal"/>
              <w:jc w:val="both"/>
              <w:rPr>
                <w:color w:val="000000"/>
                <w:kern w:val="2"/>
                <w:szCs w:val="24"/>
                <w:shd w:fill="FFFFFF" w:val="clear"/>
              </w:rPr>
            </w:pPr>
            <w:r>
              <w:rPr>
                <w:kern w:val="2"/>
                <w:szCs w:val="24"/>
                <w:shd w:fill="FFFFFF" w:val="clear"/>
              </w:rPr>
              <w:t>5.3.3.8. Šalis, siekianti Sutarties įkainių peržiūros, privalo raštu kreiptis į kitą Šalį ir prašyme pateikti visą reikalingą informaciją: Sutarties pavadinimą</w:t>
            </w:r>
            <w:r>
              <w:rPr>
                <w:color w:val="000000"/>
                <w:kern w:val="2"/>
                <w:szCs w:val="24"/>
                <w:shd w:fill="FFFFFF" w:val="clear"/>
              </w:rPr>
              <w:t xml:space="preserve">,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fill="FFFFFF" w:val="clear"/>
              </w:rPr>
              <w:t>, kita svarbi informacija. Prašyme Šalis neturi teisės nurodyti kito indekso ar prašyti perskaičiavimo pagal kitą indeksą nei nurodytas šioje procedūroje.</w:t>
            </w:r>
          </w:p>
          <w:p>
            <w:pPr>
              <w:pStyle w:val="Normal"/>
              <w:jc w:val="both"/>
              <w:rPr>
                <w:color w:val="000000"/>
                <w:kern w:val="2"/>
                <w:szCs w:val="24"/>
                <w:shd w:fill="FFFFFF" w:val="clear"/>
              </w:rPr>
            </w:pPr>
            <w:r>
              <w:rPr>
                <w:color w:val="000000"/>
                <w:kern w:val="2"/>
                <w:szCs w:val="24"/>
                <w:shd w:fill="FFFFFF" w:val="clear"/>
              </w:rPr>
              <w:t>5</w:t>
            </w:r>
            <w:r>
              <w:rPr>
                <w:kern w:val="2"/>
                <w:szCs w:val="24"/>
              </w:rPr>
              <w:t xml:space="preserve">.3.3.9. </w:t>
            </w:r>
            <w:r>
              <w:rPr>
                <w:color w:val="000000"/>
                <w:kern w:val="2"/>
                <w:szCs w:val="24"/>
                <w:shd w:fill="FFFFFF" w:val="clear"/>
              </w:rPr>
              <w:t xml:space="preserve">Susitarimas turi būti sudarytas per 14 darbo dienų nuo Šalies pateikto tinkamo prašymo perskaičiuoti </w:t>
            </w:r>
            <w:r>
              <w:rPr>
                <w:kern w:val="2"/>
                <w:szCs w:val="24"/>
                <w:shd w:fill="FFFFFF" w:val="clear"/>
              </w:rPr>
              <w:t>S</w:t>
            </w:r>
            <w:r>
              <w:rPr>
                <w:kern w:val="2"/>
                <w:szCs w:val="24"/>
              </w:rPr>
              <w:t xml:space="preserve">utarties </w:t>
            </w:r>
            <w:r>
              <w:rPr>
                <w:kern w:val="2"/>
                <w:szCs w:val="24"/>
                <w:shd w:fill="FFFFFF" w:val="clear"/>
              </w:rPr>
              <w:t xml:space="preserve">įkainius gavimo </w:t>
            </w:r>
            <w:r>
              <w:rPr>
                <w:color w:val="000000"/>
                <w:kern w:val="2"/>
                <w:szCs w:val="24"/>
                <w:shd w:fill="FFFFFF" w:val="clear"/>
              </w:rPr>
              <w:t>dienos.</w:t>
            </w:r>
          </w:p>
          <w:p>
            <w:pPr>
              <w:pStyle w:val="Normal"/>
              <w:jc w:val="both"/>
              <w:rPr>
                <w:color w:val="4472C4"/>
                <w:kern w:val="2"/>
                <w:szCs w:val="24"/>
              </w:rPr>
            </w:pPr>
            <w:r>
              <w:rPr>
                <w:color w:val="000000"/>
                <w:kern w:val="2"/>
                <w:szCs w:val="24"/>
                <w:shd w:fill="FFFFFF" w:val="clear"/>
              </w:rPr>
              <w:t xml:space="preserve">5.3.3.10. </w:t>
            </w:r>
            <w:r>
              <w:rPr>
                <w:color w:val="000000"/>
                <w:kern w:val="2"/>
                <w:szCs w:val="24"/>
              </w:rPr>
              <w:t>Susitarimu Šalys neturi teisės keisti procedūroje nurodytos tvarkos ar kitų Sutarties nuostatų, išskyrus, jei keitimas atliekamas pagal VPĮ nuostatas.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Pirkėjas atsiskaito su Tiekėju ne vėliau kaip per 30 kalendorinių dienų nuo Sąskaitos gavimo dienos.</w:t>
            </w:r>
          </w:p>
          <w:p>
            <w:pPr>
              <w:pStyle w:val="Normal"/>
              <w:rPr>
                <w:color w:val="000000"/>
                <w:kern w:val="2"/>
                <w:szCs w:val="24"/>
                <w:shd w:fill="FFFFFF" w:val="clear"/>
              </w:rPr>
            </w:pPr>
            <w:r>
              <w:rPr>
                <w:color w:val="000000"/>
                <w:kern w:val="2"/>
                <w:szCs w:val="24"/>
                <w:shd w:fill="FFFFFF" w:val="clear"/>
              </w:rPr>
              <w:t>Apmokėjimo sąlygos</w:t>
            </w:r>
            <w:r>
              <w:rPr>
                <w:color w:val="4472C4"/>
                <w:kern w:val="2"/>
                <w:szCs w:val="24"/>
                <w:shd w:fill="FFFFFF" w:val="clear"/>
              </w:rPr>
              <w:t>:</w:t>
            </w:r>
          </w:p>
          <w:p>
            <w:pPr>
              <w:pStyle w:val="Normal"/>
              <w:rPr>
                <w:kern w:val="2"/>
                <w:shd w:fill="FFFFFF" w:val="clear"/>
              </w:rPr>
            </w:pPr>
            <w:r>
              <w:rPr>
                <w:kern w:val="2"/>
                <w:szCs w:val="24"/>
                <w:shd w:fill="FFFFFF" w:val="clear"/>
              </w:rPr>
              <w:t>1)</w:t>
            </w:r>
            <w:r>
              <w:rPr>
                <w:kern w:val="2"/>
                <w:shd w:fill="FFFFFF" w:val="clear"/>
              </w:rPr>
              <w:t xml:space="preserve"> įvykdžius Užsakymą, mokama už konkretų kiekį / apimtį pagal nustatytus įkainius;</w:t>
            </w:r>
          </w:p>
          <w:p>
            <w:pPr>
              <w:pStyle w:val="Normal"/>
              <w:rPr>
                <w:color w:val="4472C4"/>
                <w:kern w:val="2"/>
                <w:szCs w:val="24"/>
                <w:shd w:fill="FFFFFF" w:val="clear"/>
              </w:rPr>
            </w:pPr>
            <w:r>
              <w:rPr>
                <w:kern w:val="2"/>
                <w:shd w:fill="FFFFFF" w:val="clear"/>
              </w:rPr>
              <w:t>2)</w:t>
            </w:r>
            <w:r>
              <w:rPr>
                <w:kern w:val="2"/>
                <w:szCs w:val="24"/>
                <w:shd w:fill="FFFFFF" w:val="clear"/>
              </w:rPr>
              <w:t xml:space="preserve"> už įvykdytus Užsakymus mokama kartą per mėnesį.</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b/>
                <w:bCs/>
              </w:rPr>
              <w:t>Paslaugoms</w:t>
            </w:r>
            <w:r>
              <w:rPr>
                <w:szCs w:val="24"/>
              </w:rPr>
              <w:t xml:space="preserve"> </w:t>
            </w:r>
            <w:r>
              <w:rPr>
                <w:kern w:val="2"/>
              </w:rPr>
              <w:t>taikomas</w:t>
            </w:r>
            <w:r>
              <w:rPr>
                <w:kern w:val="2"/>
                <w:szCs w:val="24"/>
              </w:rPr>
              <w:t xml:space="preserve"> </w:t>
            </w:r>
            <w:r>
              <w:rPr>
                <w:kern w:val="2"/>
              </w:rPr>
              <w:t xml:space="preserve">Techninėje specifikacijoje (sutarties priedas Nr. 1 „Techninė specifikacija“) bei Tiekėjo pasiūlyme nurodytas (sutarties priedas Nr. 2 „Pasiūlymas“) garantinis terminas, kuris yra </w:t>
            </w:r>
            <w:r>
              <w:rPr>
                <w:color w:val="4472C4"/>
                <w:kern w:val="2"/>
              </w:rPr>
              <w:t>(įrašyti terminą mėnesiais / metais)</w:t>
            </w:r>
            <w:r>
              <w:rPr>
                <w:kern w:val="2"/>
              </w:rPr>
              <w:t xml:space="preserve">. Garantinis terminas skaičiuojamas nuo </w:t>
            </w:r>
            <w:r>
              <w:rPr/>
              <w:t>Paslaugų</w:t>
            </w:r>
            <w:r>
              <w:rPr>
                <w:kern w:val="2"/>
              </w:rPr>
              <w:t xml:space="preserve"> perdavimo–priėmimo akto ar Sąskaitos (kai </w:t>
            </w:r>
            <w:r>
              <w:rPr/>
              <w:t>Paslaugų</w:t>
            </w:r>
            <w:r>
              <w:rPr>
                <w:kern w:val="2"/>
              </w:rPr>
              <w:t xml:space="preserve"> perdavimo–priėmimo aktas nėra pasirašomas) pasirašymo 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 xml:space="preserve">Paslaugų trūkumai turi būti pašalinti </w:t>
            </w:r>
            <w:r>
              <w:rPr>
                <w:kern w:val="2"/>
              </w:rPr>
              <w:t>sutarties priede Nr. 1 „Techninė specifikacija“ nurodytais terminais.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6.3. Kokybinių kriterijų įgyvendinimo ir tikrinimo tvarka</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7.1. Sutarties vykdymui pasitelkiami subtiekėjai ir (ar) specialistai</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kern w:val="2"/>
                <w:szCs w:val="24"/>
              </w:rPr>
              <w:t>Sutarties vykdymui pasitelkiami subtiekėjai ir (ar) specialistai yra nurodyti Sutarties priede Nr. 2 „Pasiūlymas“.</w:t>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Prievolių pagal Sutartį įvykdymas užtikrinamas:</w:t>
            </w:r>
          </w:p>
          <w:p>
            <w:pPr>
              <w:pStyle w:val="Normal"/>
              <w:rPr>
                <w:kern w:val="2"/>
                <w:szCs w:val="24"/>
              </w:rPr>
            </w:pPr>
            <w:r>
              <w:rPr>
                <w:kern w:val="2"/>
                <w:szCs w:val="24"/>
              </w:rPr>
              <w:t>Netesybomis (delspinigiais, bauda)</w:t>
            </w:r>
            <w:r>
              <w:rPr>
                <w:color w:val="FF0000"/>
                <w:kern w:val="2"/>
                <w:szCs w:val="24"/>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szCs w:val="24"/>
              </w:rPr>
            </w:pPr>
            <w:r>
              <w:rPr>
                <w:szCs w:val="24"/>
              </w:rPr>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 Pirkėjui taikomos netesybos už mokėjimų pagal Sutartį vėlavimą</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bCs/>
                <w:color w:val="FF0000"/>
                <w:kern w:val="2"/>
                <w:szCs w:val="24"/>
              </w:rPr>
            </w:pPr>
            <w:r>
              <w:rPr>
                <w:bCs/>
                <w:color w:val="000000"/>
                <w:kern w:val="2"/>
                <w:szCs w:val="24"/>
              </w:rPr>
              <w:t>J</w:t>
            </w:r>
            <w:r>
              <w:rPr>
                <w:bCs/>
                <w:color w:val="000000"/>
                <w:kern w:val="2"/>
                <w:szCs w:val="24"/>
                <w:shd w:fill="auto" w:val="clear"/>
              </w:rPr>
              <w:t>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9.2. Tiekėjui taikomos netesybos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szCs w:val="24"/>
                <w:lang w:val="lt-LT"/>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pPr>
              <w:pStyle w:val="Normal"/>
              <w:rPr>
                <w:color w:val="auto"/>
              </w:rPr>
            </w:pPr>
            <w:r>
              <w:rPr>
                <w:color w:val="auto"/>
                <w:szCs w:val="24"/>
                <w:lang w:val="lt-LT"/>
              </w:rPr>
              <w:t>9.2.2. Jeigu Tiekėjas vėluoja grąžinti dėl Tiekėjui mokėtinos sumos sumažinimo susidariusią permoką pagal Bendrųjų sąlygų 7.4.1.2 papunktį, Pirkėjas nuo kitos nei nustatytas terminas dienos Tiekėjui skaičiuoja 0,03 (trys šimtosios) procento dydžio delspinigius už kiekvieną uždelstą dieną nuo laiku negrąžintos permokos kainos be PVM.</w:t>
            </w:r>
          </w:p>
          <w:p>
            <w:pPr>
              <w:pStyle w:val="Normal"/>
              <w:rPr>
                <w:color w:val="auto"/>
                <w:highlight w:val="none"/>
                <w:shd w:fill="auto" w:val="clear"/>
              </w:rPr>
            </w:pPr>
            <w:r>
              <w:rPr>
                <w:color w:val="000000"/>
                <w:kern w:val="2"/>
                <w:shd w:fill="auto" w:val="clear"/>
              </w:rPr>
              <w:t xml:space="preserve">9.2.3. Tiekėjas privalo sumokėti Pirkėjui netesybas per </w:t>
            </w:r>
            <w:r>
              <w:rPr>
                <w:bCs/>
                <w:color w:val="000000"/>
                <w:kern w:val="2"/>
                <w:szCs w:val="24"/>
                <w:shd w:fill="auto" w:val="clear"/>
              </w:rPr>
              <w:t xml:space="preserve">10 </w:t>
            </w:r>
            <w:r>
              <w:rPr>
                <w:color w:val="000000"/>
                <w:kern w:val="2"/>
                <w:shd w:fill="auto" w:val="clear"/>
              </w:rPr>
              <w:t xml:space="preserve">dienų nuo Pirkėjo pareikalavimo, jeigu netesybų suma nėra </w:t>
            </w:r>
            <w:r>
              <w:rPr>
                <w:color w:val="000000"/>
                <w:shd w:fill="auto" w:val="clear"/>
              </w:rPr>
              <w:t>išskaitoma iš Tiekėjui mokėtinos sumos.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kern w:val="2"/>
                <w:szCs w:val="24"/>
              </w:rPr>
              <w:t>9.3.1. Nutraukus Sutartį dėl esminio Sutarties pažeidimo, nustatyto Sutarties Specialiosiose sąlygose, mokama 10 procentų dydžio bauda nuo Pradinės Sutarties vertės, nurodytos Specialiųjų sąlygų 5.2 punkte.</w:t>
            </w:r>
          </w:p>
          <w:p>
            <w:pPr>
              <w:pStyle w:val="Normal"/>
              <w:rPr>
                <w:bCs/>
                <w:color w:val="auto"/>
                <w:kern w:val="2"/>
                <w:szCs w:val="24"/>
              </w:rPr>
            </w:pPr>
            <w:r>
              <w:rPr>
                <w:bCs/>
                <w:color w:val="auto"/>
                <w:kern w:val="2"/>
                <w:szCs w:val="24"/>
              </w:rPr>
            </w:r>
          </w:p>
          <w:p>
            <w:pPr>
              <w:pStyle w:val="Normal"/>
              <w:rPr>
                <w:bCs/>
                <w:color w:val="auto"/>
                <w:kern w:val="2"/>
                <w:szCs w:val="24"/>
              </w:rPr>
            </w:pPr>
            <w:r>
              <w:rPr>
                <w:bCs/>
                <w:color w:val="auto"/>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kern w:val="2"/>
                <w:szCs w:val="24"/>
              </w:rPr>
              <w:t>Netaikoma</w:t>
            </w:r>
          </w:p>
          <w:p>
            <w:pPr>
              <w:pStyle w:val="Normal"/>
              <w:rPr>
                <w:bCs/>
                <w:color w:val="auto"/>
                <w:kern w:val="2"/>
                <w:szCs w:val="24"/>
              </w:rPr>
            </w:pPr>
            <w:r>
              <w:rPr>
                <w:bCs/>
                <w:color w:val="auto"/>
                <w:kern w:val="2"/>
                <w:szCs w:val="24"/>
              </w:rPr>
            </w:r>
          </w:p>
          <w:p>
            <w:pPr>
              <w:pStyle w:val="Normal"/>
              <w:rPr>
                <w:bCs/>
                <w:color w:val="auto"/>
                <w:kern w:val="2"/>
                <w:szCs w:val="24"/>
              </w:rPr>
            </w:pPr>
            <w:r>
              <w:rPr>
                <w:bCs/>
                <w:color w:val="auto"/>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kern w:val="2"/>
                <w:szCs w:val="24"/>
              </w:rPr>
              <w:t>Netaikoma</w:t>
            </w:r>
          </w:p>
          <w:p>
            <w:pPr>
              <w:pStyle w:val="Normal"/>
              <w:rPr>
                <w:bCs/>
                <w:color w:val="auto"/>
                <w:kern w:val="2"/>
                <w:szCs w:val="24"/>
              </w:rPr>
            </w:pPr>
            <w:r>
              <w:rPr>
                <w:bCs/>
                <w:color w:val="auto"/>
                <w:kern w:val="2"/>
                <w:szCs w:val="24"/>
              </w:rPr>
            </w:r>
          </w:p>
          <w:p>
            <w:pPr>
              <w:pStyle w:val="Normal"/>
              <w:rPr>
                <w:bCs/>
                <w:color w:val="auto"/>
                <w:kern w:val="2"/>
                <w:szCs w:val="24"/>
              </w:rPr>
            </w:pPr>
            <w:r>
              <w:rPr>
                <w:bCs/>
                <w:color w:val="auto"/>
                <w:kern w:val="2"/>
                <w:szCs w:val="24"/>
              </w:rPr>
            </w:r>
          </w:p>
          <w:p>
            <w:pPr>
              <w:pStyle w:val="Normal"/>
              <w:rPr>
                <w:bCs/>
                <w:color w:val="auto"/>
                <w:kern w:val="2"/>
                <w:szCs w:val="24"/>
              </w:rPr>
            </w:pPr>
            <w:r>
              <w:rPr>
                <w:bCs/>
                <w:color w:val="auto"/>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kern w:val="2"/>
                <w:szCs w:val="24"/>
              </w:rPr>
              <w:t>Netaikoma</w:t>
            </w:r>
          </w:p>
          <w:p>
            <w:pPr>
              <w:pStyle w:val="Normal"/>
              <w:rPr>
                <w:bCs/>
                <w:color w:val="auto"/>
                <w:kern w:val="2"/>
                <w:szCs w:val="24"/>
              </w:rPr>
            </w:pPr>
            <w:r>
              <w:rPr>
                <w:bCs/>
                <w:color w:val="auto"/>
                <w:kern w:val="2"/>
                <w:szCs w:val="24"/>
              </w:rPr>
            </w:r>
          </w:p>
          <w:p>
            <w:pPr>
              <w:pStyle w:val="Normal"/>
              <w:rPr>
                <w:bCs/>
                <w:color w:val="auto"/>
                <w:kern w:val="2"/>
                <w:szCs w:val="24"/>
              </w:rPr>
            </w:pPr>
            <w:r>
              <w:rPr>
                <w:bCs/>
                <w:color w:val="auto"/>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rPr>
              <w:t>9.7. Tiekėjui taikomos netesybos dėl pirkimo dokumentuose nustatytų Kokybinių kriterijų nepasiekimo Sutarties vykdymo metu</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szCs w:val="24"/>
              </w:rPr>
              <w:t>Netaikoma</w:t>
            </w:r>
          </w:p>
        </w:tc>
      </w:tr>
      <w:tr>
        <w:trPr>
          <w:trHeight w:val="156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szCs w:val="24"/>
              </w:rPr>
              <w:t>nepratęsimo</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kern w:val="2"/>
                <w:szCs w:val="24"/>
              </w:rPr>
              <w:t>Netaikoma</w:t>
            </w:r>
          </w:p>
          <w:p>
            <w:pPr>
              <w:pStyle w:val="Normal"/>
              <w:rPr>
                <w:bCs/>
                <w:color w:val="auto"/>
                <w:kern w:val="2"/>
                <w:szCs w:val="24"/>
              </w:rPr>
            </w:pPr>
            <w:r>
              <w:rPr>
                <w:bCs/>
                <w:color w:val="auto"/>
                <w:kern w:val="2"/>
                <w:szCs w:val="24"/>
              </w:rPr>
            </w:r>
          </w:p>
          <w:p>
            <w:pPr>
              <w:pStyle w:val="Normal"/>
              <w:rPr>
                <w:bCs/>
                <w:color w:val="auto"/>
                <w:kern w:val="2"/>
                <w:szCs w:val="24"/>
              </w:rPr>
            </w:pPr>
            <w:r>
              <w:rPr>
                <w:bCs/>
                <w:color w:val="auto"/>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kern w:val="2"/>
                <w:szCs w:val="24"/>
              </w:rPr>
              <w:t>Netaikoma</w:t>
            </w:r>
          </w:p>
          <w:p>
            <w:pPr>
              <w:pStyle w:val="Normal"/>
              <w:rPr>
                <w:bCs/>
                <w:color w:val="auto"/>
                <w:kern w:val="2"/>
                <w:szCs w:val="24"/>
              </w:rPr>
            </w:pPr>
            <w:r>
              <w:rPr>
                <w:bCs/>
                <w:color w:val="auto"/>
                <w:kern w:val="2"/>
                <w:szCs w:val="24"/>
              </w:rPr>
            </w:r>
          </w:p>
          <w:p>
            <w:pPr>
              <w:pStyle w:val="Normal"/>
              <w:rPr>
                <w:bCs/>
                <w:color w:val="auto"/>
                <w:kern w:val="2"/>
                <w:szCs w:val="24"/>
              </w:rPr>
            </w:pPr>
            <w:r>
              <w:rPr>
                <w:bCs/>
                <w:color w:val="auto"/>
                <w:kern w:val="2"/>
                <w:szCs w:val="24"/>
              </w:rPr>
            </w:r>
          </w:p>
          <w:p>
            <w:pPr>
              <w:pStyle w:val="Normal"/>
              <w:rPr>
                <w:color w:val="auto"/>
                <w:kern w:val="2"/>
                <w:szCs w:val="24"/>
              </w:rPr>
            </w:pPr>
            <w:r>
              <w:rPr>
                <w:color w:val="auto"/>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9.10. </w:t>
            </w:r>
            <w:r>
              <w:rPr>
                <w:b/>
                <w:kern w:val="2"/>
                <w:szCs w:val="24"/>
              </w:rPr>
              <w:t>Kitos netesybos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1296"/>
                <w:tab w:val="left" w:pos="1134" w:leader="none"/>
              </w:tabs>
              <w:spacing w:lineRule="auto" w:line="276"/>
              <w:ind w:hanging="0" w:left="0" w:right="0"/>
              <w:jc w:val="both"/>
              <w:rPr>
                <w:color w:val="auto"/>
              </w:rPr>
            </w:pPr>
            <w:r>
              <w:rPr>
                <w:b w:val="false"/>
                <w:i w:val="false"/>
                <w:caps w:val="false"/>
                <w:smallCaps w:val="false"/>
                <w:color w:val="000000"/>
                <w:spacing w:val="0"/>
                <w:sz w:val="24"/>
                <w:szCs w:val="24"/>
                <w:shd w:fill="FFFFFF" w:val="clear"/>
              </w:rPr>
              <w:t>Jei Tiekėjas nepašalina PAIS kritinės klaidos  per nustatytą klaidos išsprendimo laiką, Perkančiajai organizacijai pareikalavus, Tiekėjas privalo mokėti 800,00 </w:t>
            </w:r>
            <w:r>
              <w:rPr>
                <w:b w:val="false"/>
                <w:i w:val="false"/>
                <w:caps w:val="false"/>
                <w:smallCaps w:val="false"/>
                <w:color w:val="auto"/>
                <w:spacing w:val="0"/>
                <w:sz w:val="24"/>
                <w:szCs w:val="24"/>
              </w:rPr>
              <w:t>(aštuonis šimtus) eurų netesybų už kiekvieną pradelstą darbo dieną.</w:t>
            </w:r>
          </w:p>
          <w:p>
            <w:pPr>
              <w:pStyle w:val="Normal"/>
              <w:numPr>
                <w:ilvl w:val="0"/>
                <w:numId w:val="0"/>
              </w:numPr>
              <w:tabs>
                <w:tab w:val="clear" w:pos="1296"/>
                <w:tab w:val="left" w:pos="1134" w:leader="none"/>
              </w:tabs>
              <w:spacing w:lineRule="auto" w:line="276"/>
              <w:ind w:hanging="0" w:left="0" w:right="0"/>
              <w:jc w:val="both"/>
              <w:rPr>
                <w:color w:val="auto"/>
              </w:rPr>
            </w:pPr>
            <w:r>
              <w:rPr>
                <w:b w:val="false"/>
                <w:bCs/>
                <w:i w:val="false"/>
                <w:caps w:val="false"/>
                <w:smallCaps w:val="false"/>
                <w:color w:val="000000"/>
                <w:spacing w:val="0"/>
                <w:kern w:val="2"/>
                <w:sz w:val="24"/>
                <w:szCs w:val="24"/>
                <w:shd w:fill="FFFFFF" w:val="clear"/>
              </w:rPr>
              <w:t xml:space="preserve">Jei Tiekėjas nepašalina </w:t>
            </w:r>
            <w:r>
              <w:rPr>
                <w:b w:val="false"/>
                <w:bCs/>
                <w:i w:val="false"/>
                <w:caps w:val="false"/>
                <w:smallCaps w:val="false"/>
                <w:color w:val="000000"/>
                <w:spacing w:val="0"/>
                <w:kern w:val="2"/>
                <w:sz w:val="24"/>
                <w:szCs w:val="24"/>
                <w:shd w:fill="FFFFFF" w:val="clear"/>
                <w:lang w:val="lt-LT"/>
              </w:rPr>
              <w:t xml:space="preserve">PAIS nekritinės klaidos </w:t>
            </w:r>
            <w:r>
              <w:rPr>
                <w:b w:val="false"/>
                <w:bCs/>
                <w:i w:val="false"/>
                <w:caps w:val="false"/>
                <w:smallCaps w:val="false"/>
                <w:color w:val="000000"/>
                <w:spacing w:val="0"/>
                <w:kern w:val="2"/>
                <w:sz w:val="24"/>
                <w:szCs w:val="24"/>
                <w:shd w:fill="FFFFFF" w:val="clear"/>
              </w:rPr>
              <w:t> per nustatytą klaidos išsprendimo laiką, Perkančiajai organizacijai pareikalavus, Tiekėjas privalo mokėti 100,00 (vieną šimtą) eurų netesybų už kiekvieno sutrikimo kiekvieną pradelstą darbo dieną.</w:t>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10. ESMINĖS SUTARTIES SĄLYGOS</w:t>
            </w:r>
          </w:p>
        </w:tc>
      </w:tr>
      <w:tr>
        <w:trPr>
          <w:trHeight w:val="504"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10.1. </w:t>
            </w:r>
            <w:r>
              <w:rPr>
                <w:b/>
                <w:kern w:val="2"/>
                <w:szCs w:val="24"/>
              </w:rPr>
              <w:t>Esminės Sutarties sąlygos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Web"/>
              <w:spacing w:beforeAutospacing="0" w:before="0" w:afterAutospacing="0" w:after="0"/>
              <w:jc w:val="both"/>
              <w:rPr>
                <w:color w:val="auto"/>
              </w:rPr>
            </w:pPr>
            <w:r>
              <w:rPr>
                <w:color w:val="auto"/>
              </w:rPr>
              <w:t>Esminėmis Sutarties sąlygomis laikomos šios sąlygos:</w:t>
            </w:r>
          </w:p>
          <w:p>
            <w:pPr>
              <w:pStyle w:val="NormalWeb"/>
              <w:numPr>
                <w:ilvl w:val="0"/>
                <w:numId w:val="0"/>
              </w:numPr>
              <w:spacing w:beforeAutospacing="0" w:before="0" w:afterAutospacing="0" w:after="0"/>
              <w:ind w:hanging="0" w:left="0"/>
              <w:jc w:val="both"/>
              <w:rPr>
                <w:color w:val="auto"/>
              </w:rPr>
            </w:pPr>
            <w:r>
              <w:rPr>
                <w:color w:val="auto"/>
              </w:rPr>
              <w:t>1. paslaugų teikimo terminų ir reakcijos į klaidas (kritines ir nekritines) laikymasis;</w:t>
            </w:r>
          </w:p>
          <w:p>
            <w:pPr>
              <w:pStyle w:val="NormalWeb"/>
              <w:numPr>
                <w:ilvl w:val="0"/>
                <w:numId w:val="0"/>
              </w:numPr>
              <w:spacing w:beforeAutospacing="0" w:before="0" w:afterAutospacing="0" w:after="0"/>
              <w:ind w:hanging="0" w:left="0"/>
              <w:jc w:val="both"/>
              <w:rPr>
                <w:color w:val="auto"/>
              </w:rPr>
            </w:pPr>
            <w:r>
              <w:rPr>
                <w:color w:val="auto"/>
              </w:rPr>
              <w:t>2. duomenų apsaugos, konfidencialumo ir informacinės saugos reikalavimų laikymasis;</w:t>
            </w:r>
          </w:p>
          <w:p>
            <w:pPr>
              <w:pStyle w:val="NormalWeb"/>
              <w:numPr>
                <w:ilvl w:val="0"/>
                <w:numId w:val="0"/>
              </w:numPr>
              <w:spacing w:beforeAutospacing="0" w:before="0" w:afterAutospacing="0" w:after="0"/>
              <w:ind w:hanging="0" w:left="0"/>
              <w:jc w:val="both"/>
              <w:rPr>
                <w:color w:val="auto"/>
              </w:rPr>
            </w:pPr>
            <w:r>
              <w:rPr>
                <w:color w:val="auto"/>
                <w:kern w:val="2"/>
                <w:szCs w:val="24"/>
              </w:rPr>
              <w:t>3. žaliųjų pirkimų reikalavimų vykdymas (elektroninių dokumentų teikimas, nuotoliniai susitikimai, popierinių dokumentų nenaudojimas).</w:t>
            </w:r>
          </w:p>
          <w:p>
            <w:pPr>
              <w:pStyle w:val="Normal"/>
              <w:rPr>
                <w:color w:val="auto"/>
                <w:kern w:val="2"/>
                <w:szCs w:val="24"/>
              </w:rPr>
            </w:pPr>
            <w:r>
              <w:rPr>
                <w:color w:val="auto"/>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
                <w:bCs/>
                <w:color w:val="auto"/>
              </w:rPr>
              <w:t>10.2. Dideli arba nuolatiniai esminės Sutarties sąlygos vykdymo trūkumai</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Web"/>
              <w:spacing w:beforeAutospacing="0" w:before="0" w:afterAutospacing="0" w:after="0"/>
              <w:jc w:val="both"/>
              <w:rPr>
                <w:color w:val="auto"/>
              </w:rPr>
            </w:pPr>
            <w:r>
              <w:rPr>
                <w:color w:val="auto"/>
              </w:rPr>
              <w:t>Dideliais arba nuolatiniais esminių Sutarties sąlygų vykdymo trūkumais laikoma, kai:</w:t>
            </w:r>
          </w:p>
          <w:p>
            <w:pPr>
              <w:pStyle w:val="NormalWeb"/>
              <w:numPr>
                <w:ilvl w:val="0"/>
                <w:numId w:val="0"/>
              </w:numPr>
              <w:spacing w:beforeAutospacing="0" w:before="0" w:afterAutospacing="0" w:after="0"/>
              <w:ind w:hanging="0" w:left="0"/>
              <w:jc w:val="both"/>
              <w:rPr>
                <w:color w:val="auto"/>
              </w:rPr>
            </w:pPr>
            <w:r>
              <w:rPr>
                <w:color w:val="auto"/>
              </w:rPr>
              <w:t>1. Tiekėjas daugiau nei du kartus per 3 mėnesių laikotarpį pažeidžia Sutarties 10.1 papunktyje nustatytas esmines sąlygas;</w:t>
            </w:r>
          </w:p>
          <w:p>
            <w:pPr>
              <w:pStyle w:val="NormalWeb"/>
              <w:numPr>
                <w:ilvl w:val="0"/>
                <w:numId w:val="0"/>
              </w:numPr>
              <w:spacing w:beforeAutospacing="0" w:before="0" w:afterAutospacing="0" w:after="0"/>
              <w:ind w:hanging="0" w:left="0"/>
              <w:jc w:val="both"/>
              <w:rPr>
                <w:color w:val="auto"/>
              </w:rPr>
            </w:pPr>
            <w:r>
              <w:rPr>
                <w:color w:val="auto"/>
                <w:kern w:val="2"/>
                <w:szCs w:val="24"/>
                <w:lang w:val="lt-LT"/>
              </w:rPr>
              <w:t>2. Tiekėjo teikiamos paslaugos sukelia PAIS veikimo sutrikimus, dėl kurių PAIS tampa iš esmės nepanaudojama arba dėl kurių Pirkėjas patiria reikšmingų veiklos trikdžių.</w:t>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szCs w:val="24"/>
              </w:rPr>
              <w:t>11.1. Sutarties sudarymas ir įsigaliojimas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kern w:val="2"/>
                <w:szCs w:val="24"/>
              </w:rPr>
              <w:t>Ši Sutartis laikoma sudaryta, kai (pirma) ją pasirašo abi Šalys.</w:t>
            </w:r>
          </w:p>
          <w:p>
            <w:pPr>
              <w:pStyle w:val="Normal"/>
              <w:jc w:val="both"/>
              <w:rPr>
                <w:color w:val="auto"/>
              </w:rPr>
            </w:pPr>
            <w:r>
              <w:rPr>
                <w:color w:val="auto"/>
              </w:rPr>
              <w:t>Sutartis galioja iki visiško prievolių įvykdymo (kol bus išnaudota Pradinės Sutarties vertė), bet jos terminas negali būti ilgesnis kaip 36 mėnesiai.</w:t>
            </w:r>
          </w:p>
          <w:p>
            <w:pPr>
              <w:pStyle w:val="Normal"/>
              <w:rPr>
                <w:color w:val="auto"/>
                <w:kern w:val="2"/>
                <w:szCs w:val="24"/>
              </w:rPr>
            </w:pPr>
            <w:r>
              <w:rPr>
                <w:color w:val="auto"/>
                <w:kern w:val="2"/>
                <w:szCs w:val="24"/>
              </w:rPr>
            </w:r>
          </w:p>
          <w:p>
            <w:pPr>
              <w:pStyle w:val="Normal"/>
              <w:rPr>
                <w:color w:val="auto"/>
                <w:kern w:val="2"/>
                <w:szCs w:val="24"/>
              </w:rPr>
            </w:pPr>
            <w:r>
              <w:rPr>
                <w:color w:val="auto"/>
                <w:kern w:val="2"/>
                <w:szCs w:val="24"/>
              </w:rPr>
            </w:r>
          </w:p>
          <w:p>
            <w:pPr>
              <w:pStyle w:val="Normal"/>
              <w:rPr>
                <w:color w:val="auto"/>
                <w:kern w:val="2"/>
                <w:szCs w:val="24"/>
              </w:rPr>
            </w:pPr>
            <w:r>
              <w:rPr>
                <w:color w:val="auto"/>
                <w:kern w:val="2"/>
                <w:szCs w:val="24"/>
              </w:rPr>
            </w:r>
          </w:p>
          <w:p>
            <w:pPr>
              <w:pStyle w:val="Normal"/>
              <w:rPr>
                <w:color w:val="auto"/>
                <w:kern w:val="2"/>
                <w:szCs w:val="24"/>
              </w:rPr>
            </w:pPr>
            <w:r>
              <w:rPr>
                <w:color w:val="auto"/>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11.2. Sutarties galiojimo termino pratęsimas</w:t>
            </w:r>
          </w:p>
        </w:tc>
        <w:tc>
          <w:tcPr>
            <w:tcW w:w="6880" w:type="dxa"/>
            <w:gridSpan w:val="2"/>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kern w:val="2"/>
                <w:szCs w:val="24"/>
              </w:rPr>
              <w:t>Netaikoma</w:t>
            </w:r>
          </w:p>
          <w:p>
            <w:pPr>
              <w:pStyle w:val="Normal"/>
              <w:rPr>
                <w:color w:val="auto"/>
                <w:kern w:val="2"/>
                <w:szCs w:val="24"/>
              </w:rPr>
            </w:pPr>
            <w:r>
              <w:rPr>
                <w:color w:val="auto"/>
                <w:kern w:val="2"/>
                <w:szCs w:val="24"/>
              </w:rPr>
            </w:r>
          </w:p>
          <w:p>
            <w:pPr>
              <w:pStyle w:val="Normal"/>
              <w:rPr>
                <w:color w:val="auto"/>
                <w:kern w:val="2"/>
                <w:szCs w:val="24"/>
              </w:rPr>
            </w:pPr>
            <w:r>
              <w:rPr>
                <w:color w:val="auto"/>
                <w:kern w:val="2"/>
                <w:szCs w:val="24"/>
              </w:rPr>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12. SUTARTIES NUTRAUKIMAS</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12.1. Sutarties nutraukimo pagrindai</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kern w:val="2"/>
                <w:szCs w:val="24"/>
              </w:rPr>
              <w:t>Sutartis gali būti nutraukiama rašytiniu Šalių susitarimu arba vienašališkai, Bendrosiose sąlygose nustatyta tvarka.</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 xml:space="preserve">12.2. Esminiai Sutarties </w:t>
            </w:r>
            <w:r>
              <w:rPr>
                <w:b/>
                <w:color w:val="auto"/>
                <w:szCs w:val="24"/>
              </w:rPr>
              <w:t>pažeidimai</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Web"/>
              <w:spacing w:beforeAutospacing="0" w:before="0" w:afterAutospacing="0" w:after="0"/>
              <w:jc w:val="both"/>
              <w:rPr>
                <w:color w:val="auto"/>
              </w:rPr>
            </w:pPr>
            <w:r>
              <w:rPr>
                <w:color w:val="auto"/>
              </w:rPr>
              <w:t>12.2.1. Tiekėjas daugiau nei du kartus per 3 mėnesių laikotarpį pažeidžia Sutarties 10.1 papunktyje nurodytas esmines sąlygas.</w:t>
            </w:r>
          </w:p>
          <w:p>
            <w:pPr>
              <w:pStyle w:val="NormalWeb"/>
              <w:spacing w:beforeAutospacing="0" w:before="0" w:afterAutospacing="0" w:after="0"/>
              <w:jc w:val="both"/>
              <w:rPr>
                <w:color w:val="auto"/>
              </w:rPr>
            </w:pPr>
            <w:r>
              <w:rPr>
                <w:color w:val="auto"/>
              </w:rPr>
              <w:t>12.2.2. Tiekėjas nepagrįstai atsisako taisyti PAIS veikimo klaidas ar neatitiktis.</w:t>
            </w:r>
          </w:p>
          <w:p>
            <w:pPr>
              <w:pStyle w:val="NormalWeb"/>
              <w:spacing w:beforeAutospacing="0" w:before="0" w:afterAutospacing="0" w:after="0"/>
              <w:jc w:val="both"/>
              <w:rPr>
                <w:color w:val="auto"/>
              </w:rPr>
            </w:pPr>
            <w:r>
              <w:rPr>
                <w:color w:val="auto"/>
              </w:rPr>
              <w:t>12.2.3. Tiekėjas nepateikia Pirkėjui viso programinio kodo, dokumentacijos ar kitų Sutarties vykdymui būtinų duomenų.</w:t>
            </w:r>
          </w:p>
          <w:p>
            <w:pPr>
              <w:pStyle w:val="NormalWeb"/>
              <w:spacing w:beforeAutospacing="0" w:before="0" w:afterAutospacing="0" w:after="0"/>
              <w:jc w:val="both"/>
              <w:rPr>
                <w:color w:val="auto"/>
              </w:rPr>
            </w:pPr>
            <w:r>
              <w:rPr>
                <w:color w:val="auto"/>
              </w:rPr>
              <w:t>12.2.4. Tiekėjas nesilaiko konfidencialumo, duomenų apsaugos ar informacinės saugos reikalavimų.</w:t>
            </w:r>
          </w:p>
          <w:p>
            <w:pPr>
              <w:pStyle w:val="NormalWeb"/>
              <w:spacing w:beforeAutospacing="0" w:before="0" w:afterAutospacing="0" w:after="0"/>
              <w:jc w:val="both"/>
              <w:rPr>
                <w:color w:val="auto"/>
              </w:rPr>
            </w:pPr>
            <w:r>
              <w:rPr>
                <w:color w:val="auto"/>
              </w:rPr>
              <w:t>12.2.5. Tiekėjas nesilaiko žaliųjų pirkimų vykdymo sąlygų pagal 13 skyrių, nepateikia dokumentų elektroniniu formatu ar be pagrindo organizuoja fizinius susitikimus.</w:t>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 xml:space="preserve">13. APLINKOS APSAUGOS IR SOCIALINIAI KRITERIJAI </w:t>
            </w:r>
            <w:r>
              <w:rPr>
                <w:color w:val="auto"/>
                <w:kern w:val="2"/>
                <w:szCs w:val="24"/>
              </w:rPr>
              <w:t>(taikoma, jeigu aplinkosauginiai ir (arba) socialiniai kriterijai nustatomi kaip Sutarties vykdymo sąlygos)</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13.1. Su perkamomis paslaugomis susiję  aplinkos apsaugos kriterijai</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 xml:space="preserve">Perkamoms paslaugoms yra taikomi Aplinkos apsaugos kriterijai, t. y. Aplinkos apsaugos kriterijų taikymo, vykdant žaliuosius pirkimus, tvarkos aprašo, patvirtinto Lietuvos Respublikos aplinkos ministro 2011 m. birželio 28 d. įsakymu Nr. D1-508, </w:t>
            </w:r>
            <w:r>
              <w:rPr>
                <w:b/>
                <w:bCs/>
                <w:color w:val="auto"/>
              </w:rPr>
              <w:t>4.4.3. ir 4.4.4.1.</w:t>
            </w:r>
            <w:r>
              <w:rPr>
                <w:color w:val="auto"/>
              </w:rPr>
              <w:t xml:space="preserve"> papunkčiai, kai perkamos tik nematerialaus pobūdžio (intelektinės) ir kitokios paslaugos, nesusijusios su materialaus objekto sukūrimu, kurių teikimo metu nėra numatomas reikšmingas neigiamas poveikis aplinkai, nesukuriamas taršos šaltinis ir negeneruojamos atliekos, o s</w:t>
            </w:r>
            <w:r>
              <w:rPr>
                <w:color w:val="auto"/>
                <w:szCs w:val="24"/>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r>
              <w:rPr>
                <w:color w:val="auto"/>
              </w:rPr>
              <w:t xml:space="preserve"> išskyrus atvejus, kai objektyviai neįmanoma susitikti nuotoliniu būdu</w:t>
            </w:r>
            <w:r>
              <w:rPr>
                <w:color w:val="auto"/>
                <w:szCs w:val="24"/>
              </w:rPr>
              <w:t>.</w:t>
            </w:r>
          </w:p>
          <w:p>
            <w:pPr>
              <w:pStyle w:val="Normal"/>
              <w:jc w:val="both"/>
              <w:rPr>
                <w:color w:val="auto"/>
              </w:rPr>
            </w:pPr>
            <w:r>
              <w:rPr>
                <w:color w:val="000000"/>
                <w:kern w:val="2"/>
                <w:szCs w:val="24"/>
                <w:shd w:fill="FFFFFF" w:val="clear"/>
              </w:rPr>
              <w:t>Nustačius, kad Tiekėjas šiame papunktyje nustatyto kriterijaus (-jų) nesilaiko, Tiekėjui taikoma Specialiųjų sąlygų 9.5 punkte nurodyto dydžio bauda.</w:t>
            </w:r>
          </w:p>
          <w:p>
            <w:pPr>
              <w:pStyle w:val="Normal"/>
              <w:rPr>
                <w:color w:val="auto"/>
              </w:rPr>
            </w:pPr>
            <w:r>
              <w:rPr>
                <w:color w:val="000000"/>
                <w:kern w:val="2"/>
                <w:szCs w:val="24"/>
                <w:shd w:fill="FFFFFF" w:val="clear"/>
              </w:rPr>
              <w:t>Nustačius, kad Tiekėjas šiame papunktyje nustatyto kriterijaus (-jų) nesilaiko, Tiekėjui taikoma Specialiųjų sąlygų 9.5 punkte nurodyto dydžio bauda.</w:t>
            </w:r>
          </w:p>
          <w:p>
            <w:pPr>
              <w:pStyle w:val="Normal"/>
              <w:rPr>
                <w:color w:val="auto"/>
                <w:kern w:val="2"/>
                <w:szCs w:val="24"/>
              </w:rPr>
            </w:pPr>
            <w:r>
              <w:rPr>
                <w:color w:val="auto"/>
                <w:kern w:val="2"/>
                <w:szCs w:val="24"/>
              </w:rPr>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13.2. Su perkamomis Paslaugomis susiję socialiniai kriterijai</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000000"/>
                <w:kern w:val="2"/>
                <w:szCs w:val="24"/>
                <w:shd w:fill="FFFFFF" w:val="clear"/>
              </w:rPr>
              <w:t>Netaikoma</w:t>
            </w:r>
          </w:p>
          <w:p>
            <w:pPr>
              <w:pStyle w:val="Normal"/>
              <w:rPr>
                <w:color w:val="auto"/>
                <w:kern w:val="2"/>
                <w:szCs w:val="24"/>
                <w:shd w:fill="FFFFFF" w:val="clear"/>
              </w:rPr>
            </w:pPr>
            <w:r>
              <w:rPr>
                <w:color w:val="000000"/>
                <w:kern w:val="2"/>
                <w:szCs w:val="24"/>
                <w:shd w:fill="FFFFFF" w:val="clear"/>
              </w:rPr>
            </w:r>
          </w:p>
          <w:p>
            <w:pPr>
              <w:pStyle w:val="Normal"/>
              <w:rPr>
                <w:color w:val="auto"/>
                <w:kern w:val="2"/>
                <w:szCs w:val="24"/>
              </w:rPr>
            </w:pPr>
            <w:r>
              <w:rPr>
                <w:color w:val="auto"/>
                <w:kern w:val="2"/>
                <w:szCs w:val="24"/>
              </w:rPr>
            </w:r>
          </w:p>
          <w:p>
            <w:pPr>
              <w:pStyle w:val="Normal"/>
              <w:rPr>
                <w:color w:val="auto"/>
                <w:kern w:val="2"/>
                <w:szCs w:val="24"/>
                <w:shd w:fill="FFFFFF" w:val="clear"/>
              </w:rPr>
            </w:pPr>
            <w:r>
              <w:rPr>
                <w:color w:val="000000"/>
                <w:kern w:val="2"/>
                <w:szCs w:val="24"/>
                <w:shd w:fill="FFFFFF" w:val="clear"/>
              </w:rPr>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14. BENDRŲJŲ SĄLYGŲ PAKEITIMAI IR PAPILDYMAI</w:t>
            </w:r>
          </w:p>
          <w:p>
            <w:pPr>
              <w:pStyle w:val="Normal"/>
              <w:jc w:val="center"/>
              <w:rPr>
                <w:color w:val="auto"/>
              </w:rPr>
            </w:pPr>
            <w:r>
              <w:rPr>
                <w:color w:val="auto"/>
                <w:kern w:val="2"/>
                <w:szCs w:val="24"/>
              </w:rPr>
              <w:t>(jeigu būtina dėl konkretaus Sutarties dalyko specifikos)</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color w:val="auto"/>
              </w:rPr>
            </w:pPr>
            <w:r>
              <w:rPr>
                <w:b/>
                <w:color w:val="auto"/>
                <w:kern w:val="2"/>
                <w:szCs w:val="24"/>
              </w:rPr>
              <w:t>14.1.</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
              <w:rPr>
                <w:color w:val="auto"/>
              </w:rPr>
            </w:pPr>
            <w:r>
              <w:rPr>
                <w:color w:val="auto"/>
                <w:kern w:val="2"/>
                <w:szCs w:val="24"/>
              </w:rPr>
              <w:t>Netaikoma.</w:t>
            </w:r>
          </w:p>
        </w:tc>
      </w:tr>
      <w:tr>
        <w:trPr>
          <w:trHeight w:val="300" w:hRule="atLeast"/>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15. SUTARTIES PRIEDAI</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15.1. Priedas Nr. 1</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kern w:val="2"/>
                <w:szCs w:val="24"/>
              </w:rPr>
              <w:t>Techninė specifikacija</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15.2. Priedas Nr. 2</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kern w:val="2"/>
                <w:szCs w:val="24"/>
              </w:rPr>
              <w:t>Pasiūlymas</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15.3. Priedas Nr. 3</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kern w:val="2"/>
                <w:szCs w:val="24"/>
              </w:rPr>
              <w:t>Susitarimas dėl asmens duomenų perdavimo ir tvarkos</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15.4. Priedas Nr. 4</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rPr>
              <w:t>Konfidencialios informacijos saugojimo sutartis</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15.5. Priedas Nr. 5</w:t>
            </w:r>
          </w:p>
        </w:tc>
        <w:tc>
          <w:tcPr>
            <w:tcW w:w="6918" w:type="dxa"/>
            <w:gridSpan w:val="3"/>
            <w:tcBorders>
              <w:top w:val="single" w:sz="4" w:space="0" w:color="000000"/>
              <w:left w:val="single" w:sz="4" w:space="0" w:color="000000"/>
              <w:bottom w:val="single" w:sz="4" w:space="0" w:color="000000"/>
              <w:right w:val="single" w:sz="4" w:space="0" w:color="000000"/>
            </w:tcBorders>
          </w:tcPr>
          <w:p>
            <w:pPr>
              <w:pStyle w:val="Normal"/>
              <w:rPr>
                <w:color w:val="auto"/>
              </w:rPr>
            </w:pPr>
            <w:r>
              <w:rPr>
                <w:bCs/>
                <w:color w:val="auto"/>
                <w:szCs w:val="24"/>
              </w:rPr>
              <w:t>Konfidencialumo ir nešališkumo pasižadėjimas</w:t>
            </w:r>
          </w:p>
        </w:tc>
      </w:tr>
      <w:tr>
        <w:trPr/>
        <w:tc>
          <w:tcPr>
            <w:tcW w:w="997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auto"/>
              </w:rPr>
            </w:pPr>
            <w:r>
              <w:rPr>
                <w:b/>
                <w:color w:val="auto"/>
                <w:kern w:val="2"/>
                <w:szCs w:val="24"/>
              </w:rPr>
              <w:t>16. ŠALIŲ ATSTOVŲ PARAŠAI</w:t>
            </w:r>
          </w:p>
        </w:tc>
      </w:tr>
      <w:tr>
        <w:trPr/>
        <w:tc>
          <w:tcPr>
            <w:tcW w:w="5223"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751"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3"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color w:val="4472C4"/>
                <w:kern w:val="2"/>
                <w:szCs w:val="24"/>
              </w:rPr>
              <w:t>(nurodomos atstovo pareigos, vardas, pavardė)</w:t>
            </w:r>
          </w:p>
        </w:tc>
        <w:tc>
          <w:tcPr>
            <w:tcW w:w="4751"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color w:val="4472C4"/>
                <w:kern w:val="2"/>
                <w:szCs w:val="24"/>
              </w:rPr>
              <w:t>(nurodomos atstovo pareigos, vardas, pavardė)</w:t>
            </w:r>
          </w:p>
        </w:tc>
      </w:tr>
      <w:tr>
        <w:trPr/>
        <w:tc>
          <w:tcPr>
            <w:tcW w:w="5223"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751"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Segoe UI">
    <w:charset w:val="ba"/>
    <w:family w:val="swiss"/>
    <w:pitch w:val="variable"/>
  </w:font>
  <w:font w:name="Arial">
    <w:charset w:val="ba"/>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9</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HeaderChar" w:customStyle="1">
    <w:name w:val="Header Char"/>
    <w:basedOn w:val="DefaultParagraphFont"/>
    <w:qFormat/>
    <w:rsid w:val="007a75c6"/>
    <w:rPr/>
  </w:style>
  <w:style w:type="character" w:styleId="FooterChar" w:customStyle="1">
    <w:name w:val="Footer Char"/>
    <w:basedOn w:val="DefaultParagraphFont"/>
    <w:qFormat/>
    <w:rsid w:val="007a75c6"/>
    <w:rPr/>
  </w:style>
  <w:style w:type="character" w:styleId="normaltextrun" w:customStyle="1">
    <w:name w:val="normaltextrun"/>
    <w:basedOn w:val="DefaultParagraphFont"/>
    <w:qFormat/>
    <w:rsid w:val="00c74fa2"/>
    <w:rPr/>
  </w:style>
  <w:style w:type="character" w:styleId="eop" w:customStyle="1">
    <w:name w:val="eop"/>
    <w:basedOn w:val="DefaultParagraphFont"/>
    <w:qFormat/>
    <w:rsid w:val="00c74fa2"/>
    <w:rPr/>
  </w:style>
  <w:style w:type="character" w:styleId="Galinsinaosramenysuser">
    <w:name w:val="Galinės išnašos rašmenys (user)"/>
    <w:qFormat/>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Antratuser">
    <w:name w:val="Antraštė (user)"/>
    <w:basedOn w:val="Normal"/>
    <w:next w:val="BodyText"/>
    <w:qFormat/>
    <w:pPr>
      <w:keepNext w:val="true"/>
      <w:spacing w:before="240" w:after="120"/>
    </w:pPr>
    <w:rPr>
      <w:rFonts w:ascii="Liberation Sans" w:hAnsi="Liberation Sans" w:eastAsia="Microsoft YaHei" w:cs="Arial"/>
      <w:sz w:val="28"/>
      <w:szCs w:val="28"/>
    </w:rPr>
  </w:style>
  <w:style w:type="paragraph" w:styleId="Rodykluser">
    <w:name w:val="Rodyklė (user)"/>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nhideWhenUsed/>
    <w:rsid w:val="007a75c6"/>
    <w:pPr>
      <w:tabs>
        <w:tab w:val="clear" w:pos="1296"/>
        <w:tab w:val="center" w:pos="4513" w:leader="none"/>
        <w:tab w:val="right" w:pos="9026" w:leader="none"/>
      </w:tabs>
    </w:pPr>
    <w:rPr/>
  </w:style>
  <w:style w:type="paragraph" w:styleId="Footer">
    <w:name w:val="footer"/>
    <w:basedOn w:val="Normal"/>
    <w:link w:val="FooterChar"/>
    <w:unhideWhenUsed/>
    <w:rsid w:val="007a75c6"/>
    <w:pPr>
      <w:tabs>
        <w:tab w:val="clear" w:pos="1296"/>
        <w:tab w:val="center" w:pos="4513" w:leader="none"/>
        <w:tab w:val="right" w:pos="9026" w:leader="none"/>
      </w:tabs>
    </w:pPr>
    <w:rPr/>
  </w:style>
  <w:style w:type="paragraph" w:styleId="paragraph" w:customStyle="1">
    <w:name w:val="paragraph"/>
    <w:basedOn w:val="Normal"/>
    <w:qFormat/>
    <w:rsid w:val="00c74fa2"/>
    <w:pPr>
      <w:spacing w:beforeAutospacing="1" w:afterAutospacing="1"/>
    </w:pPr>
    <w:rPr>
      <w:szCs w:val="24"/>
      <w:lang w:val="en-US"/>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rmalWeb">
    <w:name w:val="Normal (Web)"/>
    <w:basedOn w:val="Normal"/>
    <w:qFormat/>
    <w:pPr>
      <w:spacing w:beforeAutospacing="1" w:afterAutospacing="1"/>
    </w:pPr>
    <w:rPr>
      <w:szCs w:val="24"/>
      <w:lang w:eastAsia="lt-LT"/>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377</TotalTime>
  <Application>LibreOffice/25.2.3.2$Windows_X86_64 LibreOffice_project/bbb074479178df812d175f709636b368952c2ce3</Application>
  <AppVersion>15.0000</AppVersion>
  <Pages>9</Pages>
  <Words>2330</Words>
  <Characters>16429</Characters>
  <CharactersWithSpaces>18569</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2025-04-23T05:58:00Z</dcterms:created>
  <dc:creator/>
  <dc:description/>
  <dc:language>lt-LT</dc:language>
  <cp:lastModifiedBy/>
  <dcterms:modified xsi:type="dcterms:W3CDTF">2026-02-19T09:47:59Z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