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FF1" w:rsidRDefault="00E24FF1" w:rsidP="00264606">
      <w:pPr>
        <w:jc w:val="center"/>
        <w:rPr>
          <w:rFonts w:ascii="Times New Roman" w:hAnsi="Times New Roman" w:cs="Times New Roman"/>
          <w:b/>
          <w:sz w:val="24"/>
          <w:szCs w:val="24"/>
        </w:rPr>
      </w:pPr>
      <w:r w:rsidRPr="00E24FF1">
        <w:rPr>
          <w:rFonts w:ascii="Times New Roman" w:hAnsi="Times New Roman" w:cs="Times New Roman"/>
          <w:b/>
          <w:sz w:val="24"/>
          <w:szCs w:val="24"/>
        </w:rPr>
        <w:t>NERUDYJANČIO PLIENO TURĖKLŲ</w:t>
      </w:r>
      <w:r>
        <w:rPr>
          <w:rFonts w:ascii="Times New Roman" w:hAnsi="Times New Roman" w:cs="Times New Roman"/>
          <w:b/>
          <w:sz w:val="24"/>
          <w:szCs w:val="24"/>
        </w:rPr>
        <w:t xml:space="preserve"> GAMYBA</w:t>
      </w:r>
      <w:r w:rsidRPr="00E24FF1">
        <w:rPr>
          <w:rFonts w:ascii="Times New Roman" w:hAnsi="Times New Roman" w:cs="Times New Roman"/>
          <w:b/>
          <w:sz w:val="24"/>
          <w:szCs w:val="24"/>
        </w:rPr>
        <w:t xml:space="preserve"> IR JŲ ĮRENGIM</w:t>
      </w:r>
      <w:r>
        <w:rPr>
          <w:rFonts w:ascii="Times New Roman" w:hAnsi="Times New Roman" w:cs="Times New Roman"/>
          <w:b/>
          <w:sz w:val="24"/>
          <w:szCs w:val="24"/>
        </w:rPr>
        <w:t>AS</w:t>
      </w:r>
    </w:p>
    <w:p w:rsidR="004C215A" w:rsidRPr="00264606" w:rsidRDefault="00E24FF1" w:rsidP="00264606">
      <w:pPr>
        <w:jc w:val="center"/>
        <w:rPr>
          <w:rFonts w:ascii="Times New Roman" w:hAnsi="Times New Roman" w:cs="Times New Roman"/>
          <w:b/>
          <w:sz w:val="24"/>
          <w:szCs w:val="24"/>
        </w:rPr>
      </w:pPr>
      <w:r w:rsidRPr="00E24FF1">
        <w:rPr>
          <w:rFonts w:ascii="Times New Roman" w:hAnsi="Times New Roman" w:cs="Times New Roman"/>
          <w:b/>
          <w:sz w:val="24"/>
          <w:szCs w:val="24"/>
        </w:rPr>
        <w:t xml:space="preserve"> </w:t>
      </w:r>
      <w:r w:rsidR="00264606">
        <w:rPr>
          <w:rFonts w:ascii="Times New Roman" w:hAnsi="Times New Roman" w:cs="Times New Roman"/>
          <w:b/>
          <w:sz w:val="24"/>
          <w:szCs w:val="24"/>
        </w:rPr>
        <w:t xml:space="preserve">ADRESU </w:t>
      </w:r>
      <w:r w:rsidR="00264606" w:rsidRPr="00264606">
        <w:rPr>
          <w:rFonts w:ascii="Times New Roman" w:hAnsi="Times New Roman" w:cs="Times New Roman"/>
          <w:b/>
          <w:sz w:val="24"/>
          <w:szCs w:val="24"/>
        </w:rPr>
        <w:t>TAIKOS PROSPEKTAS 67, KALIPĖDA</w:t>
      </w:r>
    </w:p>
    <w:p w:rsidR="00264606" w:rsidRPr="00264606" w:rsidRDefault="00264606" w:rsidP="00264606">
      <w:pPr>
        <w:jc w:val="center"/>
        <w:rPr>
          <w:rFonts w:ascii="Times New Roman" w:hAnsi="Times New Roman" w:cs="Times New Roman"/>
          <w:b/>
          <w:sz w:val="24"/>
          <w:szCs w:val="24"/>
        </w:rPr>
      </w:pPr>
      <w:r w:rsidRPr="00264606">
        <w:rPr>
          <w:rFonts w:ascii="Times New Roman" w:hAnsi="Times New Roman" w:cs="Times New Roman"/>
          <w:b/>
          <w:sz w:val="24"/>
          <w:szCs w:val="24"/>
        </w:rPr>
        <w:t>RINKOS KONSULTACIJA</w:t>
      </w:r>
    </w:p>
    <w:p w:rsidR="00264606" w:rsidRPr="00264606" w:rsidRDefault="00264606" w:rsidP="00264606">
      <w:pPr>
        <w:jc w:val="center"/>
        <w:rPr>
          <w:rFonts w:ascii="Times New Roman" w:hAnsi="Times New Roman" w:cs="Times New Roman"/>
          <w:b/>
          <w:sz w:val="24"/>
          <w:szCs w:val="24"/>
        </w:rPr>
      </w:pPr>
    </w:p>
    <w:p w:rsidR="00264606" w:rsidRPr="00264606" w:rsidRDefault="00264606" w:rsidP="00264606">
      <w:pPr>
        <w:spacing w:after="120"/>
        <w:ind w:firstLine="851"/>
        <w:jc w:val="both"/>
        <w:rPr>
          <w:rFonts w:ascii="Times New Roman" w:hAnsi="Times New Roman" w:cs="Times New Roman"/>
          <w:sz w:val="24"/>
          <w:szCs w:val="24"/>
        </w:rPr>
      </w:pPr>
      <w:r w:rsidRPr="00264606">
        <w:rPr>
          <w:rFonts w:ascii="Times New Roman" w:hAnsi="Times New Roman" w:cs="Times New Roman"/>
          <w:sz w:val="24"/>
          <w:szCs w:val="24"/>
        </w:rPr>
        <w:t xml:space="preserve">Klaipėdos Ernesto Galvanausko profesinio mokymo centras (toliau vadinama – Perkančioji organizacija), </w:t>
      </w:r>
      <w:r w:rsidRPr="00264606">
        <w:rPr>
          <w:rFonts w:ascii="Times New Roman" w:hAnsi="Times New Roman" w:cs="Times New Roman"/>
          <w:b/>
          <w:sz w:val="24"/>
          <w:szCs w:val="24"/>
        </w:rPr>
        <w:t xml:space="preserve">numato pirkti  </w:t>
      </w:r>
      <w:r w:rsidR="00E24FF1">
        <w:rPr>
          <w:rFonts w:ascii="Times New Roman" w:hAnsi="Times New Roman" w:cs="Times New Roman"/>
          <w:b/>
          <w:sz w:val="24"/>
          <w:szCs w:val="24"/>
        </w:rPr>
        <w:t>administracinio</w:t>
      </w:r>
      <w:r>
        <w:rPr>
          <w:rFonts w:ascii="Times New Roman" w:hAnsi="Times New Roman" w:cs="Times New Roman"/>
          <w:b/>
          <w:sz w:val="24"/>
          <w:szCs w:val="24"/>
        </w:rPr>
        <w:t xml:space="preserve"> korpuso (</w:t>
      </w:r>
      <w:r w:rsidRPr="00264606">
        <w:rPr>
          <w:rFonts w:ascii="Times New Roman" w:hAnsi="Times New Roman" w:cs="Times New Roman"/>
          <w:b/>
          <w:sz w:val="24"/>
          <w:szCs w:val="24"/>
        </w:rPr>
        <w:t xml:space="preserve">Taikos prospektas 67, Klaipėda), </w:t>
      </w:r>
      <w:r w:rsidR="00E24FF1" w:rsidRPr="00E24FF1">
        <w:rPr>
          <w:rFonts w:ascii="Times New Roman" w:hAnsi="Times New Roman" w:cs="Times New Roman"/>
          <w:b/>
          <w:sz w:val="24"/>
          <w:szCs w:val="24"/>
        </w:rPr>
        <w:t xml:space="preserve">nerūdijančio plieno turėklų gamybos ir įrengimo darbus </w:t>
      </w:r>
      <w:r w:rsidRPr="00264606">
        <w:rPr>
          <w:rFonts w:ascii="Times New Roman" w:hAnsi="Times New Roman" w:cs="Times New Roman"/>
          <w:kern w:val="2"/>
          <w:sz w:val="24"/>
          <w:szCs w:val="24"/>
          <w:lang w:eastAsia="ar-SA"/>
        </w:rPr>
        <w:t>(toliau –</w:t>
      </w:r>
      <w:r>
        <w:rPr>
          <w:rFonts w:ascii="Times New Roman" w:hAnsi="Times New Roman" w:cs="Times New Roman"/>
          <w:kern w:val="2"/>
          <w:sz w:val="24"/>
          <w:szCs w:val="24"/>
          <w:lang w:eastAsia="ar-SA"/>
        </w:rPr>
        <w:t>Darbai</w:t>
      </w:r>
      <w:r w:rsidRPr="00264606">
        <w:rPr>
          <w:rFonts w:ascii="Times New Roman" w:hAnsi="Times New Roman" w:cs="Times New Roman"/>
          <w:kern w:val="2"/>
          <w:sz w:val="24"/>
          <w:szCs w:val="24"/>
          <w:lang w:eastAsia="ar-SA"/>
        </w:rPr>
        <w:t xml:space="preserve">) ir </w:t>
      </w:r>
      <w:r w:rsidRPr="00264606">
        <w:rPr>
          <w:rFonts w:ascii="Times New Roman" w:hAnsi="Times New Roman" w:cs="Times New Roman"/>
          <w:sz w:val="24"/>
          <w:szCs w:val="24"/>
        </w:rPr>
        <w:t xml:space="preserve">prašo rinkos dalyvių suteikti konsultaciją. </w:t>
      </w:r>
    </w:p>
    <w:p w:rsidR="00264606" w:rsidRPr="00264606" w:rsidRDefault="00264606" w:rsidP="00264606">
      <w:pPr>
        <w:spacing w:after="120"/>
        <w:ind w:firstLine="851"/>
        <w:jc w:val="both"/>
        <w:rPr>
          <w:rFonts w:ascii="Times New Roman" w:hAnsi="Times New Roman" w:cs="Times New Roman"/>
          <w:sz w:val="24"/>
          <w:szCs w:val="24"/>
        </w:rPr>
      </w:pPr>
      <w:r w:rsidRPr="00264606">
        <w:rPr>
          <w:rFonts w:ascii="Times New Roman" w:hAnsi="Times New Roman" w:cs="Times New Roman"/>
          <w:b/>
          <w:sz w:val="24"/>
          <w:szCs w:val="24"/>
        </w:rPr>
        <w:t>Konsultacijos tikslas</w:t>
      </w:r>
      <w:r w:rsidRPr="00264606">
        <w:rPr>
          <w:rFonts w:ascii="Times New Roman" w:hAnsi="Times New Roman" w:cs="Times New Roman"/>
          <w:sz w:val="24"/>
          <w:szCs w:val="24"/>
        </w:rPr>
        <w:t>:</w:t>
      </w:r>
    </w:p>
    <w:p w:rsidR="00264606" w:rsidRPr="00264606" w:rsidRDefault="00264606" w:rsidP="00264606">
      <w:pPr>
        <w:pStyle w:val="ListParagraph"/>
        <w:numPr>
          <w:ilvl w:val="0"/>
          <w:numId w:val="2"/>
        </w:numPr>
        <w:spacing w:after="120"/>
        <w:ind w:left="0" w:firstLine="993"/>
        <w:jc w:val="both"/>
        <w:rPr>
          <w:rFonts w:ascii="Times New Roman" w:hAnsi="Times New Roman" w:cs="Times New Roman"/>
          <w:sz w:val="24"/>
          <w:szCs w:val="24"/>
        </w:rPr>
      </w:pPr>
      <w:r w:rsidRPr="00264606">
        <w:rPr>
          <w:rFonts w:ascii="Times New Roman" w:hAnsi="Times New Roman" w:cs="Times New Roman"/>
          <w:sz w:val="24"/>
          <w:szCs w:val="24"/>
        </w:rPr>
        <w:t xml:space="preserve">gauti rinkos dalyvių konsultacijas/ pastabas bei pasiūlymus dėl numatytų </w:t>
      </w:r>
      <w:r>
        <w:rPr>
          <w:rFonts w:ascii="Times New Roman" w:hAnsi="Times New Roman" w:cs="Times New Roman"/>
          <w:sz w:val="24"/>
          <w:szCs w:val="24"/>
        </w:rPr>
        <w:t>Darbų</w:t>
      </w:r>
      <w:r w:rsidRPr="00264606">
        <w:rPr>
          <w:rFonts w:ascii="Times New Roman" w:hAnsi="Times New Roman" w:cs="Times New Roman"/>
          <w:sz w:val="24"/>
          <w:szCs w:val="24"/>
        </w:rPr>
        <w:t xml:space="preserve"> apimties aiškumo(tikslumo);</w:t>
      </w:r>
    </w:p>
    <w:p w:rsidR="00264606" w:rsidRPr="00264606" w:rsidRDefault="00264606" w:rsidP="00264606">
      <w:pPr>
        <w:pStyle w:val="ListParagraph"/>
        <w:numPr>
          <w:ilvl w:val="0"/>
          <w:numId w:val="2"/>
        </w:numPr>
        <w:spacing w:after="120"/>
        <w:ind w:left="0" w:firstLine="993"/>
        <w:jc w:val="both"/>
        <w:rPr>
          <w:rFonts w:ascii="Times New Roman" w:hAnsi="Times New Roman" w:cs="Times New Roman"/>
          <w:sz w:val="24"/>
          <w:szCs w:val="24"/>
        </w:rPr>
      </w:pPr>
      <w:r w:rsidRPr="00264606">
        <w:rPr>
          <w:rFonts w:ascii="Times New Roman" w:hAnsi="Times New Roman" w:cs="Times New Roman"/>
          <w:sz w:val="24"/>
          <w:szCs w:val="24"/>
        </w:rPr>
        <w:t xml:space="preserve"> suplanuoti viešojo pirkimo biudžetą;</w:t>
      </w:r>
    </w:p>
    <w:p w:rsidR="00264606" w:rsidRPr="00264606" w:rsidRDefault="00264606" w:rsidP="00264606">
      <w:pPr>
        <w:pStyle w:val="ListParagraph"/>
        <w:numPr>
          <w:ilvl w:val="0"/>
          <w:numId w:val="2"/>
        </w:numPr>
        <w:spacing w:after="120"/>
        <w:ind w:left="0" w:firstLine="993"/>
        <w:jc w:val="both"/>
        <w:rPr>
          <w:rFonts w:ascii="Times New Roman" w:hAnsi="Times New Roman" w:cs="Times New Roman"/>
          <w:sz w:val="24"/>
          <w:szCs w:val="24"/>
        </w:rPr>
      </w:pPr>
      <w:r w:rsidRPr="00264606">
        <w:rPr>
          <w:rFonts w:ascii="Times New Roman" w:hAnsi="Times New Roman" w:cs="Times New Roman"/>
          <w:sz w:val="24"/>
          <w:szCs w:val="24"/>
        </w:rPr>
        <w:t>atsižvelgiant į rinkos konsultacijos rezultatus,  nustatyti technines, komercines bei kitas sutarties vykdymo sąlygas bei atlikti viešąjį pirkimą.</w:t>
      </w:r>
    </w:p>
    <w:p w:rsidR="00264606" w:rsidRPr="00264606" w:rsidRDefault="00264606" w:rsidP="00264606">
      <w:pPr>
        <w:pStyle w:val="ListParagraph"/>
        <w:spacing w:after="120"/>
        <w:ind w:left="0"/>
        <w:jc w:val="both"/>
        <w:rPr>
          <w:rFonts w:ascii="Times New Roman" w:hAnsi="Times New Roman" w:cs="Times New Roman"/>
          <w:sz w:val="24"/>
          <w:szCs w:val="24"/>
        </w:rPr>
      </w:pPr>
    </w:p>
    <w:p w:rsidR="00264606" w:rsidRPr="00264606" w:rsidRDefault="00264606" w:rsidP="00264606">
      <w:pPr>
        <w:spacing w:after="120"/>
        <w:ind w:left="-142" w:firstLine="993"/>
        <w:jc w:val="both"/>
        <w:rPr>
          <w:rFonts w:ascii="Times New Roman" w:hAnsi="Times New Roman" w:cs="Times New Roman"/>
          <w:sz w:val="24"/>
          <w:szCs w:val="24"/>
        </w:rPr>
      </w:pPr>
      <w:r w:rsidRPr="00264606">
        <w:rPr>
          <w:rFonts w:ascii="Times New Roman" w:hAnsi="Times New Roman" w:cs="Times New Roman"/>
          <w:b/>
          <w:sz w:val="24"/>
          <w:szCs w:val="24"/>
        </w:rPr>
        <w:t>Konsultacijos būdas</w:t>
      </w:r>
      <w:r w:rsidRPr="00264606">
        <w:rPr>
          <w:rFonts w:ascii="Times New Roman" w:hAnsi="Times New Roman" w:cs="Times New Roman"/>
          <w:sz w:val="24"/>
          <w:szCs w:val="24"/>
        </w:rPr>
        <w:t xml:space="preserve">: konsultacija vykdoma Centrinės viešųjų pirkimų informacinės sistemos priemonėmis Viešųjų pirkimų tarnybos nustatyta tvarka. Rinkos dalyviai kviečiami ne vėliau kaip </w:t>
      </w:r>
      <w:r w:rsidRPr="00264606">
        <w:rPr>
          <w:rFonts w:ascii="Times New Roman" w:hAnsi="Times New Roman" w:cs="Times New Roman"/>
          <w:b/>
          <w:sz w:val="24"/>
          <w:szCs w:val="24"/>
        </w:rPr>
        <w:t>iki 202</w:t>
      </w:r>
      <w:r>
        <w:rPr>
          <w:rFonts w:ascii="Times New Roman" w:hAnsi="Times New Roman" w:cs="Times New Roman"/>
          <w:b/>
          <w:sz w:val="24"/>
          <w:szCs w:val="24"/>
        </w:rPr>
        <w:t>5</w:t>
      </w:r>
      <w:r w:rsidRPr="00264606">
        <w:rPr>
          <w:rFonts w:ascii="Times New Roman" w:hAnsi="Times New Roman" w:cs="Times New Roman"/>
          <w:b/>
          <w:sz w:val="24"/>
          <w:szCs w:val="24"/>
        </w:rPr>
        <w:t xml:space="preserve"> m. </w:t>
      </w:r>
      <w:r w:rsidR="00E24FF1">
        <w:rPr>
          <w:rFonts w:ascii="Times New Roman" w:hAnsi="Times New Roman" w:cs="Times New Roman"/>
          <w:b/>
          <w:sz w:val="24"/>
          <w:szCs w:val="24"/>
        </w:rPr>
        <w:t>vasario</w:t>
      </w:r>
      <w:r>
        <w:rPr>
          <w:rFonts w:ascii="Times New Roman" w:hAnsi="Times New Roman" w:cs="Times New Roman"/>
          <w:b/>
          <w:sz w:val="24"/>
          <w:szCs w:val="24"/>
        </w:rPr>
        <w:t xml:space="preserve"> </w:t>
      </w:r>
      <w:r w:rsidR="00FC2727">
        <w:rPr>
          <w:rFonts w:ascii="Times New Roman" w:hAnsi="Times New Roman" w:cs="Times New Roman"/>
          <w:b/>
          <w:sz w:val="24"/>
          <w:szCs w:val="24"/>
        </w:rPr>
        <w:t>2</w:t>
      </w:r>
      <w:r w:rsidR="00E24FF1">
        <w:rPr>
          <w:rFonts w:ascii="Times New Roman" w:hAnsi="Times New Roman" w:cs="Times New Roman"/>
          <w:b/>
          <w:sz w:val="24"/>
          <w:szCs w:val="24"/>
        </w:rPr>
        <w:t xml:space="preserve">6 </w:t>
      </w:r>
      <w:r w:rsidRPr="00264606">
        <w:rPr>
          <w:rFonts w:ascii="Times New Roman" w:hAnsi="Times New Roman" w:cs="Times New Roman"/>
          <w:b/>
          <w:sz w:val="24"/>
          <w:szCs w:val="24"/>
        </w:rPr>
        <w:t xml:space="preserve">d. </w:t>
      </w:r>
      <w:r w:rsidR="00E24FF1">
        <w:rPr>
          <w:rFonts w:ascii="Times New Roman" w:hAnsi="Times New Roman" w:cs="Times New Roman"/>
          <w:b/>
          <w:sz w:val="24"/>
          <w:szCs w:val="24"/>
        </w:rPr>
        <w:t>09</w:t>
      </w:r>
      <w:r w:rsidRPr="00264606">
        <w:rPr>
          <w:rFonts w:ascii="Times New Roman" w:hAnsi="Times New Roman" w:cs="Times New Roman"/>
          <w:b/>
          <w:sz w:val="24"/>
          <w:szCs w:val="24"/>
        </w:rPr>
        <w:t xml:space="preserve"> val. 00 min.</w:t>
      </w:r>
      <w:r w:rsidRPr="00264606">
        <w:rPr>
          <w:rFonts w:ascii="Times New Roman" w:hAnsi="Times New Roman" w:cs="Times New Roman"/>
          <w:sz w:val="24"/>
          <w:szCs w:val="24"/>
        </w:rPr>
        <w:t xml:space="preserve"> pateikti atsakymus į klausimus, savo siūlymus ir rekomendacijas. </w:t>
      </w:r>
    </w:p>
    <w:p w:rsidR="00264606" w:rsidRPr="00264606" w:rsidRDefault="00264606" w:rsidP="00264606">
      <w:pPr>
        <w:spacing w:after="120"/>
        <w:ind w:left="-142" w:firstLine="993"/>
        <w:jc w:val="both"/>
        <w:rPr>
          <w:rFonts w:ascii="Times New Roman" w:hAnsi="Times New Roman" w:cs="Times New Roman"/>
          <w:b/>
          <w:sz w:val="24"/>
          <w:szCs w:val="24"/>
          <w:u w:val="single"/>
        </w:rPr>
      </w:pPr>
      <w:r w:rsidRPr="00264606">
        <w:rPr>
          <w:rFonts w:ascii="Times New Roman" w:hAnsi="Times New Roman" w:cs="Times New Roman"/>
          <w:b/>
          <w:sz w:val="24"/>
          <w:szCs w:val="24"/>
          <w:u w:val="single"/>
        </w:rPr>
        <w:t xml:space="preserve">Kainos pasiūlymas, pateiktas konsultacijai nelaikomas pirkimo pasiūlymu. Gauta iš tiekėjų informacija laikoma konfidencialia ir neviešinama. </w:t>
      </w:r>
    </w:p>
    <w:p w:rsidR="00264606" w:rsidRPr="00264606" w:rsidRDefault="00264606" w:rsidP="00264606">
      <w:pPr>
        <w:spacing w:after="120"/>
        <w:ind w:firstLine="851"/>
        <w:jc w:val="both"/>
        <w:rPr>
          <w:rFonts w:ascii="Times New Roman" w:hAnsi="Times New Roman" w:cs="Times New Roman"/>
          <w:b/>
          <w:sz w:val="24"/>
          <w:szCs w:val="24"/>
        </w:rPr>
      </w:pPr>
      <w:r w:rsidRPr="00264606">
        <w:rPr>
          <w:rFonts w:ascii="Times New Roman" w:hAnsi="Times New Roman" w:cs="Times New Roman"/>
          <w:b/>
          <w:sz w:val="24"/>
          <w:szCs w:val="24"/>
        </w:rPr>
        <w:t xml:space="preserve">Siekdami </w:t>
      </w:r>
      <w:r>
        <w:rPr>
          <w:rFonts w:ascii="Times New Roman" w:hAnsi="Times New Roman" w:cs="Times New Roman"/>
          <w:b/>
          <w:sz w:val="24"/>
          <w:szCs w:val="24"/>
        </w:rPr>
        <w:t xml:space="preserve">tinkamai </w:t>
      </w:r>
      <w:r w:rsidRPr="00264606">
        <w:rPr>
          <w:rFonts w:ascii="Times New Roman" w:hAnsi="Times New Roman" w:cs="Times New Roman"/>
          <w:b/>
          <w:sz w:val="24"/>
          <w:szCs w:val="24"/>
        </w:rPr>
        <w:t xml:space="preserve">pasiruošti Pirkimui, </w:t>
      </w:r>
      <w:r>
        <w:rPr>
          <w:rFonts w:ascii="Times New Roman" w:hAnsi="Times New Roman" w:cs="Times New Roman"/>
          <w:b/>
          <w:sz w:val="24"/>
          <w:szCs w:val="24"/>
        </w:rPr>
        <w:t xml:space="preserve">Perkančioji organizacija prašo suinteresuotų rinkos dalyvių </w:t>
      </w:r>
      <w:r w:rsidRPr="00264606">
        <w:rPr>
          <w:rFonts w:ascii="Times New Roman" w:hAnsi="Times New Roman" w:cs="Times New Roman"/>
          <w:b/>
          <w:sz w:val="24"/>
          <w:szCs w:val="24"/>
        </w:rPr>
        <w:t>atsakyti į šiuos klausimus:</w:t>
      </w:r>
    </w:p>
    <w:tbl>
      <w:tblPr>
        <w:tblStyle w:val="TableGrid"/>
        <w:tblW w:w="0" w:type="auto"/>
        <w:tblLook w:val="04A0" w:firstRow="1" w:lastRow="0" w:firstColumn="1" w:lastColumn="0" w:noHBand="0" w:noVBand="1"/>
      </w:tblPr>
      <w:tblGrid>
        <w:gridCol w:w="696"/>
        <w:gridCol w:w="5111"/>
        <w:gridCol w:w="3821"/>
      </w:tblGrid>
      <w:tr w:rsidR="00264606" w:rsidRPr="00264606" w:rsidTr="00153932">
        <w:tc>
          <w:tcPr>
            <w:tcW w:w="696" w:type="dxa"/>
          </w:tcPr>
          <w:p w:rsidR="00264606" w:rsidRPr="00264606" w:rsidRDefault="00264606" w:rsidP="00153932">
            <w:pPr>
              <w:spacing w:after="120"/>
              <w:jc w:val="both"/>
              <w:rPr>
                <w:rFonts w:ascii="Times New Roman" w:hAnsi="Times New Roman" w:cs="Times New Roman"/>
                <w:b/>
                <w:sz w:val="24"/>
                <w:szCs w:val="24"/>
              </w:rPr>
            </w:pPr>
            <w:r w:rsidRPr="00264606">
              <w:rPr>
                <w:rFonts w:ascii="Times New Roman" w:hAnsi="Times New Roman" w:cs="Times New Roman"/>
                <w:b/>
                <w:sz w:val="24"/>
                <w:szCs w:val="24"/>
              </w:rPr>
              <w:t>Eil. Nr.</w:t>
            </w:r>
          </w:p>
        </w:tc>
        <w:tc>
          <w:tcPr>
            <w:tcW w:w="5111" w:type="dxa"/>
          </w:tcPr>
          <w:p w:rsidR="00264606" w:rsidRPr="00264606" w:rsidRDefault="00264606" w:rsidP="00153932">
            <w:pPr>
              <w:spacing w:after="120"/>
              <w:jc w:val="both"/>
              <w:rPr>
                <w:rFonts w:ascii="Times New Roman" w:hAnsi="Times New Roman" w:cs="Times New Roman"/>
                <w:b/>
                <w:sz w:val="24"/>
                <w:szCs w:val="24"/>
              </w:rPr>
            </w:pPr>
            <w:r w:rsidRPr="00264606">
              <w:rPr>
                <w:rFonts w:ascii="Times New Roman" w:hAnsi="Times New Roman" w:cs="Times New Roman"/>
                <w:b/>
                <w:sz w:val="24"/>
                <w:szCs w:val="24"/>
              </w:rPr>
              <w:t>Klausimas</w:t>
            </w:r>
          </w:p>
        </w:tc>
        <w:tc>
          <w:tcPr>
            <w:tcW w:w="3821" w:type="dxa"/>
          </w:tcPr>
          <w:p w:rsidR="00264606" w:rsidRPr="00264606" w:rsidRDefault="00264606" w:rsidP="00153932">
            <w:pPr>
              <w:spacing w:after="120"/>
              <w:jc w:val="both"/>
              <w:rPr>
                <w:rFonts w:ascii="Times New Roman" w:hAnsi="Times New Roman" w:cs="Times New Roman"/>
                <w:b/>
                <w:sz w:val="24"/>
                <w:szCs w:val="24"/>
              </w:rPr>
            </w:pPr>
            <w:r w:rsidRPr="00264606">
              <w:rPr>
                <w:rFonts w:ascii="Times New Roman" w:hAnsi="Times New Roman" w:cs="Times New Roman"/>
                <w:b/>
                <w:sz w:val="24"/>
                <w:szCs w:val="24"/>
              </w:rPr>
              <w:t>Atsakymas</w:t>
            </w:r>
          </w:p>
        </w:tc>
      </w:tr>
      <w:tr w:rsidR="00264606" w:rsidRPr="00264606" w:rsidTr="00153932">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1</w:t>
            </w:r>
          </w:p>
        </w:tc>
        <w:tc>
          <w:tcPr>
            <w:tcW w:w="5111" w:type="dxa"/>
          </w:tcPr>
          <w:p w:rsidR="00264606" w:rsidRPr="00264606" w:rsidRDefault="00264606" w:rsidP="00264606">
            <w:pPr>
              <w:rPr>
                <w:rFonts w:ascii="Times New Roman" w:hAnsi="Times New Roman" w:cs="Times New Roman"/>
                <w:sz w:val="24"/>
                <w:szCs w:val="24"/>
              </w:rPr>
            </w:pPr>
            <w:r w:rsidRPr="00264606">
              <w:rPr>
                <w:rFonts w:ascii="Times New Roman" w:hAnsi="Times New Roman" w:cs="Times New Roman"/>
                <w:sz w:val="24"/>
                <w:szCs w:val="24"/>
              </w:rPr>
              <w:t xml:space="preserve">Ar </w:t>
            </w:r>
            <w:r>
              <w:rPr>
                <w:rFonts w:ascii="Times New Roman" w:hAnsi="Times New Roman" w:cs="Times New Roman"/>
                <w:sz w:val="24"/>
                <w:szCs w:val="24"/>
              </w:rPr>
              <w:t xml:space="preserve">Darbų techninės specifikacijos </w:t>
            </w:r>
            <w:r w:rsidRPr="00264606">
              <w:rPr>
                <w:rFonts w:ascii="Times New Roman" w:hAnsi="Times New Roman" w:cs="Times New Roman"/>
                <w:sz w:val="24"/>
                <w:szCs w:val="24"/>
              </w:rPr>
              <w:t>reikalavimai jūsų nuomone dirbtinai neriboja konkurencijos? (jeigu yra taisytinų parametrų, nurodyti)</w:t>
            </w:r>
          </w:p>
        </w:tc>
        <w:tc>
          <w:tcPr>
            <w:tcW w:w="3821" w:type="dxa"/>
          </w:tcPr>
          <w:p w:rsidR="00264606" w:rsidRPr="00264606" w:rsidRDefault="00264606" w:rsidP="00153932">
            <w:pPr>
              <w:jc w:val="both"/>
              <w:rPr>
                <w:rFonts w:ascii="Times New Roman" w:hAnsi="Times New Roman" w:cs="Times New Roman"/>
                <w:i/>
                <w:sz w:val="24"/>
                <w:szCs w:val="24"/>
              </w:rPr>
            </w:pPr>
          </w:p>
        </w:tc>
      </w:tr>
      <w:tr w:rsidR="00264606" w:rsidRPr="00264606" w:rsidTr="00153932">
        <w:trPr>
          <w:trHeight w:val="447"/>
        </w:trPr>
        <w:tc>
          <w:tcPr>
            <w:tcW w:w="696" w:type="dxa"/>
            <w:vMerge w:val="restart"/>
          </w:tcPr>
          <w:p w:rsidR="00264606" w:rsidRPr="00264606" w:rsidDel="004955A0"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2</w:t>
            </w:r>
          </w:p>
        </w:tc>
        <w:tc>
          <w:tcPr>
            <w:tcW w:w="5111" w:type="dxa"/>
          </w:tcPr>
          <w:p w:rsidR="00264606" w:rsidRPr="00264606" w:rsidRDefault="00264606" w:rsidP="00264606">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Ar </w:t>
            </w:r>
            <w:r>
              <w:rPr>
                <w:rFonts w:ascii="Times New Roman" w:hAnsi="Times New Roman" w:cs="Times New Roman"/>
                <w:sz w:val="24"/>
                <w:szCs w:val="24"/>
              </w:rPr>
              <w:t xml:space="preserve">Darbų </w:t>
            </w:r>
            <w:r w:rsidRPr="00264606">
              <w:rPr>
                <w:rFonts w:ascii="Times New Roman" w:hAnsi="Times New Roman" w:cs="Times New Roman"/>
                <w:sz w:val="24"/>
                <w:szCs w:val="24"/>
              </w:rPr>
              <w:t>apimtyje jūsų nuomone yra numatyti visi būtini parametrai, siekiant įsigyti kokybišką</w:t>
            </w:r>
            <w:r>
              <w:rPr>
                <w:rFonts w:ascii="Times New Roman" w:hAnsi="Times New Roman" w:cs="Times New Roman"/>
                <w:sz w:val="24"/>
                <w:szCs w:val="24"/>
              </w:rPr>
              <w:t xml:space="preserve"> grindų dangą</w:t>
            </w:r>
            <w:r w:rsidRPr="00264606">
              <w:rPr>
                <w:rFonts w:ascii="Times New Roman" w:hAnsi="Times New Roman" w:cs="Times New Roman"/>
                <w:sz w:val="24"/>
                <w:szCs w:val="24"/>
              </w:rPr>
              <w:t>?</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vMerge/>
          </w:tcPr>
          <w:p w:rsidR="00264606" w:rsidRPr="00264606" w:rsidRDefault="00264606" w:rsidP="00153932">
            <w:pPr>
              <w:spacing w:after="120"/>
              <w:jc w:val="both"/>
              <w:rPr>
                <w:rFonts w:ascii="Times New Roman" w:hAnsi="Times New Roman" w:cs="Times New Roman"/>
                <w:sz w:val="24"/>
                <w:szCs w:val="24"/>
              </w:rPr>
            </w:pPr>
          </w:p>
        </w:tc>
        <w:tc>
          <w:tcPr>
            <w:tcW w:w="5111"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Jeigu ne, kokie parametrai galėtų būti papildomai numatyti</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vMerge w:val="restart"/>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3</w:t>
            </w:r>
          </w:p>
        </w:tc>
        <w:tc>
          <w:tcPr>
            <w:tcW w:w="5111" w:type="dxa"/>
          </w:tcPr>
          <w:p w:rsidR="00264606" w:rsidRPr="00264606" w:rsidRDefault="00264606" w:rsidP="00264606">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Ar </w:t>
            </w:r>
            <w:r>
              <w:rPr>
                <w:rFonts w:ascii="Times New Roman" w:hAnsi="Times New Roman" w:cs="Times New Roman"/>
                <w:sz w:val="24"/>
                <w:szCs w:val="24"/>
              </w:rPr>
              <w:t xml:space="preserve">Darbų techninėje specifikacijoje </w:t>
            </w:r>
            <w:r w:rsidRPr="00264606">
              <w:rPr>
                <w:rFonts w:ascii="Times New Roman" w:hAnsi="Times New Roman" w:cs="Times New Roman"/>
                <w:sz w:val="24"/>
                <w:szCs w:val="24"/>
              </w:rPr>
              <w:t xml:space="preserve">jūsų nuomone nėra numatyta perteklinių reikalavimų? </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vMerge/>
          </w:tcPr>
          <w:p w:rsidR="00264606" w:rsidRPr="00264606" w:rsidRDefault="00264606" w:rsidP="00153932">
            <w:pPr>
              <w:spacing w:after="120"/>
              <w:jc w:val="both"/>
              <w:rPr>
                <w:rFonts w:ascii="Times New Roman" w:hAnsi="Times New Roman" w:cs="Times New Roman"/>
                <w:sz w:val="24"/>
                <w:szCs w:val="24"/>
              </w:rPr>
            </w:pPr>
          </w:p>
        </w:tc>
        <w:tc>
          <w:tcPr>
            <w:tcW w:w="5111"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Jei taip, kurie reikalavimai galimai yra pertekliniai ir kodėl?</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4</w:t>
            </w:r>
          </w:p>
        </w:tc>
        <w:tc>
          <w:tcPr>
            <w:tcW w:w="5111" w:type="dxa"/>
          </w:tcPr>
          <w:p w:rsidR="00264606" w:rsidRPr="00264606" w:rsidRDefault="00264606" w:rsidP="00D34D87">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Perkančioji organizacija numato nustatyti </w:t>
            </w:r>
            <w:r w:rsidR="00D34D87">
              <w:rPr>
                <w:rFonts w:ascii="Times New Roman" w:hAnsi="Times New Roman" w:cs="Times New Roman"/>
                <w:sz w:val="24"/>
                <w:szCs w:val="24"/>
              </w:rPr>
              <w:t xml:space="preserve">darbų atlikimo </w:t>
            </w:r>
            <w:r w:rsidRPr="00264606">
              <w:rPr>
                <w:rFonts w:ascii="Times New Roman" w:hAnsi="Times New Roman" w:cs="Times New Roman"/>
                <w:sz w:val="24"/>
                <w:szCs w:val="24"/>
              </w:rPr>
              <w:t xml:space="preserve">terminą – per </w:t>
            </w:r>
            <w:r w:rsidR="00E24FF1">
              <w:rPr>
                <w:rFonts w:ascii="Times New Roman" w:hAnsi="Times New Roman" w:cs="Times New Roman"/>
                <w:sz w:val="24"/>
                <w:szCs w:val="24"/>
              </w:rPr>
              <w:t>1 mėnesį nuo 2026 gegužės 1 dienos</w:t>
            </w:r>
            <w:r w:rsidR="00D34D87">
              <w:rPr>
                <w:rFonts w:ascii="Times New Roman" w:hAnsi="Times New Roman" w:cs="Times New Roman"/>
                <w:sz w:val="24"/>
                <w:szCs w:val="24"/>
              </w:rPr>
              <w:t xml:space="preserve">. </w:t>
            </w:r>
            <w:r w:rsidRPr="00264606">
              <w:rPr>
                <w:rFonts w:ascii="Times New Roman" w:hAnsi="Times New Roman" w:cs="Times New Roman"/>
                <w:sz w:val="24"/>
                <w:szCs w:val="24"/>
              </w:rPr>
              <w:t>Ar šis terminas Jūsų nuomone yra pakankamas?</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5</w:t>
            </w:r>
          </w:p>
        </w:tc>
        <w:tc>
          <w:tcPr>
            <w:tcW w:w="5111" w:type="dxa"/>
          </w:tcPr>
          <w:p w:rsidR="00264606" w:rsidRPr="00264606" w:rsidRDefault="00264606" w:rsidP="00D34D87">
            <w:pPr>
              <w:spacing w:after="120"/>
              <w:jc w:val="both"/>
              <w:rPr>
                <w:rFonts w:ascii="Times New Roman" w:hAnsi="Times New Roman" w:cs="Times New Roman"/>
                <w:sz w:val="24"/>
                <w:szCs w:val="24"/>
              </w:rPr>
            </w:pPr>
            <w:r w:rsidRPr="00264606">
              <w:rPr>
                <w:rFonts w:ascii="Times New Roman" w:hAnsi="Times New Roman" w:cs="Times New Roman"/>
                <w:sz w:val="24"/>
                <w:szCs w:val="24"/>
              </w:rPr>
              <w:t xml:space="preserve">Kokią galite pasiūlyti </w:t>
            </w:r>
            <w:r w:rsidR="00E24FF1">
              <w:rPr>
                <w:rFonts w:ascii="Times New Roman" w:hAnsi="Times New Roman" w:cs="Times New Roman"/>
                <w:sz w:val="24"/>
                <w:szCs w:val="24"/>
              </w:rPr>
              <w:t>turėklų gamybos ir</w:t>
            </w:r>
            <w:r w:rsidR="00D34D87">
              <w:rPr>
                <w:rFonts w:ascii="Times New Roman" w:hAnsi="Times New Roman" w:cs="Times New Roman"/>
                <w:sz w:val="24"/>
                <w:szCs w:val="24"/>
              </w:rPr>
              <w:t xml:space="preserve"> </w:t>
            </w:r>
            <w:r w:rsidRPr="00264606">
              <w:rPr>
                <w:rFonts w:ascii="Times New Roman" w:hAnsi="Times New Roman" w:cs="Times New Roman"/>
                <w:sz w:val="24"/>
                <w:szCs w:val="24"/>
              </w:rPr>
              <w:t>įrengimo kainą be PVM:</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r w:rsidR="00264606" w:rsidRPr="00264606" w:rsidTr="00153932">
        <w:trPr>
          <w:trHeight w:val="447"/>
        </w:trPr>
        <w:tc>
          <w:tcPr>
            <w:tcW w:w="696" w:type="dxa"/>
          </w:tcPr>
          <w:p w:rsidR="00264606" w:rsidRPr="00264606" w:rsidRDefault="00264606" w:rsidP="00153932">
            <w:pPr>
              <w:spacing w:after="120"/>
              <w:jc w:val="both"/>
              <w:rPr>
                <w:rFonts w:ascii="Times New Roman" w:hAnsi="Times New Roman" w:cs="Times New Roman"/>
                <w:sz w:val="24"/>
                <w:szCs w:val="24"/>
              </w:rPr>
            </w:pPr>
            <w:r w:rsidRPr="00264606">
              <w:rPr>
                <w:rFonts w:ascii="Times New Roman" w:hAnsi="Times New Roman" w:cs="Times New Roman"/>
                <w:sz w:val="24"/>
                <w:szCs w:val="24"/>
              </w:rPr>
              <w:t>6</w:t>
            </w:r>
          </w:p>
        </w:tc>
        <w:tc>
          <w:tcPr>
            <w:tcW w:w="5111" w:type="dxa"/>
          </w:tcPr>
          <w:p w:rsidR="00264606" w:rsidRPr="00264606" w:rsidRDefault="00264606" w:rsidP="00D34D87">
            <w:pPr>
              <w:spacing w:after="120"/>
              <w:jc w:val="both"/>
              <w:rPr>
                <w:rFonts w:ascii="Times New Roman" w:eastAsia="Times New Roman" w:hAnsi="Times New Roman" w:cs="Times New Roman"/>
                <w:iCs/>
                <w:sz w:val="24"/>
                <w:szCs w:val="24"/>
              </w:rPr>
            </w:pPr>
            <w:r w:rsidRPr="00264606">
              <w:rPr>
                <w:rFonts w:ascii="Times New Roman" w:eastAsia="Times New Roman" w:hAnsi="Times New Roman" w:cs="Times New Roman"/>
                <w:iCs/>
                <w:sz w:val="24"/>
                <w:szCs w:val="24"/>
              </w:rPr>
              <w:t xml:space="preserve">Apmokėjimo sąlygos – per 30 kalendorinių dienų nuo </w:t>
            </w:r>
            <w:r w:rsidR="00D34D87">
              <w:rPr>
                <w:rFonts w:ascii="Times New Roman" w:eastAsia="Times New Roman" w:hAnsi="Times New Roman" w:cs="Times New Roman"/>
                <w:iCs/>
                <w:sz w:val="24"/>
                <w:szCs w:val="24"/>
              </w:rPr>
              <w:t xml:space="preserve">darbų atlikimo </w:t>
            </w:r>
            <w:r w:rsidRPr="00264606">
              <w:rPr>
                <w:rFonts w:ascii="Times New Roman" w:eastAsia="Times New Roman" w:hAnsi="Times New Roman" w:cs="Times New Roman"/>
                <w:iCs/>
                <w:sz w:val="24"/>
                <w:szCs w:val="24"/>
              </w:rPr>
              <w:t>datos. Avansas nenumatomas. Ar planuojamos apmokėjimo sąlygos Jūsų nuomone yra priimtinos?</w:t>
            </w:r>
          </w:p>
        </w:tc>
        <w:tc>
          <w:tcPr>
            <w:tcW w:w="3821" w:type="dxa"/>
          </w:tcPr>
          <w:p w:rsidR="00264606" w:rsidRPr="00264606" w:rsidRDefault="00264606" w:rsidP="00153932">
            <w:pPr>
              <w:spacing w:after="120"/>
              <w:jc w:val="both"/>
              <w:rPr>
                <w:rFonts w:ascii="Times New Roman" w:hAnsi="Times New Roman" w:cs="Times New Roman"/>
                <w:i/>
                <w:sz w:val="24"/>
                <w:szCs w:val="24"/>
              </w:rPr>
            </w:pPr>
          </w:p>
        </w:tc>
      </w:tr>
    </w:tbl>
    <w:p w:rsidR="00264606" w:rsidRPr="00264606" w:rsidRDefault="00264606" w:rsidP="00264606">
      <w:pPr>
        <w:spacing w:after="120"/>
        <w:jc w:val="both"/>
        <w:rPr>
          <w:rFonts w:ascii="Times New Roman" w:hAnsi="Times New Roman" w:cs="Times New Roman"/>
          <w:sz w:val="24"/>
          <w:szCs w:val="24"/>
        </w:rPr>
      </w:pPr>
    </w:p>
    <w:p w:rsidR="00264606" w:rsidRPr="00264606" w:rsidRDefault="00264606" w:rsidP="00264606">
      <w:pPr>
        <w:jc w:val="center"/>
        <w:rPr>
          <w:rFonts w:ascii="Times New Roman" w:hAnsi="Times New Roman" w:cs="Times New Roman"/>
          <w:sz w:val="24"/>
          <w:szCs w:val="24"/>
        </w:rPr>
      </w:pPr>
    </w:p>
    <w:p w:rsidR="00264606" w:rsidRPr="00264606" w:rsidRDefault="00264606" w:rsidP="00264606">
      <w:pPr>
        <w:jc w:val="center"/>
        <w:rPr>
          <w:rFonts w:ascii="Times New Roman" w:hAnsi="Times New Roman" w:cs="Times New Roman"/>
          <w:sz w:val="24"/>
          <w:szCs w:val="24"/>
        </w:rPr>
      </w:pPr>
    </w:p>
    <w:p w:rsidR="00264606" w:rsidRPr="00264606" w:rsidRDefault="00264606" w:rsidP="00264606">
      <w:pPr>
        <w:jc w:val="center"/>
        <w:rPr>
          <w:rFonts w:ascii="Times New Roman" w:hAnsi="Times New Roman" w:cs="Times New Roman"/>
          <w:sz w:val="24"/>
          <w:szCs w:val="24"/>
        </w:rPr>
      </w:pPr>
      <w:r w:rsidRPr="00264606">
        <w:rPr>
          <w:rFonts w:ascii="Times New Roman" w:hAnsi="Times New Roman" w:cs="Times New Roman"/>
          <w:sz w:val="24"/>
          <w:szCs w:val="24"/>
        </w:rPr>
        <w:t>TECHNINĖS SPECIFIKACIJOS PROJEKTAS</w:t>
      </w:r>
    </w:p>
    <w:p w:rsidR="00E24FF1" w:rsidRDefault="00E24FF1" w:rsidP="00E24FF1">
      <w:pPr>
        <w:pStyle w:val="ListParagraph"/>
        <w:tabs>
          <w:tab w:val="left" w:pos="284"/>
        </w:tabs>
        <w:spacing w:before="60" w:after="60"/>
        <w:ind w:left="0"/>
        <w:jc w:val="center"/>
        <w:rPr>
          <w:b/>
          <w:bCs/>
        </w:rPr>
      </w:pPr>
      <w:bookmarkStart w:id="0" w:name="_GoBack"/>
      <w:bookmarkEnd w:id="0"/>
      <w:r w:rsidRPr="0012274D">
        <w:rPr>
          <w:b/>
          <w:bCs/>
        </w:rPr>
        <w:t>Nerūdijančio plieno turėklai ir jų įrengimas</w:t>
      </w:r>
    </w:p>
    <w:p w:rsidR="00E24FF1" w:rsidRPr="00CF47D1" w:rsidRDefault="00E24FF1" w:rsidP="00E24FF1">
      <w:pPr>
        <w:pStyle w:val="ListParagraph"/>
        <w:tabs>
          <w:tab w:val="left" w:pos="284"/>
        </w:tabs>
        <w:spacing w:before="60" w:after="60"/>
        <w:ind w:left="0"/>
        <w:jc w:val="center"/>
        <w:rPr>
          <w:b/>
          <w:bCs/>
        </w:rPr>
      </w:pPr>
    </w:p>
    <w:p w:rsidR="00E24FF1" w:rsidRPr="00CF47D1" w:rsidRDefault="00E24FF1" w:rsidP="00E24FF1">
      <w:pPr>
        <w:pStyle w:val="ListParagraph"/>
        <w:numPr>
          <w:ilvl w:val="0"/>
          <w:numId w:val="3"/>
        </w:numPr>
        <w:pBdr>
          <w:top w:val="single" w:sz="8" w:space="1" w:color="000000"/>
          <w:bottom w:val="single" w:sz="8" w:space="1" w:color="000000"/>
        </w:pBdr>
        <w:tabs>
          <w:tab w:val="left" w:pos="284"/>
        </w:tabs>
        <w:suppressAutoHyphens/>
        <w:ind w:left="284" w:hanging="284"/>
        <w:rPr>
          <w:b/>
        </w:rPr>
      </w:pPr>
      <w:r w:rsidRPr="00CF47D1">
        <w:rPr>
          <w:b/>
        </w:rPr>
        <w:t>SĄVOKOS IR SUTRUMPINIMAI</w:t>
      </w:r>
    </w:p>
    <w:p w:rsidR="00E24FF1" w:rsidRPr="00CF47D1" w:rsidRDefault="00E24FF1" w:rsidP="00E24FF1">
      <w:pPr>
        <w:pStyle w:val="ListParagraph"/>
        <w:numPr>
          <w:ilvl w:val="1"/>
          <w:numId w:val="3"/>
        </w:numPr>
        <w:tabs>
          <w:tab w:val="left" w:pos="567"/>
        </w:tabs>
        <w:suppressAutoHyphens/>
        <w:ind w:left="0" w:firstLine="0"/>
        <w:jc w:val="both"/>
        <w:rPr>
          <w:b/>
          <w:bCs/>
        </w:rPr>
      </w:pPr>
      <w:r w:rsidRPr="00CF47D1">
        <w:rPr>
          <w:b/>
        </w:rPr>
        <w:t>Pirkėjas</w:t>
      </w:r>
      <w:r w:rsidRPr="00CF47D1">
        <w:rPr>
          <w:b/>
          <w:i/>
        </w:rPr>
        <w:t xml:space="preserve"> </w:t>
      </w:r>
      <w:r w:rsidRPr="00CF47D1">
        <w:t xml:space="preserve">– </w:t>
      </w:r>
      <w:r>
        <w:t>Klaipėdos Ernesto Galvanausko profesinio mokymo centras. Adresas Taikos prospektas 67, Klaipėda. Pastato unikalus Nr. 2196-9005-4038.</w:t>
      </w:r>
    </w:p>
    <w:p w:rsidR="00E24FF1" w:rsidRPr="00C56D21" w:rsidRDefault="00E24FF1" w:rsidP="00E24FF1">
      <w:pPr>
        <w:pStyle w:val="ListParagraph"/>
        <w:numPr>
          <w:ilvl w:val="1"/>
          <w:numId w:val="3"/>
        </w:numPr>
        <w:tabs>
          <w:tab w:val="left" w:pos="567"/>
        </w:tabs>
        <w:suppressAutoHyphens/>
        <w:ind w:left="0" w:firstLine="0"/>
        <w:jc w:val="both"/>
        <w:rPr>
          <w:b/>
        </w:rPr>
      </w:pPr>
      <w:r w:rsidRPr="00C56D21">
        <w:rPr>
          <w:b/>
          <w:bCs/>
        </w:rPr>
        <w:t>Tiekėjas</w:t>
      </w:r>
      <w:r>
        <w:rPr>
          <w:b/>
          <w:bCs/>
          <w:i/>
        </w:rPr>
        <w:t xml:space="preserve"> – </w:t>
      </w:r>
      <w:r>
        <w:rPr>
          <w:iCs/>
        </w:rPr>
        <w:t>Ū</w:t>
      </w:r>
      <w:r w:rsidRPr="00C56D21">
        <w:rPr>
          <w:bCs/>
        </w:rPr>
        <w:t>kio subjektas – fizinis asmuo, privatusis juridinis asmuo, viešasis juridinis asmuo, kitos organizacijos ir jų padaliniai ar tokių asmenų</w:t>
      </w:r>
      <w:r w:rsidRPr="00C56D21">
        <w:t xml:space="preserve"> grupė, su kuriuo Pirkėjas sudaro Sutartį.</w:t>
      </w:r>
    </w:p>
    <w:p w:rsidR="00E24FF1" w:rsidRPr="00C56D21" w:rsidRDefault="00E24FF1" w:rsidP="00E24FF1">
      <w:pPr>
        <w:pStyle w:val="ListParagraph"/>
        <w:numPr>
          <w:ilvl w:val="1"/>
          <w:numId w:val="3"/>
        </w:numPr>
        <w:tabs>
          <w:tab w:val="left" w:pos="567"/>
        </w:tabs>
        <w:suppressAutoHyphens/>
        <w:ind w:left="0" w:firstLine="0"/>
        <w:jc w:val="both"/>
        <w:rPr>
          <w:b/>
        </w:rPr>
      </w:pPr>
      <w:r w:rsidRPr="00C56D21">
        <w:rPr>
          <w:b/>
        </w:rPr>
        <w:t>Sutartis</w:t>
      </w:r>
      <w:r w:rsidRPr="00C56D21">
        <w:t xml:space="preserve"> – Sutartis, sudaroma tarp </w:t>
      </w:r>
      <w:r w:rsidRPr="00C56D21">
        <w:rPr>
          <w:b/>
          <w:bCs/>
        </w:rPr>
        <w:t>Tiekėjo</w:t>
      </w:r>
      <w:r w:rsidRPr="00C56D21">
        <w:rPr>
          <w:b/>
        </w:rPr>
        <w:t xml:space="preserve"> </w:t>
      </w:r>
      <w:r w:rsidRPr="00C56D21">
        <w:t xml:space="preserve">ir </w:t>
      </w:r>
      <w:r w:rsidRPr="00C56D21">
        <w:rPr>
          <w:b/>
        </w:rPr>
        <w:t>Pirkėjo</w:t>
      </w:r>
      <w:r w:rsidRPr="00C56D21">
        <w:rPr>
          <w:b/>
          <w:i/>
        </w:rPr>
        <w:t xml:space="preserve"> </w:t>
      </w:r>
      <w:r w:rsidRPr="00C56D21">
        <w:t>dėl Pirkimo objekto.</w:t>
      </w:r>
    </w:p>
    <w:p w:rsidR="00E24FF1" w:rsidRPr="00AC31C8" w:rsidRDefault="00E24FF1" w:rsidP="00E24FF1">
      <w:pPr>
        <w:pStyle w:val="ListParagraph"/>
        <w:numPr>
          <w:ilvl w:val="1"/>
          <w:numId w:val="3"/>
        </w:numPr>
        <w:tabs>
          <w:tab w:val="clear" w:pos="0"/>
          <w:tab w:val="left" w:pos="567"/>
        </w:tabs>
        <w:suppressAutoHyphens/>
        <w:ind w:left="567" w:hanging="567"/>
        <w:jc w:val="both"/>
        <w:rPr>
          <w:b/>
          <w:bCs/>
        </w:rPr>
      </w:pPr>
      <w:r w:rsidRPr="00C56D21">
        <w:rPr>
          <w:b/>
        </w:rPr>
        <w:t xml:space="preserve">Pirkimo objektas: </w:t>
      </w:r>
    </w:p>
    <w:p w:rsidR="00E24FF1" w:rsidRPr="00C56D21" w:rsidRDefault="00E24FF1" w:rsidP="00E24FF1">
      <w:pPr>
        <w:pStyle w:val="ListParagraph"/>
        <w:tabs>
          <w:tab w:val="left" w:pos="567"/>
        </w:tabs>
        <w:ind w:left="567"/>
        <w:jc w:val="both"/>
        <w:rPr>
          <w:b/>
          <w:bCs/>
        </w:rPr>
      </w:pPr>
      <w:r>
        <w:rPr>
          <w:b/>
        </w:rPr>
        <w:t xml:space="preserve">Darbai </w:t>
      </w:r>
      <w:r w:rsidRPr="002F0D09">
        <w:rPr>
          <w:bCs/>
        </w:rPr>
        <w:t xml:space="preserve">– </w:t>
      </w:r>
      <w:r>
        <w:rPr>
          <w:bCs/>
        </w:rPr>
        <w:t>n</w:t>
      </w:r>
      <w:r w:rsidRPr="0012274D">
        <w:rPr>
          <w:bCs/>
        </w:rPr>
        <w:t>erūdijančio plieno turėkl</w:t>
      </w:r>
      <w:r>
        <w:rPr>
          <w:bCs/>
        </w:rPr>
        <w:t>ų gamyba</w:t>
      </w:r>
      <w:r w:rsidRPr="0012274D">
        <w:rPr>
          <w:bCs/>
        </w:rPr>
        <w:t xml:space="preserve"> ir įrengimas</w:t>
      </w:r>
      <w:r>
        <w:rPr>
          <w:bCs/>
        </w:rPr>
        <w:t>.</w:t>
      </w:r>
    </w:p>
    <w:p w:rsidR="00E24FF1" w:rsidRPr="00CF47D1" w:rsidRDefault="00E24FF1" w:rsidP="00E24FF1">
      <w:pPr>
        <w:pStyle w:val="ListParagraph"/>
        <w:tabs>
          <w:tab w:val="left" w:pos="284"/>
        </w:tabs>
        <w:ind w:left="0"/>
        <w:jc w:val="center"/>
        <w:rPr>
          <w:b/>
          <w:bCs/>
        </w:rPr>
      </w:pPr>
    </w:p>
    <w:p w:rsidR="00E24FF1" w:rsidRPr="00DA1FD0" w:rsidRDefault="00E24FF1" w:rsidP="00E24FF1">
      <w:pPr>
        <w:pStyle w:val="ListParagraph"/>
        <w:numPr>
          <w:ilvl w:val="0"/>
          <w:numId w:val="3"/>
        </w:numPr>
        <w:pBdr>
          <w:top w:val="single" w:sz="8" w:space="1" w:color="000000"/>
          <w:bottom w:val="single" w:sz="8" w:space="1" w:color="000000"/>
        </w:pBdr>
        <w:tabs>
          <w:tab w:val="left" w:pos="284"/>
        </w:tabs>
        <w:suppressAutoHyphens/>
        <w:spacing w:before="60" w:after="60"/>
        <w:ind w:left="426" w:hanging="426"/>
      </w:pPr>
      <w:r w:rsidRPr="00CF47D1">
        <w:rPr>
          <w:b/>
        </w:rPr>
        <w:t>PIRKIMO OBJEKTAS</w:t>
      </w:r>
    </w:p>
    <w:p w:rsidR="00E24FF1" w:rsidRPr="00DF6AF9" w:rsidRDefault="00E24FF1" w:rsidP="00E24FF1">
      <w:pPr>
        <w:pStyle w:val="ListParagraph"/>
        <w:numPr>
          <w:ilvl w:val="1"/>
          <w:numId w:val="3"/>
        </w:numPr>
        <w:tabs>
          <w:tab w:val="left" w:pos="567"/>
        </w:tabs>
        <w:suppressAutoHyphens/>
        <w:spacing w:before="60" w:after="60"/>
        <w:ind w:left="0" w:firstLine="0"/>
        <w:jc w:val="both"/>
        <w:rPr>
          <w:bCs/>
        </w:rPr>
      </w:pPr>
      <w:r w:rsidRPr="00DF6AF9">
        <w:rPr>
          <w:bCs/>
        </w:rPr>
        <w:t>Pirkimo objektas – nerūdijančio plieno turėkl</w:t>
      </w:r>
      <w:r>
        <w:rPr>
          <w:bCs/>
        </w:rPr>
        <w:t>ų gamyba</w:t>
      </w:r>
      <w:r w:rsidRPr="00DF6AF9">
        <w:rPr>
          <w:bCs/>
        </w:rPr>
        <w:t xml:space="preserve"> ir jų įrengimas </w:t>
      </w:r>
      <w:r>
        <w:rPr>
          <w:bCs/>
        </w:rPr>
        <w:t xml:space="preserve">dviejuose laiptinėse Taikos pr. 67, Klaipėda </w:t>
      </w:r>
    </w:p>
    <w:p w:rsidR="00E24FF1" w:rsidRPr="00522F76" w:rsidRDefault="00E24FF1" w:rsidP="00E24FF1">
      <w:pPr>
        <w:pStyle w:val="ListParagraph"/>
        <w:numPr>
          <w:ilvl w:val="1"/>
          <w:numId w:val="3"/>
        </w:numPr>
        <w:tabs>
          <w:tab w:val="left" w:pos="567"/>
        </w:tabs>
        <w:suppressAutoHyphens/>
        <w:spacing w:before="60" w:after="60"/>
        <w:ind w:left="0" w:firstLine="0"/>
        <w:jc w:val="both"/>
        <w:rPr>
          <w:b/>
        </w:rPr>
      </w:pPr>
      <w:r w:rsidRPr="00522F76">
        <w:rPr>
          <w:bCs/>
        </w:rPr>
        <w:t>Pirkimo objekto apimtys:</w:t>
      </w:r>
    </w:p>
    <w:p w:rsidR="00E24FF1" w:rsidRPr="007213EE" w:rsidRDefault="00E24FF1" w:rsidP="00E24FF1">
      <w:pPr>
        <w:pStyle w:val="ListParagraph"/>
        <w:tabs>
          <w:tab w:val="left" w:pos="567"/>
        </w:tabs>
        <w:ind w:left="0"/>
        <w:jc w:val="right"/>
        <w:rPr>
          <w:i/>
          <w:iCs/>
        </w:rPr>
      </w:pPr>
    </w:p>
    <w:p w:rsidR="00E24FF1" w:rsidRDefault="00E24FF1" w:rsidP="00E24FF1">
      <w:pPr>
        <w:pStyle w:val="ListParagraph"/>
        <w:tabs>
          <w:tab w:val="left" w:pos="567"/>
        </w:tabs>
        <w:ind w:left="0"/>
        <w:jc w:val="right"/>
        <w:rPr>
          <w:i/>
          <w:iCs/>
        </w:rPr>
      </w:pPr>
      <w:r w:rsidRPr="007213EE">
        <w:rPr>
          <w:i/>
          <w:iCs/>
        </w:rPr>
        <w:t>Lentelė Nr.1</w:t>
      </w:r>
    </w:p>
    <w:p w:rsidR="00E24FF1" w:rsidRPr="007213EE" w:rsidRDefault="00E24FF1" w:rsidP="00E24FF1">
      <w:pPr>
        <w:pStyle w:val="ListParagraph"/>
        <w:tabs>
          <w:tab w:val="left" w:pos="567"/>
        </w:tabs>
        <w:ind w:left="0"/>
        <w:jc w:val="right"/>
        <w:rPr>
          <w:i/>
          <w:iCs/>
        </w:rPr>
      </w:pP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05"/>
        <w:gridCol w:w="5560"/>
        <w:gridCol w:w="1182"/>
        <w:gridCol w:w="815"/>
      </w:tblGrid>
      <w:tr w:rsidR="00E24FF1" w:rsidRPr="007213EE" w:rsidTr="000E1722">
        <w:trPr>
          <w:trHeight w:val="562"/>
        </w:trPr>
        <w:tc>
          <w:tcPr>
            <w:tcW w:w="590" w:type="dxa"/>
            <w:shd w:val="clear" w:color="auto" w:fill="auto"/>
            <w:noWrap/>
            <w:vAlign w:val="bottom"/>
            <w:hideMark/>
          </w:tcPr>
          <w:p w:rsidR="00E24FF1" w:rsidRPr="007213EE" w:rsidRDefault="00E24FF1" w:rsidP="000E1722">
            <w:pPr>
              <w:jc w:val="center"/>
              <w:rPr>
                <w:b/>
                <w:bCs/>
                <w:color w:val="000000"/>
              </w:rPr>
            </w:pPr>
            <w:bookmarkStart w:id="1" w:name="_Hlk35603614"/>
            <w:r w:rsidRPr="007213EE">
              <w:rPr>
                <w:b/>
                <w:bCs/>
                <w:color w:val="000000"/>
              </w:rPr>
              <w:t>Eil. Nr.</w:t>
            </w:r>
          </w:p>
        </w:tc>
        <w:tc>
          <w:tcPr>
            <w:tcW w:w="1415" w:type="dxa"/>
            <w:shd w:val="clear" w:color="auto" w:fill="auto"/>
            <w:noWrap/>
            <w:vAlign w:val="center"/>
            <w:hideMark/>
          </w:tcPr>
          <w:p w:rsidR="00E24FF1" w:rsidRPr="007213EE" w:rsidRDefault="00E24FF1" w:rsidP="000E1722">
            <w:pPr>
              <w:jc w:val="center"/>
              <w:rPr>
                <w:b/>
                <w:bCs/>
                <w:color w:val="000000"/>
              </w:rPr>
            </w:pPr>
            <w:r>
              <w:rPr>
                <w:b/>
                <w:bCs/>
                <w:color w:val="000000"/>
              </w:rPr>
              <w:t xml:space="preserve">Prekių </w:t>
            </w:r>
            <w:r w:rsidRPr="007213EE">
              <w:rPr>
                <w:b/>
                <w:bCs/>
                <w:color w:val="000000"/>
              </w:rPr>
              <w:t>pavadinimas</w:t>
            </w:r>
          </w:p>
        </w:tc>
        <w:tc>
          <w:tcPr>
            <w:tcW w:w="5650" w:type="dxa"/>
            <w:vAlign w:val="center"/>
          </w:tcPr>
          <w:p w:rsidR="00E24FF1" w:rsidRPr="007213EE" w:rsidRDefault="00E24FF1" w:rsidP="000E1722">
            <w:pPr>
              <w:jc w:val="center"/>
              <w:rPr>
                <w:b/>
                <w:bCs/>
                <w:color w:val="000000"/>
              </w:rPr>
            </w:pPr>
            <w:r>
              <w:rPr>
                <w:b/>
                <w:bCs/>
                <w:color w:val="000000"/>
              </w:rPr>
              <w:t>Reikalavimai pirkimo objektui*</w:t>
            </w:r>
          </w:p>
        </w:tc>
        <w:tc>
          <w:tcPr>
            <w:tcW w:w="1182" w:type="dxa"/>
            <w:shd w:val="clear" w:color="auto" w:fill="auto"/>
            <w:noWrap/>
            <w:vAlign w:val="center"/>
            <w:hideMark/>
          </w:tcPr>
          <w:p w:rsidR="00E24FF1" w:rsidRPr="007213EE" w:rsidRDefault="00E24FF1" w:rsidP="000E1722">
            <w:pPr>
              <w:jc w:val="center"/>
            </w:pPr>
            <w:r w:rsidRPr="007213EE">
              <w:rPr>
                <w:b/>
                <w:bCs/>
                <w:color w:val="000000"/>
              </w:rPr>
              <w:t xml:space="preserve">Matavimo </w:t>
            </w:r>
            <w:r>
              <w:rPr>
                <w:b/>
                <w:bCs/>
                <w:color w:val="000000"/>
              </w:rPr>
              <w:t>vienetas</w:t>
            </w:r>
          </w:p>
        </w:tc>
        <w:tc>
          <w:tcPr>
            <w:tcW w:w="815" w:type="dxa"/>
            <w:shd w:val="clear" w:color="auto" w:fill="auto"/>
            <w:noWrap/>
            <w:vAlign w:val="center"/>
            <w:hideMark/>
          </w:tcPr>
          <w:p w:rsidR="00E24FF1" w:rsidRPr="007213EE" w:rsidRDefault="00E24FF1" w:rsidP="000E1722">
            <w:pPr>
              <w:jc w:val="center"/>
              <w:rPr>
                <w:b/>
                <w:bCs/>
                <w:color w:val="000000"/>
              </w:rPr>
            </w:pPr>
            <w:r>
              <w:rPr>
                <w:b/>
                <w:bCs/>
                <w:color w:val="000000"/>
              </w:rPr>
              <w:t>K</w:t>
            </w:r>
            <w:r w:rsidRPr="007213EE">
              <w:rPr>
                <w:b/>
                <w:bCs/>
                <w:color w:val="000000"/>
              </w:rPr>
              <w:t>iekis</w:t>
            </w:r>
          </w:p>
        </w:tc>
      </w:tr>
      <w:tr w:rsidR="00E24FF1" w:rsidRPr="007213EE" w:rsidTr="000E1722">
        <w:trPr>
          <w:trHeight w:val="70"/>
        </w:trPr>
        <w:tc>
          <w:tcPr>
            <w:tcW w:w="590" w:type="dxa"/>
            <w:shd w:val="clear" w:color="auto" w:fill="auto"/>
            <w:noWrap/>
          </w:tcPr>
          <w:p w:rsidR="00E24FF1" w:rsidRPr="007213EE" w:rsidRDefault="00E24FF1" w:rsidP="000E1722">
            <w:pPr>
              <w:jc w:val="right"/>
            </w:pPr>
            <w:r w:rsidRPr="007213EE">
              <w:t>1.</w:t>
            </w:r>
          </w:p>
        </w:tc>
        <w:tc>
          <w:tcPr>
            <w:tcW w:w="1415" w:type="dxa"/>
            <w:shd w:val="clear" w:color="auto" w:fill="auto"/>
          </w:tcPr>
          <w:p w:rsidR="00E24FF1" w:rsidRPr="00974243" w:rsidRDefault="00E24FF1" w:rsidP="000E1722">
            <w:r>
              <w:t>N</w:t>
            </w:r>
            <w:r w:rsidRPr="009F104C">
              <w:t>erūdijančio plieno turėklai</w:t>
            </w:r>
          </w:p>
        </w:tc>
        <w:tc>
          <w:tcPr>
            <w:tcW w:w="5650" w:type="dxa"/>
          </w:tcPr>
          <w:p w:rsidR="00E24FF1" w:rsidRDefault="00E24FF1" w:rsidP="00E24FF1">
            <w:pPr>
              <w:numPr>
                <w:ilvl w:val="0"/>
                <w:numId w:val="4"/>
              </w:numPr>
              <w:suppressAutoHyphens/>
              <w:autoSpaceDE w:val="0"/>
              <w:autoSpaceDN w:val="0"/>
              <w:adjustRightInd w:val="0"/>
              <w:ind w:left="294" w:hanging="283"/>
              <w:jc w:val="both"/>
              <w:rPr>
                <w:rFonts w:eastAsia="Calibri"/>
              </w:rPr>
            </w:pPr>
            <w:r>
              <w:rPr>
                <w:rFonts w:eastAsia="Calibri"/>
              </w:rPr>
              <w:t>Demontuoti ir utilizuoti senus turėklus;</w:t>
            </w:r>
          </w:p>
          <w:p w:rsidR="00E24FF1" w:rsidRDefault="00E24FF1" w:rsidP="00E24FF1">
            <w:pPr>
              <w:numPr>
                <w:ilvl w:val="0"/>
                <w:numId w:val="4"/>
              </w:numPr>
              <w:suppressAutoHyphens/>
              <w:autoSpaceDE w:val="0"/>
              <w:autoSpaceDN w:val="0"/>
              <w:adjustRightInd w:val="0"/>
              <w:ind w:left="294" w:hanging="283"/>
              <w:jc w:val="both"/>
              <w:rPr>
                <w:rFonts w:eastAsia="Calibri"/>
              </w:rPr>
            </w:pPr>
            <w:r w:rsidRPr="00F9474C">
              <w:rPr>
                <w:rFonts w:eastAsia="Calibri"/>
              </w:rPr>
              <w:t>tur</w:t>
            </w:r>
            <w:r w:rsidRPr="00F9474C">
              <w:rPr>
                <w:rFonts w:eastAsia="Calibri" w:hint="eastAsia"/>
              </w:rPr>
              <w:t>ė</w:t>
            </w:r>
            <w:r w:rsidRPr="00F9474C">
              <w:rPr>
                <w:rFonts w:eastAsia="Calibri"/>
              </w:rPr>
              <w:t>kl</w:t>
            </w:r>
            <w:r w:rsidRPr="00F9474C">
              <w:rPr>
                <w:rFonts w:eastAsia="Calibri" w:hint="eastAsia"/>
              </w:rPr>
              <w:t>ų</w:t>
            </w:r>
            <w:r>
              <w:rPr>
                <w:rFonts w:eastAsia="Calibri"/>
              </w:rPr>
              <w:t xml:space="preserve"> porankis</w:t>
            </w:r>
            <w:r w:rsidRPr="00F9474C">
              <w:rPr>
                <w:rFonts w:eastAsia="Calibri"/>
              </w:rPr>
              <w:t xml:space="preserve"> turi būti pagamintas iš</w:t>
            </w:r>
            <w:r>
              <w:rPr>
                <w:rFonts w:eastAsia="Calibri"/>
              </w:rPr>
              <w:t xml:space="preserve"> </w:t>
            </w:r>
            <w:r w:rsidRPr="00F9474C">
              <w:rPr>
                <w:rFonts w:eastAsia="Calibri"/>
              </w:rPr>
              <w:t>ner</w:t>
            </w:r>
            <w:r w:rsidRPr="00F9474C">
              <w:rPr>
                <w:rFonts w:eastAsia="Calibri" w:hint="eastAsia"/>
              </w:rPr>
              <w:t>ū</w:t>
            </w:r>
            <w:r w:rsidRPr="00F9474C">
              <w:rPr>
                <w:rFonts w:eastAsia="Calibri"/>
              </w:rPr>
              <w:t>dijan</w:t>
            </w:r>
            <w:r w:rsidRPr="00F9474C">
              <w:rPr>
                <w:rFonts w:eastAsia="Calibri" w:hint="eastAsia"/>
              </w:rPr>
              <w:t>č</w:t>
            </w:r>
            <w:r w:rsidRPr="00F9474C">
              <w:rPr>
                <w:rFonts w:eastAsia="Calibri"/>
              </w:rPr>
              <w:t>io plieno vamzdžio</w:t>
            </w:r>
            <w:r>
              <w:rPr>
                <w:rFonts w:eastAsia="Calibri"/>
              </w:rPr>
              <w:t xml:space="preserve">, kurio diametras – </w:t>
            </w:r>
            <w:r w:rsidRPr="00F9474C">
              <w:rPr>
                <w:rFonts w:eastAsia="Calibri"/>
              </w:rPr>
              <w:t>4</w:t>
            </w:r>
            <w:r>
              <w:rPr>
                <w:rFonts w:eastAsia="Calibri"/>
              </w:rPr>
              <w:t>0</w:t>
            </w:r>
            <w:r w:rsidRPr="00F9474C">
              <w:rPr>
                <w:rFonts w:eastAsia="Calibri"/>
              </w:rPr>
              <w:t xml:space="preserve"> mm</w:t>
            </w:r>
            <w:r>
              <w:rPr>
                <w:rFonts w:eastAsia="Calibri"/>
              </w:rPr>
              <w:t>;</w:t>
            </w:r>
            <w:r w:rsidRPr="00F9474C">
              <w:rPr>
                <w:rFonts w:eastAsia="Calibri"/>
              </w:rPr>
              <w:t xml:space="preserve"> </w:t>
            </w:r>
          </w:p>
          <w:p w:rsidR="00E24FF1" w:rsidRDefault="00E24FF1" w:rsidP="00E24FF1">
            <w:pPr>
              <w:numPr>
                <w:ilvl w:val="0"/>
                <w:numId w:val="4"/>
              </w:numPr>
              <w:suppressAutoHyphens/>
              <w:autoSpaceDE w:val="0"/>
              <w:autoSpaceDN w:val="0"/>
              <w:adjustRightInd w:val="0"/>
              <w:ind w:left="294" w:hanging="283"/>
              <w:jc w:val="both"/>
              <w:rPr>
                <w:rFonts w:eastAsia="Calibri"/>
              </w:rPr>
            </w:pPr>
            <w:r>
              <w:rPr>
                <w:rFonts w:eastAsia="Calibri"/>
              </w:rPr>
              <w:t>t</w:t>
            </w:r>
            <w:r w:rsidRPr="00F9474C">
              <w:rPr>
                <w:rFonts w:eastAsia="Calibri"/>
              </w:rPr>
              <w:t>ur</w:t>
            </w:r>
            <w:r w:rsidRPr="00F9474C">
              <w:rPr>
                <w:rFonts w:eastAsia="Calibri" w:hint="eastAsia"/>
              </w:rPr>
              <w:t>ė</w:t>
            </w:r>
            <w:r w:rsidRPr="00F9474C">
              <w:rPr>
                <w:rFonts w:eastAsia="Calibri"/>
              </w:rPr>
              <w:t>kl</w:t>
            </w:r>
            <w:r w:rsidRPr="00F9474C">
              <w:rPr>
                <w:rFonts w:eastAsia="Calibri" w:hint="eastAsia"/>
              </w:rPr>
              <w:t>ų</w:t>
            </w:r>
            <w:r w:rsidRPr="00F9474C">
              <w:rPr>
                <w:rFonts w:eastAsia="Calibri"/>
              </w:rPr>
              <w:t xml:space="preserve"> statramstis turi būti pagamintas iš ner</w:t>
            </w:r>
            <w:r w:rsidRPr="00F9474C">
              <w:rPr>
                <w:rFonts w:eastAsia="Calibri" w:hint="eastAsia"/>
              </w:rPr>
              <w:t>ū</w:t>
            </w:r>
            <w:r w:rsidRPr="00F9474C">
              <w:rPr>
                <w:rFonts w:eastAsia="Calibri"/>
              </w:rPr>
              <w:t>dijan</w:t>
            </w:r>
            <w:r w:rsidRPr="00F9474C">
              <w:rPr>
                <w:rFonts w:eastAsia="Calibri" w:hint="eastAsia"/>
              </w:rPr>
              <w:t>č</w:t>
            </w:r>
            <w:r w:rsidRPr="00F9474C">
              <w:rPr>
                <w:rFonts w:eastAsia="Calibri"/>
              </w:rPr>
              <w:t xml:space="preserve">io plieno </w:t>
            </w:r>
            <w:r>
              <w:rPr>
                <w:rFonts w:eastAsia="Calibri"/>
              </w:rPr>
              <w:t xml:space="preserve">kvadratinio </w:t>
            </w:r>
            <w:r w:rsidRPr="00F9474C">
              <w:rPr>
                <w:rFonts w:eastAsia="Calibri"/>
              </w:rPr>
              <w:t xml:space="preserve">vamzdžio, kurio </w:t>
            </w:r>
            <w:r>
              <w:rPr>
                <w:rFonts w:eastAsia="Calibri"/>
              </w:rPr>
              <w:t>matmuo 40x</w:t>
            </w:r>
            <w:r w:rsidRPr="00F9474C">
              <w:rPr>
                <w:rFonts w:eastAsia="Calibri"/>
              </w:rPr>
              <w:t>40 mm</w:t>
            </w:r>
            <w:r>
              <w:rPr>
                <w:rFonts w:eastAsia="Calibri"/>
              </w:rPr>
              <w:t>;</w:t>
            </w:r>
          </w:p>
          <w:p w:rsidR="00E24FF1" w:rsidRDefault="00E24FF1" w:rsidP="00E24FF1">
            <w:pPr>
              <w:numPr>
                <w:ilvl w:val="0"/>
                <w:numId w:val="4"/>
              </w:numPr>
              <w:suppressAutoHyphens/>
              <w:autoSpaceDE w:val="0"/>
              <w:autoSpaceDN w:val="0"/>
              <w:adjustRightInd w:val="0"/>
              <w:ind w:left="294" w:hanging="283"/>
              <w:jc w:val="both"/>
              <w:rPr>
                <w:rFonts w:eastAsia="Calibri"/>
              </w:rPr>
            </w:pPr>
            <w:r>
              <w:rPr>
                <w:rFonts w:eastAsia="Calibri"/>
              </w:rPr>
              <w:t xml:space="preserve">turėklų užpildas turi būti pagamintas iš </w:t>
            </w:r>
            <w:r w:rsidRPr="00F9474C">
              <w:rPr>
                <w:rFonts w:eastAsia="Calibri"/>
              </w:rPr>
              <w:t>ner</w:t>
            </w:r>
            <w:r w:rsidRPr="00F9474C">
              <w:rPr>
                <w:rFonts w:eastAsia="Calibri" w:hint="eastAsia"/>
              </w:rPr>
              <w:t>ū</w:t>
            </w:r>
            <w:r w:rsidRPr="00F9474C">
              <w:rPr>
                <w:rFonts w:eastAsia="Calibri"/>
              </w:rPr>
              <w:t>dijan</w:t>
            </w:r>
            <w:r w:rsidRPr="00F9474C">
              <w:rPr>
                <w:rFonts w:eastAsia="Calibri" w:hint="eastAsia"/>
              </w:rPr>
              <w:t>č</w:t>
            </w:r>
            <w:r w:rsidRPr="00F9474C">
              <w:rPr>
                <w:rFonts w:eastAsia="Calibri"/>
              </w:rPr>
              <w:t xml:space="preserve">io plieno </w:t>
            </w:r>
            <w:r>
              <w:rPr>
                <w:rFonts w:eastAsia="Calibri"/>
              </w:rPr>
              <w:t xml:space="preserve">kvadratinio </w:t>
            </w:r>
            <w:r w:rsidRPr="00F9474C">
              <w:rPr>
                <w:rFonts w:eastAsia="Calibri"/>
              </w:rPr>
              <w:t xml:space="preserve">vamzdžio, kurio </w:t>
            </w:r>
            <w:r>
              <w:rPr>
                <w:rFonts w:eastAsia="Calibri"/>
              </w:rPr>
              <w:t>matmuo 30x3</w:t>
            </w:r>
            <w:r w:rsidRPr="00F9474C">
              <w:rPr>
                <w:rFonts w:eastAsia="Calibri"/>
              </w:rPr>
              <w:t>0 mm</w:t>
            </w:r>
            <w:r>
              <w:rPr>
                <w:rFonts w:eastAsia="Calibri"/>
              </w:rPr>
              <w:t xml:space="preserve"> ir </w:t>
            </w:r>
            <w:r w:rsidRPr="00F9474C">
              <w:rPr>
                <w:rFonts w:eastAsia="Calibri"/>
              </w:rPr>
              <w:t>ner</w:t>
            </w:r>
            <w:r w:rsidRPr="00F9474C">
              <w:rPr>
                <w:rFonts w:eastAsia="Calibri" w:hint="eastAsia"/>
              </w:rPr>
              <w:t>ū</w:t>
            </w:r>
            <w:r w:rsidRPr="00F9474C">
              <w:rPr>
                <w:rFonts w:eastAsia="Calibri"/>
              </w:rPr>
              <w:t>dijan</w:t>
            </w:r>
            <w:r w:rsidRPr="00F9474C">
              <w:rPr>
                <w:rFonts w:eastAsia="Calibri" w:hint="eastAsia"/>
              </w:rPr>
              <w:t>č</w:t>
            </w:r>
            <w:r w:rsidRPr="00F9474C">
              <w:rPr>
                <w:rFonts w:eastAsia="Calibri"/>
              </w:rPr>
              <w:t>io plieno vamzdžio</w:t>
            </w:r>
            <w:r>
              <w:rPr>
                <w:rFonts w:eastAsia="Calibri"/>
              </w:rPr>
              <w:t>, kurio diametras – 16</w:t>
            </w:r>
            <w:r w:rsidRPr="00F9474C">
              <w:rPr>
                <w:rFonts w:eastAsia="Calibri"/>
              </w:rPr>
              <w:t xml:space="preserve"> mm</w:t>
            </w:r>
            <w:r>
              <w:rPr>
                <w:rFonts w:eastAsia="Calibri"/>
              </w:rPr>
              <w:t>, tarpai tarp vamzdžių nedaugiau kaip 100 mm.</w:t>
            </w:r>
          </w:p>
          <w:p w:rsidR="00E24FF1" w:rsidRPr="00F9474C" w:rsidRDefault="00E24FF1" w:rsidP="00E24FF1">
            <w:pPr>
              <w:numPr>
                <w:ilvl w:val="0"/>
                <w:numId w:val="4"/>
              </w:numPr>
              <w:suppressAutoHyphens/>
              <w:autoSpaceDE w:val="0"/>
              <w:autoSpaceDN w:val="0"/>
              <w:adjustRightInd w:val="0"/>
              <w:ind w:left="294" w:hanging="283"/>
              <w:jc w:val="both"/>
              <w:rPr>
                <w:rFonts w:eastAsia="Calibri"/>
              </w:rPr>
            </w:pPr>
            <w:r>
              <w:rPr>
                <w:rFonts w:eastAsia="Calibri"/>
              </w:rPr>
              <w:t>Turėklo konstrukcijos aukštis ne mažiau kaip 900mm;</w:t>
            </w:r>
          </w:p>
          <w:p w:rsidR="00E24FF1" w:rsidRDefault="00E24FF1" w:rsidP="00E24FF1">
            <w:pPr>
              <w:numPr>
                <w:ilvl w:val="0"/>
                <w:numId w:val="4"/>
              </w:numPr>
              <w:suppressAutoHyphens/>
              <w:autoSpaceDE w:val="0"/>
              <w:autoSpaceDN w:val="0"/>
              <w:adjustRightInd w:val="0"/>
              <w:ind w:left="294" w:hanging="283"/>
              <w:jc w:val="both"/>
              <w:rPr>
                <w:rFonts w:eastAsia="Calibri"/>
              </w:rPr>
            </w:pPr>
            <w:r>
              <w:rPr>
                <w:rFonts w:eastAsia="Calibri"/>
              </w:rPr>
              <w:t>s</w:t>
            </w:r>
            <w:r w:rsidRPr="00F9474C">
              <w:rPr>
                <w:rFonts w:eastAsia="Calibri"/>
              </w:rPr>
              <w:t>tatrams</w:t>
            </w:r>
            <w:r w:rsidRPr="00F9474C">
              <w:rPr>
                <w:rFonts w:eastAsia="Calibri" w:hint="eastAsia"/>
              </w:rPr>
              <w:t>č</w:t>
            </w:r>
            <w:r w:rsidRPr="00F9474C">
              <w:rPr>
                <w:rFonts w:eastAsia="Calibri"/>
              </w:rPr>
              <w:t>iai</w:t>
            </w:r>
            <w:r>
              <w:rPr>
                <w:rFonts w:eastAsia="Calibri"/>
              </w:rPr>
              <w:t xml:space="preserve"> turi būti įrengti laiptų pakopose senųjų statramsčių vietose;</w:t>
            </w:r>
          </w:p>
          <w:p w:rsidR="00E24FF1" w:rsidRDefault="00E24FF1" w:rsidP="00E24FF1">
            <w:pPr>
              <w:numPr>
                <w:ilvl w:val="0"/>
                <w:numId w:val="4"/>
              </w:numPr>
              <w:suppressAutoHyphens/>
              <w:autoSpaceDE w:val="0"/>
              <w:autoSpaceDN w:val="0"/>
              <w:adjustRightInd w:val="0"/>
              <w:ind w:left="294" w:hanging="283"/>
              <w:jc w:val="both"/>
              <w:rPr>
                <w:rFonts w:eastAsia="Calibri"/>
              </w:rPr>
            </w:pPr>
            <w:r>
              <w:rPr>
                <w:rFonts w:eastAsia="Calibri"/>
              </w:rPr>
              <w:t xml:space="preserve">Statramsčių tvirtinimas pakopose turi būti užengtas </w:t>
            </w:r>
            <w:r w:rsidRPr="00F9474C">
              <w:rPr>
                <w:rFonts w:eastAsia="Calibri"/>
              </w:rPr>
              <w:t>ner</w:t>
            </w:r>
            <w:r w:rsidRPr="00F9474C">
              <w:rPr>
                <w:rFonts w:eastAsia="Calibri" w:hint="eastAsia"/>
              </w:rPr>
              <w:t>ū</w:t>
            </w:r>
            <w:r w:rsidRPr="00F9474C">
              <w:rPr>
                <w:rFonts w:eastAsia="Calibri"/>
              </w:rPr>
              <w:t>dijan</w:t>
            </w:r>
            <w:r w:rsidRPr="00F9474C">
              <w:rPr>
                <w:rFonts w:eastAsia="Calibri" w:hint="eastAsia"/>
              </w:rPr>
              <w:t>č</w:t>
            </w:r>
            <w:r w:rsidRPr="00F9474C">
              <w:rPr>
                <w:rFonts w:eastAsia="Calibri"/>
              </w:rPr>
              <w:t xml:space="preserve">io plieno </w:t>
            </w:r>
            <w:r>
              <w:rPr>
                <w:rFonts w:eastAsia="Calibri"/>
              </w:rPr>
              <w:t>kvadratiniais gaminiais.</w:t>
            </w:r>
          </w:p>
          <w:p w:rsidR="00E24FF1" w:rsidRDefault="00E24FF1" w:rsidP="00E24FF1">
            <w:pPr>
              <w:numPr>
                <w:ilvl w:val="0"/>
                <w:numId w:val="4"/>
              </w:numPr>
              <w:suppressAutoHyphens/>
              <w:autoSpaceDE w:val="0"/>
              <w:autoSpaceDN w:val="0"/>
              <w:adjustRightInd w:val="0"/>
              <w:ind w:left="294" w:hanging="283"/>
              <w:jc w:val="both"/>
              <w:rPr>
                <w:rFonts w:eastAsia="Calibri"/>
              </w:rPr>
            </w:pPr>
            <w:r>
              <w:rPr>
                <w:rFonts w:eastAsia="Calibri"/>
              </w:rPr>
              <w:t>Porankiai tarpusavyje sujungti per visą ilgį nuo 1 iki 4 aukšto.</w:t>
            </w:r>
          </w:p>
          <w:p w:rsidR="00E24FF1" w:rsidRPr="00F9474C" w:rsidRDefault="00E24FF1" w:rsidP="00E24FF1">
            <w:pPr>
              <w:numPr>
                <w:ilvl w:val="0"/>
                <w:numId w:val="4"/>
              </w:numPr>
              <w:suppressAutoHyphens/>
              <w:ind w:left="294" w:hanging="283"/>
            </w:pPr>
            <w:r>
              <w:t>v</w:t>
            </w:r>
            <w:r w:rsidRPr="00F9474C">
              <w:t>izualizacija:</w:t>
            </w:r>
          </w:p>
          <w:p w:rsidR="00E24FF1" w:rsidRDefault="00E24FF1" w:rsidP="000E1722">
            <w:pPr>
              <w:ind w:left="294"/>
              <w:rPr>
                <w:noProof/>
                <w:lang w:eastAsia="lt-LT"/>
              </w:rPr>
            </w:pPr>
            <w:r w:rsidRPr="00131AD5">
              <w:rPr>
                <w:noProof/>
                <w:lang w:eastAsia="lt-LT"/>
              </w:rPr>
              <w:drawing>
                <wp:inline distT="0" distB="0" distL="0" distR="0">
                  <wp:extent cx="1533525" cy="1885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3525" cy="1885950"/>
                          </a:xfrm>
                          <a:prstGeom prst="rect">
                            <a:avLst/>
                          </a:prstGeom>
                          <a:noFill/>
                          <a:ln>
                            <a:noFill/>
                          </a:ln>
                        </pic:spPr>
                      </pic:pic>
                    </a:graphicData>
                  </a:graphic>
                </wp:inline>
              </w:drawing>
            </w:r>
            <w:r>
              <w:rPr>
                <w:noProof/>
                <w:lang w:eastAsia="lt-LT"/>
              </w:rPr>
              <w:t xml:space="preserve"> </w:t>
            </w:r>
            <w:r w:rsidRPr="00131AD5">
              <w:rPr>
                <w:noProof/>
                <w:lang w:eastAsia="lt-LT"/>
              </w:rPr>
              <w:drawing>
                <wp:inline distT="0" distB="0" distL="0" distR="0">
                  <wp:extent cx="1495425" cy="1857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1857375"/>
                          </a:xfrm>
                          <a:prstGeom prst="rect">
                            <a:avLst/>
                          </a:prstGeom>
                          <a:noFill/>
                          <a:ln>
                            <a:noFill/>
                          </a:ln>
                        </pic:spPr>
                      </pic:pic>
                    </a:graphicData>
                  </a:graphic>
                </wp:inline>
              </w:drawing>
            </w:r>
          </w:p>
          <w:p w:rsidR="00E24FF1" w:rsidRPr="009E5096" w:rsidRDefault="00E24FF1" w:rsidP="000E1722">
            <w:pPr>
              <w:ind w:left="294"/>
              <w:rPr>
                <w:rFonts w:eastAsia="Calibri"/>
                <w:b/>
                <w:noProof/>
              </w:rPr>
            </w:pPr>
            <w:r w:rsidRPr="00131AD5">
              <w:rPr>
                <w:noProof/>
                <w:lang w:eastAsia="lt-LT"/>
              </w:rPr>
              <w:lastRenderedPageBreak/>
              <w:drawing>
                <wp:inline distT="0" distB="0" distL="0" distR="0">
                  <wp:extent cx="1619250" cy="2333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2333625"/>
                          </a:xfrm>
                          <a:prstGeom prst="rect">
                            <a:avLst/>
                          </a:prstGeom>
                          <a:noFill/>
                          <a:ln>
                            <a:noFill/>
                          </a:ln>
                        </pic:spPr>
                      </pic:pic>
                    </a:graphicData>
                  </a:graphic>
                </wp:inline>
              </w:drawing>
            </w:r>
          </w:p>
        </w:tc>
        <w:tc>
          <w:tcPr>
            <w:tcW w:w="1182" w:type="dxa"/>
            <w:shd w:val="clear" w:color="auto" w:fill="auto"/>
          </w:tcPr>
          <w:p w:rsidR="00E24FF1" w:rsidRPr="0063025D" w:rsidRDefault="00E24FF1" w:rsidP="000E1722">
            <w:pPr>
              <w:jc w:val="center"/>
            </w:pPr>
            <w:r>
              <w:lastRenderedPageBreak/>
              <w:t>m</w:t>
            </w:r>
          </w:p>
        </w:tc>
        <w:tc>
          <w:tcPr>
            <w:tcW w:w="815" w:type="dxa"/>
            <w:shd w:val="clear" w:color="auto" w:fill="auto"/>
            <w:noWrap/>
          </w:tcPr>
          <w:p w:rsidR="00E24FF1" w:rsidRPr="007213EE" w:rsidRDefault="00E24FF1" w:rsidP="000E1722">
            <w:pPr>
              <w:jc w:val="center"/>
            </w:pPr>
            <w:r>
              <w:t>57</w:t>
            </w:r>
          </w:p>
        </w:tc>
      </w:tr>
      <w:tr w:rsidR="00E24FF1" w:rsidRPr="007213EE" w:rsidTr="000E1722">
        <w:trPr>
          <w:trHeight w:val="70"/>
        </w:trPr>
        <w:tc>
          <w:tcPr>
            <w:tcW w:w="590" w:type="dxa"/>
            <w:shd w:val="clear" w:color="auto" w:fill="auto"/>
            <w:noWrap/>
          </w:tcPr>
          <w:p w:rsidR="00E24FF1" w:rsidRPr="007213EE" w:rsidRDefault="00E24FF1" w:rsidP="000E1722">
            <w:pPr>
              <w:jc w:val="right"/>
            </w:pPr>
          </w:p>
        </w:tc>
        <w:tc>
          <w:tcPr>
            <w:tcW w:w="1415" w:type="dxa"/>
            <w:shd w:val="clear" w:color="auto" w:fill="auto"/>
          </w:tcPr>
          <w:p w:rsidR="00E24FF1" w:rsidRDefault="00E24FF1" w:rsidP="000E1722">
            <w:r>
              <w:t>Aplinkosaugos reikalavimai</w:t>
            </w:r>
          </w:p>
        </w:tc>
        <w:tc>
          <w:tcPr>
            <w:tcW w:w="5650" w:type="dxa"/>
          </w:tcPr>
          <w:p w:rsidR="00E24FF1" w:rsidRDefault="00E24FF1" w:rsidP="00E24FF1">
            <w:pPr>
              <w:numPr>
                <w:ilvl w:val="0"/>
                <w:numId w:val="4"/>
              </w:numPr>
              <w:suppressAutoHyphens/>
              <w:autoSpaceDE w:val="0"/>
              <w:autoSpaceDN w:val="0"/>
              <w:adjustRightInd w:val="0"/>
              <w:ind w:left="294" w:hanging="283"/>
              <w:jc w:val="both"/>
              <w:rPr>
                <w:rFonts w:eastAsia="Calibri"/>
              </w:rPr>
            </w:pPr>
            <w:r>
              <w:t>Rangovas privalo užtikrinti, kad turėklų gamybai būtų naudojamas perdirbamas nerūdijantis plienas, o montavimo metu susidarančios atliekos būtų surenkamos ir perduodamos atliekų tvarkytojams teisės aktų nustatyta tvarka. Naudojamos pagalbinės medžiagos turi atitikti aplinkosaugos reikalavimus ir būti saugios žmonių sveikatai. Rangovas privalo organizuoti darbus taip, kad būtų kuo mažiau neigiamo poveikio aplinkai.</w:t>
            </w:r>
          </w:p>
        </w:tc>
        <w:tc>
          <w:tcPr>
            <w:tcW w:w="1182" w:type="dxa"/>
            <w:shd w:val="clear" w:color="auto" w:fill="auto"/>
          </w:tcPr>
          <w:p w:rsidR="00E24FF1" w:rsidRDefault="00E24FF1" w:rsidP="000E1722">
            <w:pPr>
              <w:jc w:val="center"/>
            </w:pPr>
          </w:p>
        </w:tc>
        <w:tc>
          <w:tcPr>
            <w:tcW w:w="815" w:type="dxa"/>
            <w:shd w:val="clear" w:color="auto" w:fill="auto"/>
            <w:noWrap/>
          </w:tcPr>
          <w:p w:rsidR="00E24FF1" w:rsidRDefault="00E24FF1" w:rsidP="000E1722">
            <w:pPr>
              <w:jc w:val="center"/>
            </w:pPr>
          </w:p>
        </w:tc>
      </w:tr>
      <w:tr w:rsidR="00E24FF1" w:rsidRPr="007213EE" w:rsidTr="000E1722">
        <w:trPr>
          <w:trHeight w:val="70"/>
        </w:trPr>
        <w:tc>
          <w:tcPr>
            <w:tcW w:w="590" w:type="dxa"/>
            <w:shd w:val="clear" w:color="auto" w:fill="auto"/>
            <w:noWrap/>
          </w:tcPr>
          <w:p w:rsidR="00E24FF1" w:rsidRPr="007213EE" w:rsidRDefault="00E24FF1" w:rsidP="000E1722">
            <w:pPr>
              <w:jc w:val="right"/>
            </w:pPr>
          </w:p>
        </w:tc>
        <w:tc>
          <w:tcPr>
            <w:tcW w:w="1415" w:type="dxa"/>
            <w:shd w:val="clear" w:color="auto" w:fill="auto"/>
          </w:tcPr>
          <w:p w:rsidR="00E24FF1" w:rsidRDefault="00E24FF1" w:rsidP="000E1722">
            <w:r>
              <w:t>Esama situacija</w:t>
            </w:r>
          </w:p>
        </w:tc>
        <w:tc>
          <w:tcPr>
            <w:tcW w:w="5650" w:type="dxa"/>
          </w:tcPr>
          <w:p w:rsidR="00E24FF1" w:rsidRDefault="00E24FF1" w:rsidP="000E1722">
            <w:pPr>
              <w:autoSpaceDE w:val="0"/>
              <w:autoSpaceDN w:val="0"/>
              <w:adjustRightInd w:val="0"/>
              <w:ind w:left="294"/>
              <w:jc w:val="both"/>
            </w:pPr>
            <w:r w:rsidRPr="0008144E">
              <w:rPr>
                <w:noProof/>
                <w:lang w:eastAsia="lt-LT"/>
              </w:rPr>
              <w:drawing>
                <wp:inline distT="0" distB="0" distL="0" distR="0">
                  <wp:extent cx="1676400" cy="1628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1628775"/>
                          </a:xfrm>
                          <a:prstGeom prst="rect">
                            <a:avLst/>
                          </a:prstGeom>
                          <a:noFill/>
                          <a:ln>
                            <a:noFill/>
                          </a:ln>
                        </pic:spPr>
                      </pic:pic>
                    </a:graphicData>
                  </a:graphic>
                </wp:inline>
              </w:drawing>
            </w:r>
            <w:r>
              <w:rPr>
                <w:noProof/>
                <w:lang w:eastAsia="lt-LT"/>
              </w:rPr>
              <w:t xml:space="preserve"> </w:t>
            </w:r>
            <w:r w:rsidRPr="0008144E">
              <w:rPr>
                <w:noProof/>
                <w:lang w:eastAsia="lt-LT"/>
              </w:rPr>
              <w:drawing>
                <wp:inline distT="0" distB="0" distL="0" distR="0">
                  <wp:extent cx="135255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657350"/>
                          </a:xfrm>
                          <a:prstGeom prst="rect">
                            <a:avLst/>
                          </a:prstGeom>
                          <a:noFill/>
                          <a:ln>
                            <a:noFill/>
                          </a:ln>
                        </pic:spPr>
                      </pic:pic>
                    </a:graphicData>
                  </a:graphic>
                </wp:inline>
              </w:drawing>
            </w:r>
          </w:p>
        </w:tc>
        <w:tc>
          <w:tcPr>
            <w:tcW w:w="1182" w:type="dxa"/>
            <w:shd w:val="clear" w:color="auto" w:fill="auto"/>
          </w:tcPr>
          <w:p w:rsidR="00E24FF1" w:rsidRDefault="00E24FF1" w:rsidP="000E1722">
            <w:pPr>
              <w:jc w:val="center"/>
            </w:pPr>
            <w:r>
              <w:t>m</w:t>
            </w:r>
          </w:p>
        </w:tc>
        <w:tc>
          <w:tcPr>
            <w:tcW w:w="815" w:type="dxa"/>
            <w:shd w:val="clear" w:color="auto" w:fill="auto"/>
            <w:noWrap/>
          </w:tcPr>
          <w:p w:rsidR="00E24FF1" w:rsidRDefault="00E24FF1" w:rsidP="000E1722">
            <w:pPr>
              <w:jc w:val="center"/>
            </w:pPr>
            <w:r>
              <w:t>57</w:t>
            </w:r>
          </w:p>
        </w:tc>
      </w:tr>
    </w:tbl>
    <w:bookmarkEnd w:id="1"/>
    <w:p w:rsidR="00E24FF1" w:rsidRPr="00185245" w:rsidRDefault="00E24FF1" w:rsidP="00E24FF1">
      <w:pPr>
        <w:pStyle w:val="ListParagraph"/>
        <w:tabs>
          <w:tab w:val="left" w:pos="709"/>
        </w:tabs>
        <w:ind w:left="0"/>
        <w:jc w:val="both"/>
        <w:rPr>
          <w:b/>
          <w:bCs/>
          <w:i/>
          <w:iCs/>
        </w:rPr>
      </w:pPr>
      <w:r>
        <w:rPr>
          <w:b/>
          <w:bCs/>
          <w:i/>
          <w:iCs/>
        </w:rPr>
        <w:t>* Prekių matmenys, medžiagos ir kt. parametrai negali keistis ir turi atitikti lentelėje Nr. 1 nurodytus reikalavimus.</w:t>
      </w:r>
    </w:p>
    <w:p w:rsidR="00E24FF1" w:rsidRDefault="00E24FF1" w:rsidP="00E24FF1">
      <w:pPr>
        <w:pStyle w:val="ListParagraph"/>
        <w:tabs>
          <w:tab w:val="left" w:pos="709"/>
        </w:tabs>
        <w:ind w:left="0"/>
        <w:jc w:val="both"/>
        <w:rPr>
          <w:b/>
          <w:bCs/>
        </w:rPr>
      </w:pPr>
    </w:p>
    <w:p w:rsidR="00E24FF1" w:rsidRDefault="00E24FF1" w:rsidP="00E24FF1">
      <w:pPr>
        <w:numPr>
          <w:ilvl w:val="1"/>
          <w:numId w:val="3"/>
        </w:numPr>
        <w:tabs>
          <w:tab w:val="clear" w:pos="0"/>
          <w:tab w:val="num" w:pos="-218"/>
        </w:tabs>
        <w:suppressAutoHyphens/>
        <w:ind w:left="0" w:firstLine="0"/>
        <w:jc w:val="both"/>
        <w:rPr>
          <w:bCs/>
        </w:rPr>
      </w:pPr>
      <w:r>
        <w:rPr>
          <w:bCs/>
        </w:rPr>
        <w:t>Prekėms ir jų įrengimui s</w:t>
      </w:r>
      <w:r w:rsidRPr="00094FF5">
        <w:rPr>
          <w:bCs/>
        </w:rPr>
        <w:t xml:space="preserve">uteikiama </w:t>
      </w:r>
      <w:r>
        <w:rPr>
          <w:bCs/>
        </w:rPr>
        <w:t xml:space="preserve">5 metų </w:t>
      </w:r>
      <w:r w:rsidRPr="00094FF5">
        <w:rPr>
          <w:bCs/>
        </w:rPr>
        <w:t>garantija. Garantinis terminas pradedamas skaičiuoti nuo priėmimo-perdavimo akto pasirašymo dienos.</w:t>
      </w:r>
    </w:p>
    <w:p w:rsidR="00E24FF1" w:rsidRPr="00975788" w:rsidRDefault="00E24FF1" w:rsidP="00E24FF1">
      <w:pPr>
        <w:numPr>
          <w:ilvl w:val="1"/>
          <w:numId w:val="3"/>
        </w:numPr>
        <w:tabs>
          <w:tab w:val="clear" w:pos="0"/>
          <w:tab w:val="num" w:pos="567"/>
        </w:tabs>
        <w:suppressAutoHyphens/>
        <w:ind w:left="0" w:firstLine="0"/>
        <w:jc w:val="both"/>
      </w:pPr>
      <w:r w:rsidRPr="00975788">
        <w:rPr>
          <w:color w:val="000000"/>
        </w:rPr>
        <w:t>Pateikta prekių kaina turi būti galutinė, įvertinus pristatymo ir visas kitas tiekėjo išlaidas</w:t>
      </w:r>
    </w:p>
    <w:p w:rsidR="00E24FF1" w:rsidRPr="007213EE" w:rsidRDefault="00E24FF1" w:rsidP="00E24FF1">
      <w:pPr>
        <w:pStyle w:val="ListParagraph"/>
        <w:jc w:val="both"/>
        <w:rPr>
          <w:i/>
        </w:rPr>
      </w:pPr>
    </w:p>
    <w:p w:rsidR="00E24FF1" w:rsidRPr="007213EE" w:rsidRDefault="00E24FF1" w:rsidP="00E24FF1">
      <w:pPr>
        <w:pStyle w:val="ListParagraph"/>
        <w:numPr>
          <w:ilvl w:val="0"/>
          <w:numId w:val="3"/>
        </w:numPr>
        <w:pBdr>
          <w:top w:val="single" w:sz="8" w:space="1" w:color="000000"/>
          <w:bottom w:val="single" w:sz="8" w:space="1" w:color="000000"/>
        </w:pBdr>
        <w:tabs>
          <w:tab w:val="left" w:pos="284"/>
        </w:tabs>
        <w:suppressAutoHyphens/>
        <w:spacing w:before="60" w:after="60"/>
        <w:rPr>
          <w:b/>
        </w:rPr>
      </w:pPr>
      <w:r w:rsidRPr="007213EE">
        <w:rPr>
          <w:b/>
        </w:rPr>
        <w:t>SUTARTINIŲ ĮSIPAREIGOJIMŲ VYKDYMO TVARKA IR TERMINAI</w:t>
      </w:r>
    </w:p>
    <w:p w:rsidR="00E24FF1" w:rsidRDefault="00E24FF1" w:rsidP="00E24FF1">
      <w:pPr>
        <w:pStyle w:val="ListParagraph"/>
        <w:numPr>
          <w:ilvl w:val="1"/>
          <w:numId w:val="3"/>
        </w:numPr>
        <w:tabs>
          <w:tab w:val="clear" w:pos="0"/>
          <w:tab w:val="left" w:pos="426"/>
        </w:tabs>
        <w:suppressAutoHyphens/>
        <w:ind w:left="0" w:firstLine="0"/>
        <w:jc w:val="both"/>
      </w:pPr>
      <w:r>
        <w:t>Sutarties</w:t>
      </w:r>
      <w:r w:rsidRPr="00F7543D">
        <w:t xml:space="preserve"> įvykdymo terminas – n</w:t>
      </w:r>
      <w:r>
        <w:t xml:space="preserve">e vėliau </w:t>
      </w:r>
      <w:r w:rsidRPr="00F7543D">
        <w:t xml:space="preserve">kaip </w:t>
      </w:r>
      <w:r w:rsidRPr="000128E5">
        <w:t xml:space="preserve">per </w:t>
      </w:r>
      <w:r>
        <w:t>1</w:t>
      </w:r>
      <w:r w:rsidRPr="000128E5">
        <w:t xml:space="preserve"> mėnes</w:t>
      </w:r>
      <w:r>
        <w:t xml:space="preserve">į nuo 2026 m. gegužės 1 d. </w:t>
      </w:r>
    </w:p>
    <w:p w:rsidR="00E24FF1" w:rsidRDefault="00E24FF1" w:rsidP="00E24FF1">
      <w:pPr>
        <w:pStyle w:val="ListParagraph"/>
        <w:numPr>
          <w:ilvl w:val="1"/>
          <w:numId w:val="3"/>
        </w:numPr>
        <w:tabs>
          <w:tab w:val="clear" w:pos="0"/>
          <w:tab w:val="left" w:pos="426"/>
        </w:tabs>
        <w:suppressAutoHyphens/>
        <w:ind w:left="0" w:firstLine="0"/>
        <w:jc w:val="both"/>
      </w:pPr>
      <w:r>
        <w:t>K</w:t>
      </w:r>
      <w:r w:rsidRPr="000C794C">
        <w:t xml:space="preserve">artu su Prekėmis Pirkėjui </w:t>
      </w:r>
      <w:r>
        <w:t>turi būti</w:t>
      </w:r>
      <w:r w:rsidRPr="000C794C">
        <w:t xml:space="preserve"> pateikiami</w:t>
      </w:r>
      <w:r>
        <w:t xml:space="preserve"> Prekių </w:t>
      </w:r>
      <w:r w:rsidRPr="000C794C">
        <w:t>atitikties sertifikata</w:t>
      </w:r>
      <w:r>
        <w:t>i, įrodantys Prekių atitikimą šios techninės specifikacijos.</w:t>
      </w:r>
    </w:p>
    <w:p w:rsidR="00264606" w:rsidRPr="00264606" w:rsidRDefault="00264606" w:rsidP="00264606">
      <w:pPr>
        <w:jc w:val="center"/>
        <w:rPr>
          <w:rFonts w:ascii="Times New Roman" w:hAnsi="Times New Roman" w:cs="Times New Roman"/>
          <w:sz w:val="24"/>
          <w:szCs w:val="24"/>
        </w:rPr>
      </w:pPr>
    </w:p>
    <w:sectPr w:rsidR="00264606" w:rsidRPr="00264606" w:rsidSect="0028128D">
      <w:pgSz w:w="11906" w:h="16838"/>
      <w:pgMar w:top="680" w:right="567" w:bottom="680" w:left="1701" w:header="397" w:footer="39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D902AFBA"/>
    <w:name w:val="WW8Num2"/>
    <w:lvl w:ilvl="0">
      <w:start w:val="1"/>
      <w:numFmt w:val="decimal"/>
      <w:lvlText w:val="%1."/>
      <w:lvlJc w:val="left"/>
      <w:pPr>
        <w:tabs>
          <w:tab w:val="num" w:pos="-360"/>
        </w:tabs>
        <w:ind w:left="360" w:hanging="360"/>
      </w:pPr>
      <w:rPr>
        <w:rFonts w:cs="Times New Roman"/>
        <w:b/>
        <w:bCs/>
        <w:i w:val="0"/>
        <w:iCs w:val="0"/>
        <w:sz w:val="24"/>
        <w:szCs w:val="24"/>
      </w:rPr>
    </w:lvl>
    <w:lvl w:ilvl="1">
      <w:start w:val="1"/>
      <w:numFmt w:val="decimal"/>
      <w:lvlText w:val="%1.%2."/>
      <w:lvlJc w:val="left"/>
      <w:pPr>
        <w:tabs>
          <w:tab w:val="num" w:pos="0"/>
        </w:tabs>
        <w:ind w:left="720" w:hanging="360"/>
      </w:pPr>
      <w:rPr>
        <w:rFonts w:cs="Times New Roman"/>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1" w15:restartNumberingAfterBreak="0">
    <w:nsid w:val="11587FE2"/>
    <w:multiLevelType w:val="hybridMultilevel"/>
    <w:tmpl w:val="3030F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76073695"/>
    <w:multiLevelType w:val="hybridMultilevel"/>
    <w:tmpl w:val="467A1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15A"/>
    <w:rsid w:val="00147150"/>
    <w:rsid w:val="00264606"/>
    <w:rsid w:val="0028128D"/>
    <w:rsid w:val="002B4BCA"/>
    <w:rsid w:val="004C215A"/>
    <w:rsid w:val="006C6383"/>
    <w:rsid w:val="00AA0D58"/>
    <w:rsid w:val="00B10DB6"/>
    <w:rsid w:val="00B7427B"/>
    <w:rsid w:val="00D34D87"/>
    <w:rsid w:val="00E24FF1"/>
    <w:rsid w:val="00F770DC"/>
    <w:rsid w:val="00FC2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A44D"/>
  <w15:chartTrackingRefBased/>
  <w15:docId w15:val="{C907FD61-FA50-4328-83ED-5BEFAAEC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1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215A"/>
    <w:rPr>
      <w:color w:val="0563C1"/>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Sąrašo pastraipa.Bullet,Sąrašo pastraipa;Bullet"/>
    <w:basedOn w:val="Normal"/>
    <w:link w:val="ListParagraphChar"/>
    <w:qFormat/>
    <w:rsid w:val="004C215A"/>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64606"/>
    <w:rPr>
      <w:rFonts w:ascii="Calibri" w:hAnsi="Calibri" w:cs="Calibri"/>
    </w:rPr>
  </w:style>
  <w:style w:type="table" w:styleId="TableGrid">
    <w:name w:val="Table Grid"/>
    <w:basedOn w:val="TableNormal"/>
    <w:uiPriority w:val="59"/>
    <w:rsid w:val="00264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0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243993">
      <w:bodyDiv w:val="1"/>
      <w:marLeft w:val="0"/>
      <w:marRight w:val="0"/>
      <w:marTop w:val="0"/>
      <w:marBottom w:val="0"/>
      <w:divBdr>
        <w:top w:val="none" w:sz="0" w:space="0" w:color="auto"/>
        <w:left w:val="none" w:sz="0" w:space="0" w:color="auto"/>
        <w:bottom w:val="none" w:sz="0" w:space="0" w:color="auto"/>
        <w:right w:val="none" w:sz="0" w:space="0" w:color="auto"/>
      </w:divBdr>
    </w:div>
    <w:div w:id="2102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3149</Words>
  <Characters>1796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2</cp:revision>
  <dcterms:created xsi:type="dcterms:W3CDTF">2026-02-19T16:51:00Z</dcterms:created>
  <dcterms:modified xsi:type="dcterms:W3CDTF">2026-02-19T16:51:00Z</dcterms:modified>
</cp:coreProperties>
</file>