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218"/>
        <w:gridCol w:w="1371"/>
        <w:gridCol w:w="1371"/>
        <w:gridCol w:w="1924"/>
        <w:gridCol w:w="236"/>
      </w:tblGrid>
      <w:tr w:rsidR="00664072" w:rsidRPr="00826410" w14:paraId="07759F08" w14:textId="77777777" w:rsidTr="00A86C0E">
        <w:trPr>
          <w:cantSplit/>
          <w:trHeight w:val="284"/>
        </w:trPr>
        <w:tc>
          <w:tcPr>
            <w:tcW w:w="3708" w:type="dxa"/>
            <w:vMerge w:val="restart"/>
            <w:tcBorders>
              <w:top w:val="nil"/>
              <w:left w:val="nil"/>
              <w:bottom w:val="nil"/>
              <w:right w:val="nil"/>
            </w:tcBorders>
          </w:tcPr>
          <w:p w14:paraId="728D12A4" w14:textId="77777777" w:rsidR="00664072" w:rsidRPr="00826410" w:rsidRDefault="00DA6A87" w:rsidP="00597AAD">
            <w:pPr>
              <w:pStyle w:val="Antrats"/>
              <w:tabs>
                <w:tab w:val="left" w:pos="1296"/>
              </w:tabs>
            </w:pPr>
            <w:r w:rsidRPr="00826410">
              <w:t>Tiekėjams</w:t>
            </w:r>
          </w:p>
        </w:tc>
        <w:tc>
          <w:tcPr>
            <w:tcW w:w="1218" w:type="dxa"/>
            <w:tcBorders>
              <w:top w:val="nil"/>
              <w:left w:val="nil"/>
              <w:bottom w:val="nil"/>
              <w:right w:val="nil"/>
            </w:tcBorders>
          </w:tcPr>
          <w:p w14:paraId="291109DA" w14:textId="77777777" w:rsidR="00664072" w:rsidRPr="00826410" w:rsidRDefault="00664072" w:rsidP="00597AAD">
            <w:pPr>
              <w:jc w:val="center"/>
            </w:pPr>
          </w:p>
        </w:tc>
        <w:tc>
          <w:tcPr>
            <w:tcW w:w="2742" w:type="dxa"/>
            <w:gridSpan w:val="2"/>
            <w:tcBorders>
              <w:top w:val="nil"/>
              <w:left w:val="nil"/>
              <w:bottom w:val="nil"/>
              <w:right w:val="nil"/>
            </w:tcBorders>
          </w:tcPr>
          <w:p w14:paraId="0DB3B5CF" w14:textId="77777777" w:rsidR="00664072" w:rsidRPr="00826410" w:rsidRDefault="00664072" w:rsidP="00E26393">
            <w:pPr>
              <w:jc w:val="right"/>
            </w:pPr>
            <w:r w:rsidRPr="00826410">
              <w:t xml:space="preserve">        </w:t>
            </w:r>
          </w:p>
        </w:tc>
        <w:tc>
          <w:tcPr>
            <w:tcW w:w="1924" w:type="dxa"/>
            <w:tcBorders>
              <w:top w:val="nil"/>
              <w:left w:val="nil"/>
              <w:bottom w:val="nil"/>
              <w:right w:val="nil"/>
            </w:tcBorders>
          </w:tcPr>
          <w:p w14:paraId="42526FDC" w14:textId="0E644993" w:rsidR="00664072" w:rsidRPr="00826410" w:rsidRDefault="00E26393" w:rsidP="00E26393">
            <w:pPr>
              <w:jc w:val="right"/>
            </w:pPr>
            <w:r w:rsidRPr="00826410">
              <w:t>202</w:t>
            </w:r>
            <w:r w:rsidR="00782782">
              <w:t>6</w:t>
            </w:r>
            <w:r w:rsidR="00FA3681" w:rsidRPr="00826410">
              <w:t>-0</w:t>
            </w:r>
            <w:r w:rsidR="00782782">
              <w:t>2</w:t>
            </w:r>
            <w:r w:rsidR="00FA3681" w:rsidRPr="00826410">
              <w:t>-</w:t>
            </w:r>
            <w:r w:rsidR="00C3739F" w:rsidRPr="00826410">
              <w:t>20</w:t>
            </w:r>
          </w:p>
        </w:tc>
        <w:tc>
          <w:tcPr>
            <w:tcW w:w="236" w:type="dxa"/>
            <w:tcBorders>
              <w:top w:val="nil"/>
              <w:left w:val="nil"/>
              <w:bottom w:val="nil"/>
              <w:right w:val="nil"/>
            </w:tcBorders>
          </w:tcPr>
          <w:p w14:paraId="6F9A2475" w14:textId="77777777" w:rsidR="00664072" w:rsidRPr="00826410" w:rsidRDefault="00664072" w:rsidP="00597AAD"/>
        </w:tc>
      </w:tr>
      <w:tr w:rsidR="00664072" w:rsidRPr="00826410" w14:paraId="26815455" w14:textId="77777777" w:rsidTr="00A86C0E">
        <w:trPr>
          <w:cantSplit/>
          <w:trHeight w:val="283"/>
        </w:trPr>
        <w:tc>
          <w:tcPr>
            <w:tcW w:w="3708" w:type="dxa"/>
            <w:vMerge/>
            <w:tcBorders>
              <w:top w:val="nil"/>
              <w:left w:val="nil"/>
              <w:bottom w:val="nil"/>
              <w:right w:val="nil"/>
            </w:tcBorders>
            <w:vAlign w:val="center"/>
          </w:tcPr>
          <w:p w14:paraId="4662B991" w14:textId="77777777" w:rsidR="00664072" w:rsidRPr="00826410" w:rsidRDefault="00664072" w:rsidP="00597AAD"/>
        </w:tc>
        <w:tc>
          <w:tcPr>
            <w:tcW w:w="1218" w:type="dxa"/>
            <w:tcBorders>
              <w:top w:val="nil"/>
              <w:left w:val="nil"/>
              <w:bottom w:val="nil"/>
              <w:right w:val="nil"/>
            </w:tcBorders>
          </w:tcPr>
          <w:p w14:paraId="5475CA57" w14:textId="77777777" w:rsidR="00664072" w:rsidRPr="00826410" w:rsidRDefault="00664072" w:rsidP="00597AAD">
            <w:pPr>
              <w:jc w:val="center"/>
            </w:pPr>
          </w:p>
        </w:tc>
        <w:tc>
          <w:tcPr>
            <w:tcW w:w="1371" w:type="dxa"/>
            <w:tcBorders>
              <w:top w:val="nil"/>
              <w:left w:val="nil"/>
              <w:bottom w:val="nil"/>
              <w:right w:val="nil"/>
            </w:tcBorders>
          </w:tcPr>
          <w:p w14:paraId="45E03D34" w14:textId="77777777" w:rsidR="00664072" w:rsidRPr="00826410" w:rsidRDefault="00664072" w:rsidP="00597AAD">
            <w:pPr>
              <w:jc w:val="right"/>
            </w:pPr>
          </w:p>
        </w:tc>
        <w:tc>
          <w:tcPr>
            <w:tcW w:w="1371" w:type="dxa"/>
            <w:tcBorders>
              <w:top w:val="nil"/>
              <w:left w:val="nil"/>
              <w:bottom w:val="nil"/>
              <w:right w:val="nil"/>
            </w:tcBorders>
          </w:tcPr>
          <w:p w14:paraId="4698C650" w14:textId="77777777" w:rsidR="00664072" w:rsidRPr="00826410" w:rsidRDefault="00664072" w:rsidP="00597AAD">
            <w:pPr>
              <w:jc w:val="center"/>
            </w:pPr>
          </w:p>
        </w:tc>
        <w:tc>
          <w:tcPr>
            <w:tcW w:w="1924" w:type="dxa"/>
            <w:tcBorders>
              <w:top w:val="nil"/>
              <w:left w:val="nil"/>
              <w:bottom w:val="nil"/>
              <w:right w:val="nil"/>
            </w:tcBorders>
          </w:tcPr>
          <w:p w14:paraId="6DFCBD68" w14:textId="77777777" w:rsidR="00664072" w:rsidRPr="00826410" w:rsidRDefault="00664072" w:rsidP="00597AAD"/>
        </w:tc>
        <w:tc>
          <w:tcPr>
            <w:tcW w:w="236" w:type="dxa"/>
            <w:tcBorders>
              <w:top w:val="nil"/>
              <w:left w:val="nil"/>
              <w:bottom w:val="nil"/>
              <w:right w:val="nil"/>
            </w:tcBorders>
          </w:tcPr>
          <w:p w14:paraId="13FB3087" w14:textId="77777777" w:rsidR="00664072" w:rsidRPr="00826410" w:rsidRDefault="00664072" w:rsidP="00597AAD"/>
        </w:tc>
      </w:tr>
      <w:tr w:rsidR="00664072" w:rsidRPr="00826410" w14:paraId="3F543E3A" w14:textId="77777777" w:rsidTr="00A86C0E">
        <w:trPr>
          <w:cantSplit/>
          <w:trHeight w:val="565"/>
        </w:trPr>
        <w:tc>
          <w:tcPr>
            <w:tcW w:w="3708" w:type="dxa"/>
            <w:vMerge/>
            <w:tcBorders>
              <w:top w:val="nil"/>
              <w:left w:val="nil"/>
              <w:bottom w:val="nil"/>
              <w:right w:val="nil"/>
            </w:tcBorders>
            <w:vAlign w:val="center"/>
          </w:tcPr>
          <w:p w14:paraId="4A8CF794" w14:textId="77777777" w:rsidR="00664072" w:rsidRPr="00826410" w:rsidRDefault="00664072" w:rsidP="00597AAD"/>
        </w:tc>
        <w:tc>
          <w:tcPr>
            <w:tcW w:w="1218" w:type="dxa"/>
            <w:tcBorders>
              <w:top w:val="nil"/>
              <w:left w:val="nil"/>
              <w:bottom w:val="nil"/>
              <w:right w:val="nil"/>
            </w:tcBorders>
          </w:tcPr>
          <w:p w14:paraId="1D02B32C" w14:textId="77777777" w:rsidR="00664072" w:rsidRPr="00826410" w:rsidRDefault="00664072" w:rsidP="00597AAD">
            <w:pPr>
              <w:jc w:val="center"/>
            </w:pPr>
          </w:p>
        </w:tc>
        <w:tc>
          <w:tcPr>
            <w:tcW w:w="2742" w:type="dxa"/>
            <w:gridSpan w:val="2"/>
            <w:tcBorders>
              <w:top w:val="nil"/>
              <w:left w:val="nil"/>
              <w:bottom w:val="nil"/>
              <w:right w:val="nil"/>
            </w:tcBorders>
          </w:tcPr>
          <w:p w14:paraId="0BA060A0" w14:textId="77777777" w:rsidR="00664072" w:rsidRPr="00826410" w:rsidRDefault="00664072" w:rsidP="00597AAD">
            <w:pPr>
              <w:jc w:val="center"/>
            </w:pPr>
          </w:p>
        </w:tc>
        <w:tc>
          <w:tcPr>
            <w:tcW w:w="1924" w:type="dxa"/>
            <w:tcBorders>
              <w:top w:val="nil"/>
              <w:left w:val="nil"/>
              <w:bottom w:val="nil"/>
              <w:right w:val="nil"/>
            </w:tcBorders>
          </w:tcPr>
          <w:p w14:paraId="22A79219" w14:textId="77777777" w:rsidR="00664072" w:rsidRPr="00826410" w:rsidRDefault="00664072" w:rsidP="00597AAD">
            <w:pPr>
              <w:jc w:val="center"/>
            </w:pPr>
          </w:p>
        </w:tc>
        <w:tc>
          <w:tcPr>
            <w:tcW w:w="236" w:type="dxa"/>
            <w:tcBorders>
              <w:top w:val="nil"/>
              <w:left w:val="nil"/>
              <w:bottom w:val="nil"/>
              <w:right w:val="nil"/>
            </w:tcBorders>
          </w:tcPr>
          <w:p w14:paraId="119C96DC" w14:textId="77777777" w:rsidR="00664072" w:rsidRPr="00826410" w:rsidRDefault="00664072" w:rsidP="00597AAD">
            <w:pPr>
              <w:jc w:val="center"/>
            </w:pPr>
          </w:p>
        </w:tc>
      </w:tr>
      <w:tr w:rsidR="00664072" w:rsidRPr="00826410" w14:paraId="530A5990" w14:textId="77777777" w:rsidTr="00A86C0E">
        <w:trPr>
          <w:cantSplit/>
          <w:trHeight w:val="995"/>
        </w:trPr>
        <w:tc>
          <w:tcPr>
            <w:tcW w:w="9828" w:type="dxa"/>
            <w:gridSpan w:val="6"/>
            <w:tcBorders>
              <w:top w:val="nil"/>
              <w:left w:val="nil"/>
              <w:bottom w:val="nil"/>
              <w:right w:val="nil"/>
            </w:tcBorders>
          </w:tcPr>
          <w:p w14:paraId="1DE41BC7" w14:textId="5B1DCC44" w:rsidR="00664072" w:rsidRPr="00826410" w:rsidRDefault="00664072" w:rsidP="00005F6F">
            <w:pPr>
              <w:ind w:firstLine="37"/>
              <w:rPr>
                <w:b/>
                <w:color w:val="333333"/>
                <w:shd w:val="clear" w:color="auto" w:fill="FFFFFF"/>
              </w:rPr>
            </w:pPr>
            <w:r w:rsidRPr="00826410">
              <w:rPr>
                <w:b/>
              </w:rPr>
              <w:t xml:space="preserve">DĖL PIRKIMO </w:t>
            </w:r>
            <w:r w:rsidR="00BE1A17" w:rsidRPr="00826410">
              <w:rPr>
                <w:b/>
              </w:rPr>
              <w:t>ID</w:t>
            </w:r>
            <w:r w:rsidRPr="00826410">
              <w:rPr>
                <w:b/>
              </w:rPr>
              <w:t xml:space="preserve"> </w:t>
            </w:r>
            <w:r w:rsidR="00DE3D9F" w:rsidRPr="00826410">
              <w:rPr>
                <w:b/>
              </w:rPr>
              <w:t>64</w:t>
            </w:r>
            <w:r w:rsidR="00782782">
              <w:rPr>
                <w:b/>
              </w:rPr>
              <w:t>18722</w:t>
            </w:r>
            <w:r w:rsidR="00C02076" w:rsidRPr="00826410">
              <w:rPr>
                <w:b/>
                <w:color w:val="333333"/>
                <w:shd w:val="clear" w:color="auto" w:fill="FFFFFF"/>
              </w:rPr>
              <w:t xml:space="preserve"> </w:t>
            </w:r>
            <w:r w:rsidR="00782782">
              <w:rPr>
                <w:b/>
                <w:color w:val="333333"/>
                <w:shd w:val="clear" w:color="auto" w:fill="FFFFFF"/>
              </w:rPr>
              <w:t>ATSAKYMŲ Į TIEKĖJO KLAUSIMUS IR PASIŪLYMŲ TEIKIMO TERMINO NUKĖLIMO</w:t>
            </w:r>
          </w:p>
        </w:tc>
      </w:tr>
    </w:tbl>
    <w:p w14:paraId="7258E2D4" w14:textId="3A7D8A8A" w:rsidR="00782782" w:rsidRDefault="00782782" w:rsidP="00A5381D">
      <w:pPr>
        <w:ind w:firstLine="851"/>
        <w:jc w:val="both"/>
      </w:pPr>
      <w:r w:rsidRPr="00EF175A">
        <w:t>CVP IS priemonėmis gauti tiekėj</w:t>
      </w:r>
      <w:r>
        <w:t>o</w:t>
      </w:r>
      <w:r w:rsidRPr="00EF175A">
        <w:t xml:space="preserve"> klausimai, į kuriuos </w:t>
      </w:r>
      <w:r w:rsidR="00923C37">
        <w:t xml:space="preserve">viešojo pirkimo </w:t>
      </w:r>
      <w:r w:rsidRPr="00EF175A">
        <w:t>komisija atsako taip, kaip nurodyta lentelės tekste „Atsakymai“:</w:t>
      </w:r>
    </w:p>
    <w:p w14:paraId="241963BA" w14:textId="77777777" w:rsidR="00782782" w:rsidRPr="00EF175A" w:rsidRDefault="00782782" w:rsidP="00782782">
      <w:pPr>
        <w:ind w:firstLine="1418"/>
        <w:jc w:val="both"/>
      </w:pPr>
    </w:p>
    <w:tbl>
      <w:tblPr>
        <w:tblStyle w:val="Lentelstinklelis"/>
        <w:tblW w:w="0" w:type="auto"/>
        <w:tblLook w:val="04A0" w:firstRow="1" w:lastRow="0" w:firstColumn="1" w:lastColumn="0" w:noHBand="0" w:noVBand="1"/>
      </w:tblPr>
      <w:tblGrid>
        <w:gridCol w:w="704"/>
        <w:gridCol w:w="4678"/>
        <w:gridCol w:w="4246"/>
      </w:tblGrid>
      <w:tr w:rsidR="00782782" w:rsidRPr="00D41D8D" w14:paraId="7C3A9572" w14:textId="77777777" w:rsidTr="009050B8">
        <w:tc>
          <w:tcPr>
            <w:tcW w:w="704" w:type="dxa"/>
          </w:tcPr>
          <w:p w14:paraId="780C6BCA" w14:textId="77777777" w:rsidR="00782782" w:rsidRPr="00D41D8D" w:rsidRDefault="00782782" w:rsidP="009050B8">
            <w:pPr>
              <w:jc w:val="center"/>
              <w:rPr>
                <w:b/>
              </w:rPr>
            </w:pPr>
            <w:bookmarkStart w:id="0" w:name="_Hlk169004015"/>
            <w:r w:rsidRPr="00D41D8D">
              <w:rPr>
                <w:b/>
              </w:rPr>
              <w:t>Eil. Nr.</w:t>
            </w:r>
          </w:p>
        </w:tc>
        <w:tc>
          <w:tcPr>
            <w:tcW w:w="4678" w:type="dxa"/>
          </w:tcPr>
          <w:p w14:paraId="0F901381" w14:textId="77777777" w:rsidR="00782782" w:rsidRPr="00D41D8D" w:rsidRDefault="00782782" w:rsidP="009050B8">
            <w:pPr>
              <w:jc w:val="center"/>
              <w:rPr>
                <w:b/>
              </w:rPr>
            </w:pPr>
            <w:r w:rsidRPr="00D41D8D">
              <w:rPr>
                <w:b/>
              </w:rPr>
              <w:t>Klausimai</w:t>
            </w:r>
          </w:p>
        </w:tc>
        <w:tc>
          <w:tcPr>
            <w:tcW w:w="4246" w:type="dxa"/>
          </w:tcPr>
          <w:p w14:paraId="2548FDBA" w14:textId="77777777" w:rsidR="00782782" w:rsidRPr="00D41D8D" w:rsidRDefault="00782782" w:rsidP="009050B8">
            <w:pPr>
              <w:jc w:val="center"/>
              <w:rPr>
                <w:b/>
              </w:rPr>
            </w:pPr>
            <w:r w:rsidRPr="00D41D8D">
              <w:rPr>
                <w:b/>
              </w:rPr>
              <w:t>Atsakymai</w:t>
            </w:r>
          </w:p>
        </w:tc>
      </w:tr>
      <w:tr w:rsidR="00782782" w:rsidRPr="00D41D8D" w14:paraId="20301C85" w14:textId="77777777" w:rsidTr="009050B8">
        <w:tc>
          <w:tcPr>
            <w:tcW w:w="5382" w:type="dxa"/>
            <w:gridSpan w:val="2"/>
          </w:tcPr>
          <w:p w14:paraId="6E841E30" w14:textId="77777777" w:rsidR="00782782" w:rsidRPr="00D41D8D" w:rsidRDefault="00782782" w:rsidP="009050B8">
            <w:pPr>
              <w:rPr>
                <w:b/>
              </w:rPr>
            </w:pPr>
            <w:r>
              <w:rPr>
                <w:rFonts w:asciiTheme="majorBidi" w:hAnsiTheme="majorBidi" w:cstheme="majorBidi"/>
              </w:rPr>
              <w:t>P</w:t>
            </w:r>
            <w:r w:rsidRPr="000F1718">
              <w:rPr>
                <w:rFonts w:asciiTheme="majorBidi" w:hAnsiTheme="majorBidi" w:cstheme="majorBidi"/>
              </w:rPr>
              <w:t>rašome patikslinti šiuos techninės specifikacijos reikalavimus</w:t>
            </w:r>
            <w:r>
              <w:rPr>
                <w:rFonts w:asciiTheme="majorBidi" w:hAnsiTheme="majorBidi" w:cstheme="majorBidi"/>
              </w:rPr>
              <w:t>:</w:t>
            </w:r>
          </w:p>
        </w:tc>
        <w:tc>
          <w:tcPr>
            <w:tcW w:w="4246" w:type="dxa"/>
          </w:tcPr>
          <w:p w14:paraId="5D87074E" w14:textId="77777777" w:rsidR="00782782" w:rsidRPr="00D41D8D" w:rsidRDefault="00782782" w:rsidP="009050B8">
            <w:pPr>
              <w:rPr>
                <w:b/>
              </w:rPr>
            </w:pPr>
            <w:r>
              <w:t>Teikiame atsakymus dėl Techninių specifikacijų (Pirkimo sąlygų 3 priedas) priedo „Prekių atitikties techniniams reikalavimams“ lentelės (toliau – lentelė):</w:t>
            </w:r>
          </w:p>
        </w:tc>
      </w:tr>
      <w:tr w:rsidR="00782782" w:rsidRPr="00D41D8D" w14:paraId="70718241" w14:textId="77777777" w:rsidTr="009050B8">
        <w:tc>
          <w:tcPr>
            <w:tcW w:w="704" w:type="dxa"/>
          </w:tcPr>
          <w:p w14:paraId="70C2E458" w14:textId="77777777" w:rsidR="00782782" w:rsidRPr="00D41D8D" w:rsidRDefault="00782782" w:rsidP="009050B8">
            <w:pPr>
              <w:jc w:val="both"/>
            </w:pPr>
            <w:r w:rsidRPr="00D41D8D">
              <w:t>1.</w:t>
            </w:r>
          </w:p>
        </w:tc>
        <w:tc>
          <w:tcPr>
            <w:tcW w:w="4678" w:type="dxa"/>
          </w:tcPr>
          <w:p w14:paraId="7FBEEF7D" w14:textId="77777777" w:rsidR="00782782" w:rsidRPr="00D41D8D" w:rsidRDefault="00782782" w:rsidP="009050B8">
            <w:r w:rsidRPr="000F1718">
              <w:rPr>
                <w:rFonts w:asciiTheme="majorBidi" w:hAnsiTheme="majorBidi" w:cstheme="majorBidi"/>
              </w:rPr>
              <w:t>8. Dėl didelio statinio kontrasto: Reikalavimas nėra objektyvus, nes skirtingi gamintojai šį parametrą matuoja skirtingomis sąlygomis, todėl reikšmės nėra tiesiogiai palyginamos. Mokymo aplinkoje vaizdo aiškumą labiau lemia ryškumas ir ekrano paviršiaus savybės, o ne deklaruojamas kontrasto santykis. Todėl siūlome šį reikalavimą pašalinti, kaip ribojantį konkurenciją.</w:t>
            </w:r>
          </w:p>
        </w:tc>
        <w:tc>
          <w:tcPr>
            <w:tcW w:w="4246" w:type="dxa"/>
          </w:tcPr>
          <w:p w14:paraId="5AF6816C" w14:textId="77777777" w:rsidR="00782782" w:rsidRDefault="00782782" w:rsidP="009050B8">
            <w:r>
              <w:t>Naikinamas lentelės 8 punktas (Parametras - Statinis kontrastas; Reikalavimai – ne mažiau nei 4000:1).</w:t>
            </w:r>
          </w:p>
          <w:p w14:paraId="3DD0058B" w14:textId="77777777" w:rsidR="00782782" w:rsidRPr="00D41D8D" w:rsidRDefault="00782782" w:rsidP="009050B8">
            <w:r>
              <w:t>Pridedama Techninių specifikacijų nauja redakcija.</w:t>
            </w:r>
          </w:p>
        </w:tc>
      </w:tr>
      <w:tr w:rsidR="00782782" w:rsidRPr="00D41D8D" w14:paraId="3D46812D" w14:textId="77777777" w:rsidTr="009050B8">
        <w:tc>
          <w:tcPr>
            <w:tcW w:w="704" w:type="dxa"/>
          </w:tcPr>
          <w:p w14:paraId="4D9EF2DF" w14:textId="77777777" w:rsidR="00782782" w:rsidRPr="00D41D8D" w:rsidRDefault="00782782" w:rsidP="009050B8">
            <w:pPr>
              <w:jc w:val="both"/>
            </w:pPr>
            <w:r w:rsidRPr="00D41D8D">
              <w:t>2.</w:t>
            </w:r>
          </w:p>
        </w:tc>
        <w:tc>
          <w:tcPr>
            <w:tcW w:w="4678" w:type="dxa"/>
          </w:tcPr>
          <w:p w14:paraId="65D82735" w14:textId="77777777" w:rsidR="00782782" w:rsidRPr="00D41D8D" w:rsidRDefault="00782782" w:rsidP="009050B8">
            <w:r w:rsidRPr="000F1718">
              <w:rPr>
                <w:rFonts w:asciiTheme="majorBidi" w:hAnsiTheme="majorBidi" w:cstheme="majorBidi"/>
              </w:rPr>
              <w:t>18. Dėl valdymo konsolės: Reikalavimas dėl valdymo konsolės su atskirais mygtukais ekrano priekinėje dalyje yra perteklinis, nes visos išvardintos funkcijos gali būti pilnai įgyvendintos ir per programinę vartotojo sąsają (UI). Funkcinis rezultatas naudotojui išlieka identiškas, nepriklausomai nuo to, ar komanda inicijuojama fiziniu, ar virtualiu mygtuku. Todėl siūlome šį reikalavimą pašalinti, kaip perteklinį arba pagrįsti tokio reikalavimo būtinybę.</w:t>
            </w:r>
          </w:p>
        </w:tc>
        <w:tc>
          <w:tcPr>
            <w:tcW w:w="4246" w:type="dxa"/>
          </w:tcPr>
          <w:p w14:paraId="3065000F" w14:textId="77777777" w:rsidR="00782782" w:rsidRDefault="00782782" w:rsidP="009050B8">
            <w:r>
              <w:rPr>
                <w:bCs/>
              </w:rPr>
              <w:t>P</w:t>
            </w:r>
            <w:r w:rsidRPr="00BA7757">
              <w:rPr>
                <w:bCs/>
              </w:rPr>
              <w:t xml:space="preserve">erkančiajai organizacijai suteikta </w:t>
            </w:r>
            <w:proofErr w:type="spellStart"/>
            <w:r w:rsidRPr="00BA7757">
              <w:rPr>
                <w:bCs/>
              </w:rPr>
              <w:t>diskrecija</w:t>
            </w:r>
            <w:proofErr w:type="spellEnd"/>
            <w:r w:rsidRPr="00BA7757">
              <w:rPr>
                <w:bCs/>
              </w:rPr>
              <w:t xml:space="preserve"> nuspręsti dėl pirkimo objekto savybių</w:t>
            </w:r>
            <w:r>
              <w:rPr>
                <w:bCs/>
              </w:rPr>
              <w:t>. Pažymime, kad i</w:t>
            </w:r>
            <w:r w:rsidRPr="00010BA5">
              <w:t xml:space="preserve">nteraktyviais ekranais naudosis </w:t>
            </w:r>
            <w:r>
              <w:t xml:space="preserve">ir </w:t>
            </w:r>
            <w:r w:rsidRPr="00010BA5">
              <w:t>pradinių klasių mokiniai, kuriems svarbus paprastumas, aiškumas ir greita prieiga prie pagrindinių funkcijų.</w:t>
            </w:r>
            <w:r>
              <w:t xml:space="preserve"> </w:t>
            </w:r>
          </w:p>
          <w:p w14:paraId="2DC01731" w14:textId="77777777" w:rsidR="00782782" w:rsidRPr="00D41D8D" w:rsidRDefault="00782782" w:rsidP="009050B8">
            <w:r>
              <w:t>Lentelės 18 punktas (naujoje redakcijoje – 17) nekoreguojamas.</w:t>
            </w:r>
          </w:p>
        </w:tc>
      </w:tr>
      <w:tr w:rsidR="00782782" w:rsidRPr="00D41D8D" w14:paraId="2BC92CA1" w14:textId="77777777" w:rsidTr="009050B8">
        <w:tc>
          <w:tcPr>
            <w:tcW w:w="704" w:type="dxa"/>
          </w:tcPr>
          <w:p w14:paraId="54D67509" w14:textId="77777777" w:rsidR="00782782" w:rsidRPr="00D41D8D" w:rsidRDefault="00782782" w:rsidP="009050B8">
            <w:pPr>
              <w:jc w:val="both"/>
            </w:pPr>
            <w:r w:rsidRPr="00D41D8D">
              <w:t>3.</w:t>
            </w:r>
          </w:p>
        </w:tc>
        <w:tc>
          <w:tcPr>
            <w:tcW w:w="4678" w:type="dxa"/>
          </w:tcPr>
          <w:p w14:paraId="4254C45E" w14:textId="77777777" w:rsidR="00782782" w:rsidRPr="00D41D8D" w:rsidRDefault="00782782" w:rsidP="009050B8">
            <w:r w:rsidRPr="000F1718">
              <w:rPr>
                <w:rFonts w:asciiTheme="majorBidi" w:hAnsiTheme="majorBidi" w:cstheme="majorBidi"/>
              </w:rPr>
              <w:t>21. Dėl aktyvaus rašiklio: Reikalavimas dėl aktyvaus rašiklio su konkrečiais trimis režimais yra perteklinis, nes tas pačias funkcijas galima atlikti nuotolinio valdymo pulteliu ar programine sąsaja. Pažymint, jog tai turi būti konkrečiai rašiklis yra apribojama galimybė pateikti įrankius, galinčius atlikti visas išvardintas funkcijas. Svarbus yra funkcionalumas, o ne konkreti naudojama priemonė. Siūlome reikalavimą formuluoti taip, kad visos šį funkcionalumą galinčios išpildyti priemonės būtų galimos pasiūlyti.</w:t>
            </w:r>
          </w:p>
        </w:tc>
        <w:tc>
          <w:tcPr>
            <w:tcW w:w="4246" w:type="dxa"/>
          </w:tcPr>
          <w:p w14:paraId="59E26521" w14:textId="4E0E45F3" w:rsidR="00782782" w:rsidRDefault="00782782" w:rsidP="009050B8">
            <w:pPr>
              <w:rPr>
                <w:bCs/>
              </w:rPr>
            </w:pPr>
            <w:r>
              <w:rPr>
                <w:bCs/>
              </w:rPr>
              <w:t>P</w:t>
            </w:r>
            <w:r w:rsidRPr="00BA7757">
              <w:rPr>
                <w:bCs/>
              </w:rPr>
              <w:t xml:space="preserve">erkančiajai organizacijai suteikta </w:t>
            </w:r>
            <w:proofErr w:type="spellStart"/>
            <w:r w:rsidRPr="00BA7757">
              <w:rPr>
                <w:bCs/>
              </w:rPr>
              <w:t>diskrecija</w:t>
            </w:r>
            <w:proofErr w:type="spellEnd"/>
            <w:r w:rsidRPr="00BA7757">
              <w:rPr>
                <w:bCs/>
              </w:rPr>
              <w:t xml:space="preserve"> nuspręsti dėl pirkimo objekto savybių</w:t>
            </w:r>
            <w:r>
              <w:rPr>
                <w:bCs/>
              </w:rPr>
              <w:t xml:space="preserve">. Pažymime, kad </w:t>
            </w:r>
            <w:r>
              <w:t>p</w:t>
            </w:r>
            <w:r w:rsidRPr="007577A6">
              <w:t>radinių klasių mokiniams ypač svarbus aiškus, paprastas ir į piešimą ar rašymą popieriuje panašus veikimo principas</w:t>
            </w:r>
            <w:r>
              <w:t xml:space="preserve">. </w:t>
            </w:r>
            <w:r w:rsidRPr="007577A6">
              <w:t>Nuotolinio valdymo pultas ar programinė sąsaja šios patirties neužtikrina – jie reikalauja papildomos navigacijos ir nesudaro galimybės sklandžiai dirbti prie lentos.</w:t>
            </w:r>
          </w:p>
          <w:p w14:paraId="5D4E9C25" w14:textId="77777777" w:rsidR="00782782" w:rsidRPr="00D41D8D" w:rsidRDefault="00782782" w:rsidP="009050B8">
            <w:r>
              <w:lastRenderedPageBreak/>
              <w:t>Lentelės 21 punktas (naujoje redakcijoje – 20) nekoreguojamas.</w:t>
            </w:r>
          </w:p>
        </w:tc>
      </w:tr>
      <w:bookmarkEnd w:id="0"/>
    </w:tbl>
    <w:p w14:paraId="1B42F25F" w14:textId="77777777" w:rsidR="00782782" w:rsidRDefault="00782782" w:rsidP="00005F6F">
      <w:pPr>
        <w:ind w:firstLine="1418"/>
        <w:jc w:val="both"/>
      </w:pPr>
    </w:p>
    <w:p w14:paraId="0E80A69C" w14:textId="264D57B6" w:rsidR="00782782" w:rsidRPr="00782782" w:rsidRDefault="00C3739F" w:rsidP="00E5241D">
      <w:pPr>
        <w:pStyle w:val="Pagrindiniotekstotrauka2"/>
        <w:ind w:firstLine="851"/>
        <w:jc w:val="both"/>
        <w:rPr>
          <w:rFonts w:ascii="Times New Roman" w:hAnsi="Times New Roman"/>
          <w:sz w:val="24"/>
          <w:szCs w:val="24"/>
        </w:rPr>
      </w:pPr>
      <w:r w:rsidRPr="00782782">
        <w:rPr>
          <w:rFonts w:ascii="Times New Roman" w:hAnsi="Times New Roman"/>
          <w:sz w:val="24"/>
          <w:szCs w:val="24"/>
        </w:rPr>
        <w:t xml:space="preserve">Informuojame, kad vadovaudamasi </w:t>
      </w:r>
      <w:bookmarkStart w:id="1" w:name="_Hlk222476563"/>
      <w:r w:rsidRPr="00782782">
        <w:rPr>
          <w:rFonts w:ascii="Times New Roman" w:hAnsi="Times New Roman"/>
          <w:sz w:val="24"/>
          <w:szCs w:val="24"/>
        </w:rPr>
        <w:t xml:space="preserve">Viešųjų pirkimų </w:t>
      </w:r>
      <w:r w:rsidRPr="00871C26">
        <w:rPr>
          <w:rFonts w:ascii="Times New Roman" w:hAnsi="Times New Roman"/>
          <w:sz w:val="24"/>
          <w:szCs w:val="24"/>
        </w:rPr>
        <w:t>įstatymo 36 str</w:t>
      </w:r>
      <w:r w:rsidR="00871C26">
        <w:rPr>
          <w:rFonts w:ascii="Times New Roman" w:hAnsi="Times New Roman"/>
          <w:sz w:val="24"/>
          <w:szCs w:val="24"/>
        </w:rPr>
        <w:t>aipsnio</w:t>
      </w:r>
      <w:r w:rsidRPr="00871C26">
        <w:rPr>
          <w:rFonts w:ascii="Times New Roman" w:hAnsi="Times New Roman"/>
          <w:sz w:val="24"/>
          <w:szCs w:val="24"/>
        </w:rPr>
        <w:t xml:space="preserve"> 6 d. </w:t>
      </w:r>
      <w:bookmarkEnd w:id="1"/>
      <w:r w:rsidRPr="00871C26">
        <w:rPr>
          <w:rFonts w:ascii="Times New Roman" w:hAnsi="Times New Roman"/>
          <w:sz w:val="24"/>
          <w:szCs w:val="24"/>
        </w:rPr>
        <w:t>ir Pirkimo</w:t>
      </w:r>
      <w:r w:rsidRPr="00782782">
        <w:rPr>
          <w:rFonts w:ascii="Times New Roman" w:hAnsi="Times New Roman"/>
          <w:sz w:val="24"/>
          <w:szCs w:val="24"/>
        </w:rPr>
        <w:t xml:space="preserve"> sąlygų </w:t>
      </w:r>
      <w:r w:rsidR="00782782" w:rsidRPr="00782782">
        <w:rPr>
          <w:rFonts w:ascii="Times New Roman" w:hAnsi="Times New Roman"/>
          <w:sz w:val="24"/>
          <w:szCs w:val="24"/>
        </w:rPr>
        <w:t>6</w:t>
      </w:r>
      <w:r w:rsidRPr="00782782">
        <w:rPr>
          <w:rFonts w:ascii="Times New Roman" w:hAnsi="Times New Roman"/>
          <w:sz w:val="24"/>
          <w:szCs w:val="24"/>
        </w:rPr>
        <w:t>.</w:t>
      </w:r>
      <w:r w:rsidR="00782782" w:rsidRPr="00782782">
        <w:rPr>
          <w:rFonts w:ascii="Times New Roman" w:hAnsi="Times New Roman"/>
          <w:sz w:val="24"/>
          <w:szCs w:val="24"/>
        </w:rPr>
        <w:t>11</w:t>
      </w:r>
      <w:r w:rsidRPr="00782782">
        <w:rPr>
          <w:rFonts w:ascii="Times New Roman" w:hAnsi="Times New Roman"/>
          <w:sz w:val="24"/>
          <w:szCs w:val="24"/>
        </w:rPr>
        <w:t xml:space="preserve"> punktu, </w:t>
      </w:r>
      <w:r w:rsidR="00782782" w:rsidRPr="00782782">
        <w:rPr>
          <w:rFonts w:ascii="Times New Roman" w:hAnsi="Times New Roman"/>
          <w:sz w:val="24"/>
          <w:szCs w:val="24"/>
        </w:rPr>
        <w:t>viešojo pirkimo k</w:t>
      </w:r>
      <w:r w:rsidRPr="00782782">
        <w:rPr>
          <w:rFonts w:ascii="Times New Roman" w:hAnsi="Times New Roman"/>
          <w:sz w:val="24"/>
          <w:szCs w:val="24"/>
        </w:rPr>
        <w:t xml:space="preserve">omisija nusprendė </w:t>
      </w:r>
      <w:r w:rsidR="00782782" w:rsidRPr="00782782">
        <w:rPr>
          <w:rFonts w:ascii="Times New Roman" w:hAnsi="Times New Roman"/>
          <w:sz w:val="24"/>
          <w:szCs w:val="24"/>
        </w:rPr>
        <w:t>savo iniciatyva</w:t>
      </w:r>
      <w:r w:rsidR="00782782" w:rsidRPr="00782782">
        <w:rPr>
          <w:rFonts w:ascii="Times New Roman" w:hAnsi="Times New Roman"/>
          <w:sz w:val="24"/>
          <w:szCs w:val="24"/>
        </w:rPr>
        <w:t xml:space="preserve"> </w:t>
      </w:r>
      <w:r w:rsidR="00782782" w:rsidRPr="00782782">
        <w:rPr>
          <w:rFonts w:ascii="Times New Roman" w:hAnsi="Times New Roman"/>
          <w:sz w:val="24"/>
          <w:szCs w:val="24"/>
        </w:rPr>
        <w:t xml:space="preserve">nukelti pasiūlymų pateikimo terminą, atitinkamai patikslinant </w:t>
      </w:r>
      <w:r w:rsidR="00782782" w:rsidRPr="00782782">
        <w:rPr>
          <w:rFonts w:ascii="Times New Roman" w:hAnsi="Times New Roman"/>
          <w:iCs/>
          <w:sz w:val="24"/>
          <w:szCs w:val="24"/>
        </w:rPr>
        <w:t xml:space="preserve">pirkimo </w:t>
      </w:r>
      <w:r w:rsidR="00782782" w:rsidRPr="00782782">
        <w:rPr>
          <w:rFonts w:ascii="Times New Roman" w:hAnsi="Times New Roman"/>
          <w:sz w:val="24"/>
          <w:szCs w:val="24"/>
        </w:rPr>
        <w:t xml:space="preserve">skelbimo Sk-1 originalo </w:t>
      </w:r>
      <w:r w:rsidR="00782782" w:rsidRPr="00782782">
        <w:rPr>
          <w:rFonts w:ascii="Times New Roman" w:hAnsi="Times New Roman"/>
          <w:iCs/>
          <w:sz w:val="24"/>
          <w:szCs w:val="24"/>
        </w:rPr>
        <w:t>informaciją</w:t>
      </w:r>
      <w:r w:rsidR="00782782" w:rsidRPr="00782782">
        <w:rPr>
          <w:rFonts w:ascii="Times New Roman" w:hAnsi="Times New Roman"/>
          <w:sz w:val="24"/>
          <w:szCs w:val="24"/>
        </w:rPr>
        <w:t xml:space="preserve"> ir datas išdėstant taip:</w:t>
      </w:r>
    </w:p>
    <w:p w14:paraId="78845F99" w14:textId="06477875" w:rsidR="00782782" w:rsidRPr="00782782" w:rsidRDefault="00782782" w:rsidP="00E5241D">
      <w:pPr>
        <w:pStyle w:val="Pagrindiniotekstotrauka2"/>
        <w:ind w:firstLine="851"/>
        <w:jc w:val="both"/>
        <w:rPr>
          <w:rFonts w:ascii="Times New Roman" w:hAnsi="Times New Roman"/>
          <w:sz w:val="24"/>
          <w:szCs w:val="24"/>
        </w:rPr>
      </w:pPr>
      <w:r w:rsidRPr="00782782">
        <w:rPr>
          <w:rFonts w:ascii="Times New Roman" w:hAnsi="Times New Roman"/>
          <w:sz w:val="24"/>
          <w:szCs w:val="24"/>
        </w:rPr>
        <w:t>1) pasiūlymų pateikimo terminas perkeliamas iš 2026</w:t>
      </w:r>
      <w:r w:rsidR="00A5381D">
        <w:rPr>
          <w:rFonts w:ascii="Times New Roman" w:hAnsi="Times New Roman"/>
          <w:sz w:val="24"/>
          <w:szCs w:val="24"/>
        </w:rPr>
        <w:t>-02-</w:t>
      </w:r>
      <w:r w:rsidRPr="00782782">
        <w:rPr>
          <w:rFonts w:ascii="Times New Roman" w:hAnsi="Times New Roman"/>
          <w:sz w:val="24"/>
          <w:szCs w:val="24"/>
        </w:rPr>
        <w:t>25  10:00 val. į 2026</w:t>
      </w:r>
      <w:r w:rsidR="00A5381D">
        <w:rPr>
          <w:rFonts w:ascii="Times New Roman" w:hAnsi="Times New Roman"/>
          <w:sz w:val="24"/>
          <w:szCs w:val="24"/>
        </w:rPr>
        <w:t>-03-0</w:t>
      </w:r>
      <w:r w:rsidRPr="00782782">
        <w:rPr>
          <w:rFonts w:ascii="Times New Roman" w:hAnsi="Times New Roman"/>
          <w:sz w:val="24"/>
          <w:szCs w:val="24"/>
        </w:rPr>
        <w:t xml:space="preserve">3 </w:t>
      </w:r>
      <w:r w:rsidR="00E5241D">
        <w:rPr>
          <w:rFonts w:ascii="Times New Roman" w:hAnsi="Times New Roman"/>
          <w:sz w:val="24"/>
          <w:szCs w:val="24"/>
        </w:rPr>
        <w:t xml:space="preserve"> </w:t>
      </w:r>
      <w:r w:rsidRPr="00782782">
        <w:rPr>
          <w:rFonts w:ascii="Times New Roman" w:hAnsi="Times New Roman"/>
          <w:sz w:val="24"/>
          <w:szCs w:val="24"/>
        </w:rPr>
        <w:t>10:00 val.</w:t>
      </w:r>
    </w:p>
    <w:p w14:paraId="095461E1" w14:textId="2AB0C0DA" w:rsidR="00782782" w:rsidRPr="00782782" w:rsidRDefault="00782782" w:rsidP="00E5241D">
      <w:pPr>
        <w:pStyle w:val="Pagrindiniotekstotrauka2"/>
        <w:ind w:firstLine="851"/>
        <w:jc w:val="both"/>
        <w:rPr>
          <w:rFonts w:ascii="Times New Roman" w:hAnsi="Times New Roman"/>
          <w:sz w:val="24"/>
          <w:szCs w:val="24"/>
        </w:rPr>
      </w:pPr>
      <w:r w:rsidRPr="00782782">
        <w:rPr>
          <w:rFonts w:ascii="Times New Roman" w:hAnsi="Times New Roman"/>
          <w:sz w:val="24"/>
          <w:szCs w:val="24"/>
        </w:rPr>
        <w:t>2) susipažinimo su pasiūlymais data perkeliama iš 2026</w:t>
      </w:r>
      <w:r w:rsidR="00A5381D">
        <w:rPr>
          <w:rFonts w:ascii="Times New Roman" w:hAnsi="Times New Roman"/>
          <w:sz w:val="24"/>
          <w:szCs w:val="24"/>
        </w:rPr>
        <w:t>-02-</w:t>
      </w:r>
      <w:r w:rsidRPr="00782782">
        <w:rPr>
          <w:rFonts w:ascii="Times New Roman" w:hAnsi="Times New Roman"/>
          <w:sz w:val="24"/>
          <w:szCs w:val="24"/>
        </w:rPr>
        <w:t xml:space="preserve">25 </w:t>
      </w:r>
      <w:r w:rsidR="00E5241D">
        <w:rPr>
          <w:rFonts w:ascii="Times New Roman" w:hAnsi="Times New Roman"/>
          <w:sz w:val="24"/>
          <w:szCs w:val="24"/>
        </w:rPr>
        <w:t xml:space="preserve"> </w:t>
      </w:r>
      <w:r w:rsidRPr="00782782">
        <w:rPr>
          <w:rFonts w:ascii="Times New Roman" w:hAnsi="Times New Roman"/>
          <w:sz w:val="24"/>
          <w:szCs w:val="24"/>
        </w:rPr>
        <w:t>10:30 val. į 2026</w:t>
      </w:r>
      <w:r w:rsidR="00A5381D">
        <w:rPr>
          <w:rFonts w:ascii="Times New Roman" w:hAnsi="Times New Roman"/>
          <w:sz w:val="24"/>
          <w:szCs w:val="24"/>
        </w:rPr>
        <w:t>-03-03</w:t>
      </w:r>
      <w:r w:rsidRPr="00782782">
        <w:rPr>
          <w:rFonts w:ascii="Times New Roman" w:hAnsi="Times New Roman"/>
          <w:sz w:val="24"/>
          <w:szCs w:val="24"/>
        </w:rPr>
        <w:t xml:space="preserve"> </w:t>
      </w:r>
      <w:r w:rsidR="00E5241D">
        <w:rPr>
          <w:rFonts w:ascii="Times New Roman" w:hAnsi="Times New Roman"/>
          <w:sz w:val="24"/>
          <w:szCs w:val="24"/>
        </w:rPr>
        <w:t xml:space="preserve"> </w:t>
      </w:r>
      <w:r w:rsidRPr="00782782">
        <w:rPr>
          <w:rFonts w:ascii="Times New Roman" w:hAnsi="Times New Roman"/>
          <w:sz w:val="24"/>
          <w:szCs w:val="24"/>
        </w:rPr>
        <w:t>10:30 val.</w:t>
      </w:r>
    </w:p>
    <w:p w14:paraId="053B9A6E" w14:textId="2BB3C931" w:rsidR="00782782" w:rsidRPr="00782782" w:rsidRDefault="00782782" w:rsidP="00E5241D">
      <w:pPr>
        <w:pStyle w:val="Pagrindiniotekstotrauka2"/>
        <w:ind w:firstLine="851"/>
        <w:jc w:val="both"/>
        <w:rPr>
          <w:rFonts w:ascii="Times New Roman" w:hAnsi="Times New Roman"/>
          <w:iCs/>
          <w:sz w:val="24"/>
          <w:szCs w:val="24"/>
        </w:rPr>
      </w:pPr>
      <w:r w:rsidRPr="00782782">
        <w:rPr>
          <w:rFonts w:ascii="Times New Roman" w:hAnsi="Times New Roman"/>
          <w:iCs/>
          <w:sz w:val="24"/>
          <w:szCs w:val="24"/>
        </w:rPr>
        <w:t>3) Kadangi tiekėjams prašymo teikti paaiškinim</w:t>
      </w:r>
      <w:r w:rsidR="00B00925">
        <w:rPr>
          <w:rFonts w:ascii="Times New Roman" w:hAnsi="Times New Roman"/>
          <w:iCs/>
          <w:sz w:val="24"/>
          <w:szCs w:val="24"/>
        </w:rPr>
        <w:t>us</w:t>
      </w:r>
      <w:r w:rsidR="00C20B8F">
        <w:rPr>
          <w:rFonts w:ascii="Times New Roman" w:hAnsi="Times New Roman"/>
          <w:iCs/>
          <w:sz w:val="24"/>
          <w:szCs w:val="24"/>
        </w:rPr>
        <w:t xml:space="preserve"> (klausimus)</w:t>
      </w:r>
      <w:r w:rsidRPr="00782782">
        <w:rPr>
          <w:rFonts w:ascii="Times New Roman" w:hAnsi="Times New Roman"/>
          <w:iCs/>
          <w:sz w:val="24"/>
          <w:szCs w:val="24"/>
        </w:rPr>
        <w:t xml:space="preserve"> terminas jau yra praėjęs ir</w:t>
      </w:r>
      <w:r w:rsidR="00C96301">
        <w:rPr>
          <w:rFonts w:ascii="Times New Roman" w:hAnsi="Times New Roman"/>
          <w:iCs/>
          <w:sz w:val="24"/>
          <w:szCs w:val="24"/>
        </w:rPr>
        <w:t xml:space="preserve"> </w:t>
      </w:r>
      <w:r w:rsidR="00C96301">
        <w:rPr>
          <w:rFonts w:asciiTheme="majorBidi" w:hAnsiTheme="majorBidi" w:cstheme="majorBidi"/>
          <w:iCs/>
          <w:sz w:val="24"/>
          <w:szCs w:val="24"/>
        </w:rPr>
        <w:t>CVP IS</w:t>
      </w:r>
      <w:r w:rsidRPr="00782782">
        <w:rPr>
          <w:rFonts w:ascii="Times New Roman" w:hAnsi="Times New Roman"/>
          <w:iCs/>
          <w:sz w:val="24"/>
          <w:szCs w:val="24"/>
        </w:rPr>
        <w:t xml:space="preserve"> sistemoje jo pakeisti nėra galimybės, teikiama informacija apie šio termino pakeitimą: </w:t>
      </w:r>
      <w:r w:rsidRPr="00782782">
        <w:rPr>
          <w:rFonts w:ascii="Times New Roman" w:hAnsi="Times New Roman"/>
          <w:sz w:val="24"/>
          <w:szCs w:val="24"/>
        </w:rPr>
        <w:t>iš 2026</w:t>
      </w:r>
      <w:r w:rsidR="00A5381D">
        <w:rPr>
          <w:rFonts w:ascii="Times New Roman" w:hAnsi="Times New Roman"/>
          <w:sz w:val="24"/>
          <w:szCs w:val="24"/>
        </w:rPr>
        <w:t>-02-</w:t>
      </w:r>
      <w:r w:rsidRPr="00782782">
        <w:rPr>
          <w:rFonts w:ascii="Times New Roman" w:hAnsi="Times New Roman"/>
          <w:sz w:val="24"/>
          <w:szCs w:val="24"/>
        </w:rPr>
        <w:t>18  23:45 val. į 2026</w:t>
      </w:r>
      <w:r w:rsidR="00A5381D">
        <w:rPr>
          <w:rFonts w:ascii="Times New Roman" w:hAnsi="Times New Roman"/>
          <w:sz w:val="24"/>
          <w:szCs w:val="24"/>
        </w:rPr>
        <w:t>-02-</w:t>
      </w:r>
      <w:r w:rsidRPr="00782782">
        <w:rPr>
          <w:rFonts w:ascii="Times New Roman" w:hAnsi="Times New Roman"/>
          <w:sz w:val="24"/>
          <w:szCs w:val="24"/>
        </w:rPr>
        <w:t>24  23:45 val.</w:t>
      </w:r>
    </w:p>
    <w:p w14:paraId="4338AC5F" w14:textId="5AA02F72" w:rsidR="00782782" w:rsidRDefault="00782782" w:rsidP="00005F6F">
      <w:pPr>
        <w:ind w:firstLine="1418"/>
        <w:jc w:val="both"/>
      </w:pPr>
    </w:p>
    <w:p w14:paraId="1CC83BC4" w14:textId="77777777" w:rsidR="00005F6F" w:rsidRPr="00826410" w:rsidRDefault="00005F6F" w:rsidP="00005F6F">
      <w:pPr>
        <w:pStyle w:val="Pagrindiniotekstotrauka2"/>
        <w:ind w:firstLine="0"/>
        <w:jc w:val="both"/>
        <w:rPr>
          <w:rFonts w:ascii="Times New Roman" w:hAnsi="Times New Roman"/>
          <w:sz w:val="24"/>
          <w:szCs w:val="24"/>
        </w:rPr>
      </w:pPr>
      <w:r w:rsidRPr="00826410">
        <w:rPr>
          <w:rFonts w:ascii="Times New Roman" w:hAnsi="Times New Roman"/>
          <w:sz w:val="24"/>
          <w:szCs w:val="24"/>
        </w:rPr>
        <w:t>PRIDEDAMA:</w:t>
      </w:r>
    </w:p>
    <w:p w14:paraId="2B73F483" w14:textId="427DC7F5" w:rsidR="00005F6F" w:rsidRPr="00826410" w:rsidRDefault="00782782" w:rsidP="00005F6F">
      <w:r w:rsidRPr="000F1718">
        <w:rPr>
          <w:bCs/>
        </w:rPr>
        <w:t>Pirkimo sąlygų 3 priedas</w:t>
      </w:r>
      <w:r>
        <w:rPr>
          <w:bCs/>
        </w:rPr>
        <w:t xml:space="preserve"> - </w:t>
      </w:r>
      <w:r w:rsidRPr="000F1718">
        <w:rPr>
          <w:bCs/>
        </w:rPr>
        <w:t>Techninės specifikacijos</w:t>
      </w:r>
      <w:r>
        <w:rPr>
          <w:bCs/>
        </w:rPr>
        <w:t>,</w:t>
      </w:r>
      <w:r w:rsidRPr="000F1718">
        <w:rPr>
          <w:bCs/>
        </w:rPr>
        <w:t xml:space="preserve"> 2026-02-20</w:t>
      </w:r>
      <w:r>
        <w:rPr>
          <w:bCs/>
        </w:rPr>
        <w:t xml:space="preserve"> r</w:t>
      </w:r>
      <w:r w:rsidRPr="000F1718">
        <w:rPr>
          <w:bCs/>
        </w:rPr>
        <w:t>edakcija</w:t>
      </w:r>
      <w:r>
        <w:rPr>
          <w:bCs/>
        </w:rPr>
        <w:t>.</w:t>
      </w:r>
    </w:p>
    <w:p w14:paraId="497BA6AA" w14:textId="77777777" w:rsidR="00005F6F" w:rsidRPr="00826410" w:rsidRDefault="00005F6F" w:rsidP="00005F6F"/>
    <w:p w14:paraId="2BFC301D" w14:textId="77777777" w:rsidR="001019B0" w:rsidRPr="00826410" w:rsidRDefault="001019B0" w:rsidP="00664072"/>
    <w:p w14:paraId="065D6CDF" w14:textId="2987E3C6" w:rsidR="00382263" w:rsidRPr="00826410" w:rsidRDefault="00664072" w:rsidP="00BE1A17">
      <w:r w:rsidRPr="00826410">
        <w:t>Viešojo pirkimo komisija</w:t>
      </w:r>
    </w:p>
    <w:sectPr w:rsidR="00382263" w:rsidRPr="00826410" w:rsidSect="008709D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FE5B" w14:textId="77777777" w:rsidR="008709DC" w:rsidRDefault="008709DC" w:rsidP="008709DC">
      <w:r>
        <w:separator/>
      </w:r>
    </w:p>
  </w:endnote>
  <w:endnote w:type="continuationSeparator" w:id="0">
    <w:p w14:paraId="586D660E" w14:textId="77777777" w:rsidR="008709DC" w:rsidRDefault="008709DC" w:rsidP="0087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7A1C" w14:textId="77777777" w:rsidR="008709DC" w:rsidRDefault="008709DC" w:rsidP="008709DC">
      <w:r>
        <w:separator/>
      </w:r>
    </w:p>
  </w:footnote>
  <w:footnote w:type="continuationSeparator" w:id="0">
    <w:p w14:paraId="7A582DA9" w14:textId="77777777" w:rsidR="008709DC" w:rsidRDefault="008709DC" w:rsidP="0087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98889"/>
      <w:docPartObj>
        <w:docPartGallery w:val="Page Numbers (Top of Page)"/>
        <w:docPartUnique/>
      </w:docPartObj>
    </w:sdtPr>
    <w:sdtEndPr/>
    <w:sdtContent>
      <w:p w14:paraId="74C2E9FF" w14:textId="77777777" w:rsidR="008709DC" w:rsidRDefault="008709DC">
        <w:pPr>
          <w:pStyle w:val="Antrats"/>
          <w:jc w:val="center"/>
        </w:pPr>
        <w:r>
          <w:fldChar w:fldCharType="begin"/>
        </w:r>
        <w:r>
          <w:instrText>PAGE   \* MERGEFORMAT</w:instrText>
        </w:r>
        <w:r>
          <w:fldChar w:fldCharType="separate"/>
        </w:r>
        <w:r>
          <w:t>2</w:t>
        </w:r>
        <w:r>
          <w:fldChar w:fldCharType="end"/>
        </w:r>
      </w:p>
    </w:sdtContent>
  </w:sdt>
  <w:p w14:paraId="7497E414" w14:textId="77777777" w:rsidR="008709DC" w:rsidRDefault="0087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53DAA"/>
    <w:multiLevelType w:val="hybridMultilevel"/>
    <w:tmpl w:val="14B49184"/>
    <w:lvl w:ilvl="0" w:tplc="0622B3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476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72"/>
    <w:rsid w:val="00004883"/>
    <w:rsid w:val="00005F6F"/>
    <w:rsid w:val="00052818"/>
    <w:rsid w:val="00053C8C"/>
    <w:rsid w:val="00060BAF"/>
    <w:rsid w:val="00080D94"/>
    <w:rsid w:val="00081491"/>
    <w:rsid w:val="001019B0"/>
    <w:rsid w:val="00126893"/>
    <w:rsid w:val="002043AF"/>
    <w:rsid w:val="00204B2A"/>
    <w:rsid w:val="00291D4D"/>
    <w:rsid w:val="002A3DE3"/>
    <w:rsid w:val="002E73F9"/>
    <w:rsid w:val="002F16F3"/>
    <w:rsid w:val="00313465"/>
    <w:rsid w:val="003173A8"/>
    <w:rsid w:val="00331196"/>
    <w:rsid w:val="00382263"/>
    <w:rsid w:val="00396583"/>
    <w:rsid w:val="00416024"/>
    <w:rsid w:val="00423329"/>
    <w:rsid w:val="0044718D"/>
    <w:rsid w:val="00494F3D"/>
    <w:rsid w:val="004D5498"/>
    <w:rsid w:val="00502C09"/>
    <w:rsid w:val="00515F52"/>
    <w:rsid w:val="005D6DA7"/>
    <w:rsid w:val="00664072"/>
    <w:rsid w:val="006863AC"/>
    <w:rsid w:val="006C06F4"/>
    <w:rsid w:val="00702FC2"/>
    <w:rsid w:val="00734643"/>
    <w:rsid w:val="00747C99"/>
    <w:rsid w:val="00766852"/>
    <w:rsid w:val="007805F4"/>
    <w:rsid w:val="0078199D"/>
    <w:rsid w:val="00782782"/>
    <w:rsid w:val="007C01DE"/>
    <w:rsid w:val="00825B08"/>
    <w:rsid w:val="00826410"/>
    <w:rsid w:val="008709DC"/>
    <w:rsid w:val="00871C26"/>
    <w:rsid w:val="00880C04"/>
    <w:rsid w:val="008C4ADF"/>
    <w:rsid w:val="008D228B"/>
    <w:rsid w:val="00917513"/>
    <w:rsid w:val="00921D49"/>
    <w:rsid w:val="00923935"/>
    <w:rsid w:val="00923C37"/>
    <w:rsid w:val="00962524"/>
    <w:rsid w:val="00993B81"/>
    <w:rsid w:val="009D12E1"/>
    <w:rsid w:val="00A00B61"/>
    <w:rsid w:val="00A31979"/>
    <w:rsid w:val="00A5381D"/>
    <w:rsid w:val="00A55A54"/>
    <w:rsid w:val="00A80537"/>
    <w:rsid w:val="00A86C0E"/>
    <w:rsid w:val="00A9364D"/>
    <w:rsid w:val="00AA25EF"/>
    <w:rsid w:val="00AC003E"/>
    <w:rsid w:val="00AF1F55"/>
    <w:rsid w:val="00AF39F8"/>
    <w:rsid w:val="00B00925"/>
    <w:rsid w:val="00B03AF2"/>
    <w:rsid w:val="00B2148F"/>
    <w:rsid w:val="00B526FD"/>
    <w:rsid w:val="00B56D27"/>
    <w:rsid w:val="00B83970"/>
    <w:rsid w:val="00BA283A"/>
    <w:rsid w:val="00BE1A17"/>
    <w:rsid w:val="00BE7D78"/>
    <w:rsid w:val="00C02076"/>
    <w:rsid w:val="00C20B8F"/>
    <w:rsid w:val="00C27135"/>
    <w:rsid w:val="00C32344"/>
    <w:rsid w:val="00C3739F"/>
    <w:rsid w:val="00C5021A"/>
    <w:rsid w:val="00C6402A"/>
    <w:rsid w:val="00C763E9"/>
    <w:rsid w:val="00C96301"/>
    <w:rsid w:val="00CD1C8E"/>
    <w:rsid w:val="00CD3753"/>
    <w:rsid w:val="00D40690"/>
    <w:rsid w:val="00D562CD"/>
    <w:rsid w:val="00D8151B"/>
    <w:rsid w:val="00D9182D"/>
    <w:rsid w:val="00DA6A87"/>
    <w:rsid w:val="00DA6F75"/>
    <w:rsid w:val="00DB18C9"/>
    <w:rsid w:val="00DE0164"/>
    <w:rsid w:val="00DE3D9F"/>
    <w:rsid w:val="00E26393"/>
    <w:rsid w:val="00E27ACC"/>
    <w:rsid w:val="00E5241D"/>
    <w:rsid w:val="00E53049"/>
    <w:rsid w:val="00EB1B20"/>
    <w:rsid w:val="00EE2AB4"/>
    <w:rsid w:val="00EF175A"/>
    <w:rsid w:val="00F93ABA"/>
    <w:rsid w:val="00F971BB"/>
    <w:rsid w:val="00FA3681"/>
    <w:rsid w:val="00FD6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A5E9"/>
  <w15:chartTrackingRefBased/>
  <w15:docId w15:val="{5A4FC2DA-72ED-41E1-A8AF-E15EB607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0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64072"/>
    <w:pPr>
      <w:tabs>
        <w:tab w:val="center" w:pos="4153"/>
        <w:tab w:val="right" w:pos="8306"/>
      </w:tabs>
    </w:pPr>
  </w:style>
  <w:style w:type="character" w:customStyle="1" w:styleId="AntratsDiagrama">
    <w:name w:val="Antraštės Diagrama"/>
    <w:basedOn w:val="Numatytasispastraiposriftas"/>
    <w:link w:val="Antrats"/>
    <w:uiPriority w:val="99"/>
    <w:rsid w:val="00664072"/>
    <w:rPr>
      <w:rFonts w:ascii="Times New Roman" w:eastAsia="Times New Roman" w:hAnsi="Times New Roman" w:cs="Times New Roman"/>
      <w:sz w:val="24"/>
      <w:szCs w:val="24"/>
    </w:rPr>
  </w:style>
  <w:style w:type="paragraph" w:styleId="Betarp">
    <w:name w:val="No Spacing"/>
    <w:link w:val="BetarpDiagrama"/>
    <w:uiPriority w:val="1"/>
    <w:qFormat/>
    <w:rsid w:val="00664072"/>
    <w:pPr>
      <w:spacing w:after="0" w:line="240" w:lineRule="auto"/>
    </w:pPr>
    <w:rPr>
      <w:rFonts w:ascii="Times New Roman" w:eastAsia="Times New Roman" w:hAnsi="Times New Roman" w:cs="Times New Roman"/>
      <w:sz w:val="24"/>
      <w:szCs w:val="20"/>
      <w:lang w:eastAsia="lt-LT"/>
    </w:rPr>
  </w:style>
  <w:style w:type="table" w:customStyle="1" w:styleId="Lentelstinklelis112">
    <w:name w:val="Lentelės tinklelis112"/>
    <w:basedOn w:val="prastojilentel"/>
    <w:next w:val="Lentelstinklelis"/>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Sąrašo pastraipa2,List Paragraph21,lp1,Bullet 1,Use Case List Paragraph,List Paragraph111,Paragraph,List Paragraph Red,Sąrašo pastraipa11,Bullet EY,List Paragraph1,List Paragraph2,Numbering,ERP-List Paragraph,List Paragraph11"/>
    <w:basedOn w:val="prastasis"/>
    <w:link w:val="SraopastraipaDiagrama"/>
    <w:uiPriority w:val="34"/>
    <w:qFormat/>
    <w:rsid w:val="00E26393"/>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Sąrašo pastraipa2 Diagrama,List Paragraph21 Diagrama,lp1 Diagrama,Bullet 1 Diagrama,Use Case List Paragraph Diagrama,List Paragraph111 Diagrama,Paragraph Diagrama,List Paragraph Red Diagrama,Bullet EY Diagrama"/>
    <w:link w:val="Sraopastraipa"/>
    <w:uiPriority w:val="34"/>
    <w:qFormat/>
    <w:locked/>
    <w:rsid w:val="00E26393"/>
  </w:style>
  <w:style w:type="paragraph" w:customStyle="1" w:styleId="Default">
    <w:name w:val="Default"/>
    <w:link w:val="DefaultDiagrama"/>
    <w:rsid w:val="00FA3681"/>
    <w:pPr>
      <w:autoSpaceDE w:val="0"/>
      <w:autoSpaceDN w:val="0"/>
      <w:adjustRightInd w:val="0"/>
      <w:spacing w:after="0" w:line="240" w:lineRule="auto"/>
    </w:pPr>
    <w:rPr>
      <w:rFonts w:ascii="Calibri" w:hAnsi="Calibri" w:cs="Calibri"/>
      <w:color w:val="000000"/>
      <w:sz w:val="24"/>
      <w:szCs w:val="24"/>
    </w:rPr>
  </w:style>
  <w:style w:type="character" w:customStyle="1" w:styleId="BetarpDiagrama">
    <w:name w:val="Be tarpų Diagrama"/>
    <w:link w:val="Betarp"/>
    <w:uiPriority w:val="99"/>
    <w:rsid w:val="00CD1C8E"/>
    <w:rPr>
      <w:rFonts w:ascii="Times New Roman" w:eastAsia="Times New Roman" w:hAnsi="Times New Roman" w:cs="Times New Roman"/>
      <w:sz w:val="24"/>
      <w:szCs w:val="20"/>
      <w:lang w:eastAsia="lt-LT"/>
    </w:rPr>
  </w:style>
  <w:style w:type="paragraph" w:customStyle="1" w:styleId="Betarp1">
    <w:name w:val="Be tarpų1"/>
    <w:qFormat/>
    <w:rsid w:val="00CD1C8E"/>
    <w:pPr>
      <w:spacing w:after="0" w:line="240" w:lineRule="auto"/>
    </w:pPr>
    <w:rPr>
      <w:rFonts w:ascii="Times New Roman" w:eastAsia="Times New Roman" w:hAnsi="Times New Roman" w:cs="Times New Roman"/>
      <w:sz w:val="24"/>
    </w:rPr>
  </w:style>
  <w:style w:type="paragraph" w:styleId="Pagrindiniotekstotrauka2">
    <w:name w:val="Body Text Indent 2"/>
    <w:basedOn w:val="prastasis"/>
    <w:link w:val="Pagrindiniotekstotrauka2Diagrama"/>
    <w:unhideWhenUsed/>
    <w:rsid w:val="001019B0"/>
    <w:pPr>
      <w:ind w:firstLine="426"/>
    </w:pPr>
    <w:rPr>
      <w:rFonts w:ascii="Arial" w:hAnsi="Arial"/>
      <w:sz w:val="20"/>
      <w:szCs w:val="20"/>
    </w:rPr>
  </w:style>
  <w:style w:type="character" w:customStyle="1" w:styleId="Pagrindiniotekstotrauka2Diagrama">
    <w:name w:val="Pagrindinio teksto įtrauka 2 Diagrama"/>
    <w:basedOn w:val="Numatytasispastraiposriftas"/>
    <w:link w:val="Pagrindiniotekstotrauka2"/>
    <w:rsid w:val="001019B0"/>
    <w:rPr>
      <w:rFonts w:ascii="Arial" w:eastAsia="Times New Roman" w:hAnsi="Arial" w:cs="Times New Roman"/>
      <w:sz w:val="20"/>
      <w:szCs w:val="20"/>
    </w:rPr>
  </w:style>
  <w:style w:type="paragraph" w:styleId="Porat">
    <w:name w:val="footer"/>
    <w:basedOn w:val="prastasis"/>
    <w:link w:val="PoratDiagrama"/>
    <w:uiPriority w:val="99"/>
    <w:unhideWhenUsed/>
    <w:rsid w:val="008709DC"/>
    <w:pPr>
      <w:tabs>
        <w:tab w:val="center" w:pos="4819"/>
        <w:tab w:val="right" w:pos="9638"/>
      </w:tabs>
    </w:pPr>
  </w:style>
  <w:style w:type="character" w:customStyle="1" w:styleId="PoratDiagrama">
    <w:name w:val="Poraštė Diagrama"/>
    <w:basedOn w:val="Numatytasispastraiposriftas"/>
    <w:link w:val="Porat"/>
    <w:uiPriority w:val="99"/>
    <w:rsid w:val="008709DC"/>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C3739F"/>
    <w:rPr>
      <w:color w:val="0563C1" w:themeColor="hyperlink"/>
      <w:u w:val="single"/>
    </w:rPr>
  </w:style>
  <w:style w:type="character" w:customStyle="1" w:styleId="DefaultDiagrama">
    <w:name w:val="Default Diagrama"/>
    <w:link w:val="Default"/>
    <w:locked/>
    <w:rsid w:val="00C3739F"/>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2308</Words>
  <Characters>1316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24</cp:revision>
  <cp:lastPrinted>2024-03-13T07:29:00Z</cp:lastPrinted>
  <dcterms:created xsi:type="dcterms:W3CDTF">2024-06-18T13:01:00Z</dcterms:created>
  <dcterms:modified xsi:type="dcterms:W3CDTF">2026-02-20T09:10:00Z</dcterms:modified>
</cp:coreProperties>
</file>