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C23442"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253B33C3" w:rsidR="00B757D3" w:rsidRPr="003A1BEB" w:rsidRDefault="00B757D3" w:rsidP="00B757D3">
      <w:pPr>
        <w:jc w:val="center"/>
        <w:rPr>
          <w:b/>
          <w:bCs/>
          <w:caps/>
          <w:smallCaps/>
          <w:color w:val="000000"/>
          <w:lang w:val="lt-LT" w:eastAsia="en-US"/>
        </w:rPr>
      </w:pPr>
      <w:r w:rsidRPr="003A1BEB">
        <w:rPr>
          <w:b/>
          <w:color w:val="000000"/>
          <w:lang w:val="lt-LT" w:eastAsia="en-US"/>
        </w:rPr>
        <w:t>„</w:t>
      </w:r>
      <w:r w:rsidR="00C23442">
        <w:rPr>
          <w:b/>
          <w:color w:val="000000"/>
          <w:lang w:val="lt-LT" w:eastAsia="en-US"/>
        </w:rPr>
        <w:t>GLIUKOZĖS MILTELIAI</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Pr="003A1BEB" w:rsidRDefault="00B757D3" w:rsidP="00A96B4A">
      <w:pPr>
        <w:rPr>
          <w:b/>
          <w:lang w:val="lt-LT"/>
        </w:rPr>
      </w:pPr>
    </w:p>
    <w:p w14:paraId="528D936F" w14:textId="77777777" w:rsidR="00B757D3" w:rsidRPr="003A1BEB" w:rsidRDefault="00B757D3" w:rsidP="00A96B4A">
      <w:pPr>
        <w:rPr>
          <w:b/>
          <w:lang w:val="lt-LT"/>
        </w:rPr>
      </w:pPr>
    </w:p>
    <w:p w14:paraId="1C5DDFA5" w14:textId="77777777" w:rsidR="00B757D3" w:rsidRPr="003A1BEB" w:rsidRDefault="00B757D3" w:rsidP="00A96B4A">
      <w:pPr>
        <w:rPr>
          <w:b/>
          <w:lang w:val="lt-LT"/>
        </w:rPr>
      </w:pPr>
    </w:p>
    <w:p w14:paraId="5616C1E4" w14:textId="77777777" w:rsidR="0070333E" w:rsidRPr="003A1BEB" w:rsidRDefault="0070333E" w:rsidP="00A96B4A">
      <w:pPr>
        <w:rPr>
          <w:b/>
          <w:lang w:val="lt-LT"/>
        </w:rPr>
      </w:pPr>
    </w:p>
    <w:p w14:paraId="61E85D32" w14:textId="77777777" w:rsidR="00EA2BA5" w:rsidRPr="003A1BEB" w:rsidRDefault="00EA2BA5"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51C06EAE"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C23442">
        <w:rPr>
          <w:rFonts w:eastAsia="Calibri"/>
          <w:color w:val="000000"/>
          <w:lang w:val="lt-LT" w:eastAsia="lt-LT"/>
        </w:rPr>
        <w:t>gliukozės miltelių</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C23442" w:rsidRPr="00C23442">
        <w:rPr>
          <w:lang w:val="lt-LT" w:eastAsia="lt-LT"/>
        </w:rPr>
        <w:t>15622110-8– „Gliukozė“</w:t>
      </w:r>
      <w:r w:rsidR="0012210D" w:rsidRPr="003A1BEB">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Tatjana Seliugina +37034969042, adresas: Žeimių g. 19, Jonava; el. paštas: tatjana.seliugina@jonavospspc.lt.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6A22CA97"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t xml:space="preserve">Prekių kiekiai – preliminarūs, bus perkama pagal įstaigos poreikius ir finansines galimybes. Prekių pirkimas bus vykdomas </w:t>
      </w:r>
      <w:r w:rsidR="00C23442">
        <w:rPr>
          <w:color w:val="000000"/>
          <w:lang w:val="lt-LT" w:eastAsia="en-US"/>
        </w:rPr>
        <w:t>24</w:t>
      </w:r>
      <w:r w:rsidRPr="003A1BEB">
        <w:rPr>
          <w:color w:val="000000"/>
          <w:lang w:val="lt-LT" w:eastAsia="en-US"/>
        </w:rPr>
        <w:t xml:space="preserve"> mėnesi</w:t>
      </w:r>
      <w:r w:rsidR="00C23442">
        <w:rPr>
          <w:color w:val="000000"/>
          <w:lang w:val="lt-LT" w:eastAsia="en-US"/>
        </w:rPr>
        <w:t>us</w:t>
      </w:r>
      <w:r w:rsidRPr="003A1BEB">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77777777"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ne vėliau kaip 3</w:t>
      </w:r>
      <w:r w:rsidR="002E7D55" w:rsidRPr="003A1BEB">
        <w:rPr>
          <w:color w:val="000000"/>
          <w:lang w:val="lt-LT" w:eastAsia="en-US"/>
        </w:rPr>
        <w:t xml:space="preserve"> darbo dienos po prekių užsakymo. </w:t>
      </w:r>
      <w:r w:rsidR="002E7D55" w:rsidRPr="003A1BEB">
        <w:rPr>
          <w:b/>
          <w:color w:val="000000"/>
          <w:lang w:val="lt-LT" w:eastAsia="en-US"/>
        </w:rPr>
        <w:t>Prekes tiekėjas pristato savo transportu nemokamai, nepriklausomai nuo užsakomo prekių kiekio</w:t>
      </w:r>
      <w:r w:rsidR="002E7D55" w:rsidRPr="003A1BEB">
        <w:rPr>
          <w:color w:val="000000"/>
          <w:lang w:val="lt-LT" w:eastAsia="en-US"/>
        </w:rPr>
        <w:t>. Pirkėjas užsako prekes dalimis pagal jų suvartojimą ir poreikius</w:t>
      </w:r>
      <w:r w:rsidR="003E21FE" w:rsidRPr="003A1BEB">
        <w:rPr>
          <w:color w:val="000000"/>
          <w:lang w:val="lt-LT" w:eastAsia="en-US"/>
        </w:rPr>
        <w:t>.</w:t>
      </w:r>
    </w:p>
    <w:p w14:paraId="2A3ADB06" w14:textId="320133B6"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00C23442">
        <w:rPr>
          <w:b/>
          <w:color w:val="000000"/>
          <w:lang w:val="lt-LT" w:eastAsia="en-US"/>
        </w:rPr>
        <w:t>ne</w:t>
      </w:r>
      <w:r w:rsidRPr="003A1BEB">
        <w:rPr>
          <w:b/>
          <w:color w:val="000000"/>
          <w:lang w:val="lt-LT" w:eastAsia="en-US"/>
        </w:rPr>
        <w:t xml:space="preserve">skirstomas </w:t>
      </w:r>
      <w:r w:rsidR="009B679B" w:rsidRPr="003A1BEB">
        <w:rPr>
          <w:b/>
          <w:color w:val="000000"/>
          <w:lang w:val="lt-LT" w:eastAsia="en-US"/>
        </w:rPr>
        <w:t>į</w:t>
      </w:r>
      <w:r w:rsidR="006A284F" w:rsidRPr="003A1BEB">
        <w:rPr>
          <w:b/>
          <w:color w:val="000000"/>
          <w:lang w:val="lt-LT" w:eastAsia="en-US"/>
        </w:rPr>
        <w:t xml:space="preserve">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51C7C961"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C23442">
        <w:rPr>
          <w:b/>
          <w:bCs/>
          <w:iCs/>
          <w:color w:val="000000"/>
          <w:u w:val="single"/>
          <w:lang w:val="lt-LT" w:eastAsia="en-US"/>
        </w:rPr>
        <w:t>vasario 26</w:t>
      </w:r>
      <w:r w:rsidR="00C818CD" w:rsidRPr="003A1BEB">
        <w:rPr>
          <w:b/>
          <w:bCs/>
          <w:iCs/>
          <w:color w:val="000000"/>
          <w:u w:val="single"/>
          <w:lang w:val="lt-LT" w:eastAsia="en-US"/>
        </w:rPr>
        <w:t xml:space="preserve"> d. </w:t>
      </w:r>
      <w:r w:rsidR="00BC74FF" w:rsidRPr="003A1BEB">
        <w:rPr>
          <w:b/>
          <w:bCs/>
          <w:iCs/>
          <w:color w:val="000000"/>
          <w:u w:val="single"/>
          <w:lang w:val="lt-LT" w:eastAsia="en-US"/>
        </w:rPr>
        <w:t>10</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464A7E58"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w:t>
      </w:r>
      <w:r w:rsidR="00C70E6B">
        <w:rPr>
          <w:b/>
          <w:bCs/>
          <w:color w:val="000000"/>
          <w:lang w:val="lt-LT" w:eastAsia="en-US"/>
        </w:rPr>
        <w:t>02-26</w:t>
      </w:r>
      <w:r w:rsidRPr="003A1BEB">
        <w:rPr>
          <w:b/>
          <w:bCs/>
          <w:color w:val="000000"/>
          <w:lang w:val="lt-LT" w:eastAsia="en-US"/>
        </w:rPr>
        <w:t xml:space="preserve"> </w:t>
      </w:r>
      <w:r w:rsidR="00BC74FF" w:rsidRPr="003A1BEB">
        <w:rPr>
          <w:b/>
          <w:bCs/>
          <w:color w:val="000000"/>
          <w:lang w:val="lt-LT" w:eastAsia="en-US"/>
        </w:rPr>
        <w:t>10</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w:t>
      </w:r>
      <w:r w:rsidR="00C70E6B">
        <w:rPr>
          <w:b/>
          <w:bCs/>
          <w:color w:val="000000"/>
          <w:lang w:val="lt-LT" w:eastAsia="en-US"/>
        </w:rPr>
        <w:t>02-26</w:t>
      </w:r>
      <w:r w:rsidR="00D004DE" w:rsidRPr="003A1BEB">
        <w:rPr>
          <w:b/>
          <w:bCs/>
          <w:color w:val="000000"/>
          <w:lang w:val="lt-LT" w:eastAsia="en-US"/>
        </w:rPr>
        <w:t xml:space="preserve"> </w:t>
      </w:r>
      <w:r w:rsidR="00BC74FF" w:rsidRPr="003A1BEB">
        <w:rPr>
          <w:b/>
          <w:bCs/>
          <w:color w:val="000000"/>
          <w:lang w:val="lt-LT" w:eastAsia="en-US"/>
        </w:rPr>
        <w:t>10</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C70E6B">
        <w:rPr>
          <w:b/>
          <w:iCs/>
          <w:u w:val="single"/>
          <w:lang w:val="lt-LT" w:eastAsia="en-US"/>
        </w:rPr>
        <w:t>vasario</w:t>
      </w:r>
      <w:r w:rsidRPr="003A1BEB">
        <w:rPr>
          <w:b/>
          <w:iCs/>
          <w:u w:val="single"/>
          <w:lang w:val="lt-LT" w:eastAsia="en-US"/>
        </w:rPr>
        <w:t xml:space="preserve"> mėn. </w:t>
      </w:r>
      <w:r w:rsidR="00C70E6B">
        <w:rPr>
          <w:b/>
          <w:iCs/>
          <w:u w:val="single"/>
          <w:lang w:val="lt-LT" w:eastAsia="en-US"/>
        </w:rPr>
        <w:t>26</w:t>
      </w:r>
      <w:r w:rsidRPr="003A1BEB">
        <w:rPr>
          <w:b/>
          <w:iCs/>
          <w:u w:val="single"/>
          <w:lang w:val="lt-LT" w:eastAsia="en-US"/>
        </w:rPr>
        <w:t xml:space="preserve"> d. intervale</w:t>
      </w:r>
      <w:r w:rsidRPr="003A1BEB">
        <w:rPr>
          <w:iCs/>
          <w:u w:val="single"/>
          <w:lang w:val="lt-LT" w:eastAsia="en-US"/>
        </w:rPr>
        <w:t xml:space="preserve"> </w:t>
      </w:r>
      <w:r w:rsidR="00BC74FF" w:rsidRPr="003A1BEB">
        <w:rPr>
          <w:b/>
          <w:iCs/>
          <w:u w:val="single"/>
          <w:lang w:val="lt-LT" w:eastAsia="en-US"/>
        </w:rPr>
        <w:t>10</w:t>
      </w:r>
      <w:r w:rsidR="00F553AC" w:rsidRPr="003A1BEB">
        <w:rPr>
          <w:iCs/>
          <w:u w:val="single"/>
          <w:lang w:val="lt-LT" w:eastAsia="en-US"/>
        </w:rPr>
        <w:t>.</w:t>
      </w:r>
      <w:r w:rsidRPr="003A1BEB">
        <w:rPr>
          <w:b/>
          <w:iCs/>
          <w:u w:val="single"/>
          <w:lang w:val="lt-LT" w:eastAsia="en-US"/>
        </w:rPr>
        <w:t xml:space="preserve">00 – </w:t>
      </w:r>
      <w:r w:rsidR="00BC74FF" w:rsidRPr="003A1BEB">
        <w:rPr>
          <w:b/>
          <w:iCs/>
          <w:u w:val="single"/>
          <w:lang w:val="lt-LT" w:eastAsia="en-US"/>
        </w:rPr>
        <w:t>10</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7341E5FE" w:rsidR="00787D50" w:rsidRPr="003A1BEB" w:rsidRDefault="00C70E6B" w:rsidP="00787D50">
      <w:pPr>
        <w:jc w:val="center"/>
        <w:rPr>
          <w:b/>
          <w:color w:val="000000"/>
          <w:lang w:val="lt-LT" w:eastAsia="en-US"/>
        </w:rPr>
      </w:pPr>
      <w:r>
        <w:rPr>
          <w:b/>
          <w:color w:val="000000"/>
          <w:lang w:val="lt-LT" w:eastAsia="en-US"/>
        </w:rPr>
        <w:t>GLIUKOZĖS MILTELIŲ</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23442"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C23442"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C23442"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C23442"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23442"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Pr="003A1BEB" w:rsidRDefault="002D6D04" w:rsidP="002D6D04">
      <w:pPr>
        <w:ind w:firstLine="720"/>
        <w:jc w:val="center"/>
        <w:rPr>
          <w:b/>
          <w:sz w:val="22"/>
          <w:szCs w:val="22"/>
          <w:lang w:val="lt-LT" w:eastAsia="en-US"/>
        </w:rPr>
      </w:pPr>
      <w:r w:rsidRPr="003A1BEB">
        <w:rPr>
          <w:b/>
          <w:sz w:val="22"/>
          <w:szCs w:val="22"/>
          <w:lang w:val="lt-LT" w:eastAsia="en-US"/>
        </w:rPr>
        <w:t>TECHNINĖ SPECIFIKACIJA</w:t>
      </w:r>
    </w:p>
    <w:tbl>
      <w:tblPr>
        <w:tblW w:w="14099" w:type="dxa"/>
        <w:tblInd w:w="131" w:type="dxa"/>
        <w:tblLayout w:type="fixed"/>
        <w:tblCellMar>
          <w:left w:w="10" w:type="dxa"/>
          <w:right w:w="10" w:type="dxa"/>
        </w:tblCellMar>
        <w:tblLook w:val="0000" w:firstRow="0" w:lastRow="0" w:firstColumn="0" w:lastColumn="0" w:noHBand="0" w:noVBand="0"/>
      </w:tblPr>
      <w:tblGrid>
        <w:gridCol w:w="739"/>
        <w:gridCol w:w="5190"/>
        <w:gridCol w:w="1053"/>
        <w:gridCol w:w="789"/>
        <w:gridCol w:w="793"/>
        <w:gridCol w:w="921"/>
        <w:gridCol w:w="1185"/>
        <w:gridCol w:w="1185"/>
        <w:gridCol w:w="2238"/>
        <w:gridCol w:w="6"/>
      </w:tblGrid>
      <w:tr w:rsidR="008F7499" w:rsidRPr="00C23442" w14:paraId="0B3A87FF" w14:textId="77777777" w:rsidTr="008D497E">
        <w:trPr>
          <w:gridAfter w:val="1"/>
          <w:wAfter w:w="6" w:type="dxa"/>
          <w:cantSplit/>
          <w:trHeight w:val="35"/>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300FDA" w14:textId="77777777" w:rsidR="008F7499" w:rsidRPr="003A1BEB" w:rsidRDefault="008F7499" w:rsidP="00FB1E02">
            <w:pPr>
              <w:pStyle w:val="Standard"/>
              <w:tabs>
                <w:tab w:val="left" w:pos="1093"/>
              </w:tabs>
              <w:snapToGrid w:val="0"/>
              <w:spacing w:after="0" w:line="240" w:lineRule="auto"/>
              <w:ind w:right="9"/>
              <w:jc w:val="center"/>
              <w:rPr>
                <w:b/>
                <w:color w:val="000000"/>
                <w:sz w:val="18"/>
                <w:szCs w:val="18"/>
              </w:rPr>
            </w:pPr>
            <w:r w:rsidRPr="003A1BEB">
              <w:rPr>
                <w:b/>
                <w:color w:val="000000"/>
                <w:sz w:val="18"/>
                <w:szCs w:val="18"/>
              </w:rPr>
              <w:t>Pirkimo dalies eil. Nr.</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DCF4BD" w14:textId="77777777" w:rsidR="008F7499" w:rsidRPr="003A1BEB" w:rsidRDefault="008F7499" w:rsidP="00FB1E02">
            <w:pPr>
              <w:pStyle w:val="Standard"/>
              <w:snapToGrid w:val="0"/>
              <w:spacing w:after="0" w:line="240" w:lineRule="auto"/>
              <w:jc w:val="center"/>
              <w:rPr>
                <w:b/>
                <w:color w:val="000000"/>
                <w:sz w:val="18"/>
                <w:szCs w:val="18"/>
              </w:rPr>
            </w:pPr>
            <w:r w:rsidRPr="003A1BEB">
              <w:rPr>
                <w:b/>
                <w:color w:val="000000"/>
                <w:sz w:val="18"/>
                <w:szCs w:val="18"/>
              </w:rPr>
              <w:t>Prekės pavadinimas (techninė specifikacija, būtini reikalavimai, t. b. siūlomos prekės ne blogesnių savybių ar lygiavertės)</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A5C8A2" w14:textId="77777777" w:rsidR="008F7499" w:rsidRPr="003A1BEB" w:rsidRDefault="008F7499" w:rsidP="00FB1E02">
            <w:pPr>
              <w:pStyle w:val="Standard"/>
              <w:snapToGrid w:val="0"/>
              <w:spacing w:after="0" w:line="240" w:lineRule="auto"/>
              <w:jc w:val="center"/>
              <w:rPr>
                <w:b/>
                <w:bCs/>
                <w:color w:val="000000"/>
                <w:sz w:val="18"/>
                <w:szCs w:val="18"/>
              </w:rPr>
            </w:pPr>
            <w:r w:rsidRPr="003A1BEB">
              <w:rPr>
                <w:b/>
                <w:bCs/>
                <w:color w:val="000000"/>
                <w:sz w:val="18"/>
                <w:szCs w:val="18"/>
              </w:rPr>
              <w:t>Planuojamas pirkti maksimalus kiekis mato vnt.</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10EBDC0" w14:textId="34AB6CC6" w:rsidR="008F7499" w:rsidRPr="003A1BEB" w:rsidRDefault="008F7499" w:rsidP="00FB1E02">
            <w:pPr>
              <w:pStyle w:val="Standard"/>
              <w:spacing w:after="0" w:line="240" w:lineRule="auto"/>
              <w:ind w:right="27"/>
              <w:jc w:val="center"/>
              <w:rPr>
                <w:b/>
                <w:bCs/>
                <w:color w:val="000000"/>
                <w:sz w:val="18"/>
                <w:szCs w:val="18"/>
              </w:rPr>
            </w:pPr>
            <w:r w:rsidRPr="003A1BEB">
              <w:rPr>
                <w:b/>
                <w:bCs/>
                <w:color w:val="000000"/>
                <w:sz w:val="18"/>
                <w:szCs w:val="18"/>
              </w:rPr>
              <w:t>1 mato vnt kaina, € be PVM</w:t>
            </w:r>
          </w:p>
        </w:tc>
        <w:tc>
          <w:tcPr>
            <w:tcW w:w="793" w:type="dxa"/>
            <w:tcBorders>
              <w:top w:val="single" w:sz="4" w:space="0" w:color="000000"/>
              <w:left w:val="single" w:sz="4" w:space="0" w:color="000000"/>
              <w:bottom w:val="single" w:sz="4" w:space="0" w:color="000000"/>
            </w:tcBorders>
            <w:vAlign w:val="center"/>
          </w:tcPr>
          <w:p w14:paraId="6D9252DA" w14:textId="43F02E6E"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1 mato vnt</w:t>
            </w:r>
            <w:r w:rsidR="008D497E">
              <w:rPr>
                <w:b/>
                <w:bCs/>
                <w:color w:val="000000"/>
                <w:sz w:val="18"/>
                <w:szCs w:val="18"/>
              </w:rPr>
              <w:t xml:space="preserve">. </w:t>
            </w:r>
            <w:r w:rsidRPr="003A1BEB">
              <w:rPr>
                <w:b/>
                <w:bCs/>
                <w:color w:val="000000"/>
                <w:sz w:val="18"/>
                <w:szCs w:val="18"/>
              </w:rPr>
              <w:t>kaina, € su PVM</w:t>
            </w:r>
          </w:p>
        </w:tc>
        <w:tc>
          <w:tcPr>
            <w:tcW w:w="921" w:type="dxa"/>
            <w:tcBorders>
              <w:top w:val="single" w:sz="4" w:space="0" w:color="000000"/>
              <w:left w:val="single" w:sz="4" w:space="0" w:color="000000"/>
              <w:bottom w:val="single" w:sz="4" w:space="0" w:color="000000"/>
              <w:right w:val="single" w:sz="4" w:space="0" w:color="000000"/>
            </w:tcBorders>
            <w:vAlign w:val="center"/>
          </w:tcPr>
          <w:p w14:paraId="218168D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be PVM</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C9EB186"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su PVM</w:t>
            </w:r>
          </w:p>
          <w:p w14:paraId="6F0D6A32"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(SKAIČIAIS)</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0AFFE91"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 xml:space="preserve">Planuojamo pirkti kiekio suma, € su PVM </w:t>
            </w:r>
          </w:p>
          <w:p w14:paraId="2AC5EB0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(ŽODŽIAIS)</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D52F41"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 xml:space="preserve">Siūlomų prekių pavadinimas (kodas), gamintojas, kilmės šalis, atitikimas techninei specifikacijai, prekių </w:t>
            </w:r>
          </w:p>
          <w:p w14:paraId="5E827254"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aprašymas, nuoroda į pridėtus dokumentus (etiketes, bukletus, katalogus ir t.t., aktyvias nuorodas į internetinius tinklalapius)</w:t>
            </w:r>
          </w:p>
          <w:p w14:paraId="4D68F6AD" w14:textId="77777777" w:rsidR="008F7499" w:rsidRPr="003A1BEB" w:rsidRDefault="008F7499" w:rsidP="00FB1E02">
            <w:pPr>
              <w:suppressAutoHyphens/>
              <w:snapToGrid w:val="0"/>
              <w:jc w:val="center"/>
              <w:rPr>
                <w:b/>
                <w:color w:val="0070C0"/>
                <w:sz w:val="18"/>
                <w:szCs w:val="18"/>
                <w:lang w:val="lt-LT"/>
              </w:rPr>
            </w:pPr>
            <w:r w:rsidRPr="003A1BEB">
              <w:rPr>
                <w:b/>
                <w:color w:val="0070C0"/>
                <w:sz w:val="18"/>
                <w:szCs w:val="18"/>
                <w:lang w:val="lt-LT"/>
              </w:rPr>
              <w:t>PILDYTI PRIVALOMA</w:t>
            </w:r>
          </w:p>
          <w:p w14:paraId="4ECC35D8" w14:textId="77777777" w:rsidR="008F7499" w:rsidRPr="003A1BEB" w:rsidRDefault="008F7499" w:rsidP="00FB1E02">
            <w:pPr>
              <w:suppressAutoHyphens/>
              <w:snapToGrid w:val="0"/>
              <w:jc w:val="center"/>
              <w:rPr>
                <w:b/>
                <w:color w:val="000000"/>
                <w:sz w:val="18"/>
                <w:szCs w:val="18"/>
                <w:lang w:val="lt-LT"/>
              </w:rPr>
            </w:pPr>
            <w:r w:rsidRPr="003A1BEB">
              <w:rPr>
                <w:color w:val="0070C0"/>
                <w:sz w:val="18"/>
                <w:szCs w:val="18"/>
                <w:lang w:val="lt-LT"/>
              </w:rPr>
              <w:t>Privaloma išsamiai aprašyti siūlomas prekes (parametrus). Pasiūlymai, kuriuose bus įrašyta „Taip/Ne“ arba „Atitinka“ bus atmesti kaip neatitinkantys reikalavimų</w:t>
            </w:r>
          </w:p>
        </w:tc>
      </w:tr>
      <w:tr w:rsidR="008F7499" w:rsidRPr="003A1BEB" w14:paraId="32A9DB3E" w14:textId="77777777" w:rsidTr="008D497E">
        <w:trPr>
          <w:gridAfter w:val="1"/>
          <w:wAfter w:w="6" w:type="dxa"/>
          <w:cantSplit/>
          <w:trHeight w:val="35"/>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F800406" w14:textId="77777777" w:rsidR="008F7499" w:rsidRPr="003A1BEB" w:rsidRDefault="008F7499" w:rsidP="00FB1E02">
            <w:pPr>
              <w:pStyle w:val="Standard"/>
              <w:tabs>
                <w:tab w:val="left" w:pos="1093"/>
              </w:tabs>
              <w:snapToGrid w:val="0"/>
              <w:spacing w:after="0" w:line="240" w:lineRule="auto"/>
              <w:ind w:right="9"/>
              <w:jc w:val="center"/>
              <w:rPr>
                <w:b/>
                <w:color w:val="000000"/>
                <w:sz w:val="16"/>
                <w:szCs w:val="16"/>
              </w:rPr>
            </w:pPr>
            <w:r w:rsidRPr="003A1BEB">
              <w:rPr>
                <w:b/>
                <w:color w:val="000000"/>
                <w:sz w:val="16"/>
                <w:szCs w:val="16"/>
              </w:rPr>
              <w:t>1</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D273178" w14:textId="77777777" w:rsidR="008F7499" w:rsidRPr="003A1BEB" w:rsidRDefault="008F7499" w:rsidP="00FB1E02">
            <w:pPr>
              <w:pStyle w:val="Standard"/>
              <w:snapToGrid w:val="0"/>
              <w:spacing w:after="0" w:line="240" w:lineRule="auto"/>
              <w:jc w:val="center"/>
              <w:rPr>
                <w:b/>
                <w:color w:val="000000"/>
                <w:sz w:val="16"/>
                <w:szCs w:val="16"/>
              </w:rPr>
            </w:pPr>
            <w:r w:rsidRPr="003A1BEB">
              <w:rPr>
                <w:b/>
                <w:color w:val="000000"/>
                <w:sz w:val="16"/>
                <w:szCs w:val="16"/>
              </w:rPr>
              <w:t>2</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3A1B9E2" w14:textId="77777777" w:rsidR="008F7499" w:rsidRPr="003A1BEB" w:rsidRDefault="008F7499" w:rsidP="00FB1E02">
            <w:pPr>
              <w:pStyle w:val="Standard"/>
              <w:snapToGrid w:val="0"/>
              <w:spacing w:after="0" w:line="240" w:lineRule="auto"/>
              <w:jc w:val="center"/>
              <w:rPr>
                <w:b/>
                <w:bCs/>
                <w:color w:val="000000"/>
                <w:sz w:val="16"/>
                <w:szCs w:val="16"/>
              </w:rPr>
            </w:pPr>
            <w:r w:rsidRPr="003A1BEB">
              <w:rPr>
                <w:b/>
                <w:bCs/>
                <w:color w:val="000000"/>
                <w:sz w:val="16"/>
                <w:szCs w:val="16"/>
              </w:rPr>
              <w:t>3</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E650585" w14:textId="77777777" w:rsidR="008F7499" w:rsidRPr="003A1BEB" w:rsidRDefault="008F7499" w:rsidP="00FB1E02">
            <w:pPr>
              <w:pStyle w:val="Standard"/>
              <w:spacing w:after="0" w:line="240" w:lineRule="auto"/>
              <w:ind w:right="27"/>
              <w:jc w:val="center"/>
              <w:rPr>
                <w:b/>
                <w:bCs/>
                <w:color w:val="000000"/>
                <w:sz w:val="16"/>
                <w:szCs w:val="16"/>
              </w:rPr>
            </w:pPr>
            <w:r w:rsidRPr="003A1BEB">
              <w:rPr>
                <w:b/>
                <w:bCs/>
                <w:color w:val="000000"/>
                <w:sz w:val="16"/>
                <w:szCs w:val="16"/>
              </w:rPr>
              <w:t>4</w:t>
            </w:r>
          </w:p>
        </w:tc>
        <w:tc>
          <w:tcPr>
            <w:tcW w:w="793" w:type="dxa"/>
            <w:tcBorders>
              <w:top w:val="single" w:sz="4" w:space="0" w:color="000000"/>
              <w:left w:val="single" w:sz="4" w:space="0" w:color="000000"/>
              <w:bottom w:val="single" w:sz="4" w:space="0" w:color="000000"/>
            </w:tcBorders>
            <w:vAlign w:val="center"/>
          </w:tcPr>
          <w:p w14:paraId="249180E1"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5</w:t>
            </w:r>
          </w:p>
        </w:tc>
        <w:tc>
          <w:tcPr>
            <w:tcW w:w="921" w:type="dxa"/>
            <w:tcBorders>
              <w:top w:val="single" w:sz="4" w:space="0" w:color="000000"/>
              <w:left w:val="single" w:sz="4" w:space="0" w:color="000000"/>
              <w:bottom w:val="single" w:sz="4" w:space="0" w:color="000000"/>
              <w:right w:val="single" w:sz="4" w:space="0" w:color="000000"/>
            </w:tcBorders>
            <w:vAlign w:val="center"/>
          </w:tcPr>
          <w:p w14:paraId="7D0A0F1A"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6</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F250B6"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7</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C0EF7C3"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8</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543BCAC"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9</w:t>
            </w:r>
          </w:p>
        </w:tc>
      </w:tr>
      <w:tr w:rsidR="008F7499" w:rsidRPr="003A1BEB" w14:paraId="4AEF11F8" w14:textId="77777777" w:rsidTr="008F7499">
        <w:trPr>
          <w:trHeight w:val="24"/>
        </w:trPr>
        <w:tc>
          <w:tcPr>
            <w:tcW w:w="14099" w:type="dxa"/>
            <w:gridSpan w:val="10"/>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4C9B50" w14:textId="33125A07" w:rsidR="008F7499" w:rsidRPr="008D497E" w:rsidRDefault="008F7499" w:rsidP="00FB1E02">
            <w:pPr>
              <w:pStyle w:val="Standard"/>
              <w:spacing w:after="0" w:line="240" w:lineRule="auto"/>
              <w:jc w:val="both"/>
              <w:rPr>
                <w:b/>
                <w:bCs/>
                <w:color w:val="000000"/>
                <w:sz w:val="18"/>
                <w:szCs w:val="18"/>
              </w:rPr>
            </w:pPr>
            <w:r w:rsidRPr="008D497E">
              <w:rPr>
                <w:color w:val="0070C0"/>
                <w:sz w:val="18"/>
                <w:szCs w:val="18"/>
              </w:rPr>
              <w:t xml:space="preserve">PASTABOS: </w:t>
            </w:r>
            <w:r w:rsidRPr="008D497E">
              <w:rPr>
                <w:b/>
                <w:color w:val="0070C0"/>
                <w:sz w:val="18"/>
                <w:szCs w:val="18"/>
                <w:u w:val="single"/>
              </w:rPr>
              <w:t>Teikiant pasiūlymą pateikti prekių</w:t>
            </w:r>
            <w:r w:rsidRPr="008D497E">
              <w:rPr>
                <w:color w:val="0070C0"/>
                <w:sz w:val="18"/>
                <w:szCs w:val="18"/>
              </w:rPr>
              <w:t xml:space="preserve"> etiketes, bukletus, katalogus ir t.t. Prekių pavadinimas, gamintojas turi sutapti tiek pateiktuose prikabintuose dokumentuose, tiek 9 stulpelyje įrašyta informacija. Teikiant pasiūlymą 9 stulpelyje negali būti paliekami ženklai „</w:t>
            </w:r>
            <w:r w:rsidRPr="008D497E">
              <w:rPr>
                <w:color w:val="0070C0"/>
                <w:sz w:val="18"/>
                <w:szCs w:val="18"/>
                <w:u w:val="single"/>
              </w:rPr>
              <w:t>&gt;</w:t>
            </w:r>
            <w:r w:rsidRPr="008D497E">
              <w:rPr>
                <w:color w:val="0070C0"/>
                <w:sz w:val="18"/>
                <w:szCs w:val="18"/>
              </w:rPr>
              <w:t xml:space="preserve">, </w:t>
            </w:r>
            <w:r w:rsidRPr="008D497E">
              <w:rPr>
                <w:color w:val="0070C0"/>
                <w:sz w:val="18"/>
                <w:szCs w:val="18"/>
                <w:u w:val="single"/>
              </w:rPr>
              <w:t>&lt;</w:t>
            </w:r>
            <w:r w:rsidRPr="008D497E">
              <w:rPr>
                <w:color w:val="0070C0"/>
                <w:sz w:val="18"/>
                <w:szCs w:val="18"/>
              </w:rPr>
              <w:t>“, negali būti žodžių lygiavertis. Perkančioji organizacija pasilieka teisę paprašyti prekių pavyzdžių</w:t>
            </w:r>
          </w:p>
        </w:tc>
      </w:tr>
      <w:tr w:rsidR="008F7499" w:rsidRPr="008D497E" w14:paraId="2ECDE401" w14:textId="77777777" w:rsidTr="008D497E">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09142FD" w14:textId="77777777" w:rsidR="008F7499" w:rsidRPr="003A1BEB" w:rsidRDefault="008F7499" w:rsidP="00FB1E02">
            <w:pPr>
              <w:tabs>
                <w:tab w:val="left" w:pos="1093"/>
              </w:tabs>
              <w:snapToGrid w:val="0"/>
              <w:ind w:right="9"/>
              <w:rPr>
                <w:lang w:val="lt-LT"/>
              </w:rPr>
            </w:pPr>
            <w:r w:rsidRPr="003A1BEB">
              <w:rPr>
                <w:sz w:val="22"/>
                <w:szCs w:val="22"/>
                <w:lang w:val="lt-LT"/>
              </w:rPr>
              <w:t>1</w:t>
            </w:r>
          </w:p>
        </w:tc>
        <w:tc>
          <w:tcPr>
            <w:tcW w:w="5190"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2AF39D6" w14:textId="77777777" w:rsidR="008D497E" w:rsidRPr="008D497E" w:rsidRDefault="008D497E" w:rsidP="008D497E">
            <w:pPr>
              <w:snapToGrid w:val="0"/>
              <w:rPr>
                <w:b/>
                <w:bCs/>
                <w:u w:val="single"/>
                <w:lang w:val="lt-LT"/>
              </w:rPr>
            </w:pPr>
            <w:r w:rsidRPr="008D497E">
              <w:rPr>
                <w:b/>
                <w:bCs/>
                <w:u w:val="single"/>
                <w:lang w:val="lt-LT"/>
              </w:rPr>
              <w:t>Gliukozės milteliai</w:t>
            </w:r>
          </w:p>
          <w:p w14:paraId="074A8DB4" w14:textId="77777777" w:rsidR="008D497E" w:rsidRPr="008D497E" w:rsidRDefault="008D497E" w:rsidP="008D497E">
            <w:pPr>
              <w:snapToGrid w:val="0"/>
              <w:rPr>
                <w:sz w:val="22"/>
                <w:szCs w:val="22"/>
                <w:lang w:val="lt-LT"/>
              </w:rPr>
            </w:pPr>
            <w:r w:rsidRPr="008D497E">
              <w:rPr>
                <w:sz w:val="22"/>
                <w:szCs w:val="22"/>
                <w:lang w:val="lt-LT"/>
              </w:rPr>
              <w:t xml:space="preserve">Natūralūs gliukozės milteliai po 75 gramus, plastiko maišelyje, supakuoti į kartoninę dėžutę. Skirti gliukozės tolerancijos testui atlikti. </w:t>
            </w:r>
          </w:p>
          <w:p w14:paraId="522AE664" w14:textId="77777777" w:rsidR="008D497E" w:rsidRPr="008D497E" w:rsidRDefault="008D497E" w:rsidP="008D497E">
            <w:pPr>
              <w:snapToGrid w:val="0"/>
              <w:rPr>
                <w:sz w:val="22"/>
                <w:szCs w:val="22"/>
                <w:lang w:val="lt-LT"/>
              </w:rPr>
            </w:pPr>
            <w:r w:rsidRPr="008D497E">
              <w:rPr>
                <w:sz w:val="22"/>
                <w:szCs w:val="22"/>
                <w:lang w:val="lt-LT"/>
              </w:rPr>
              <w:t>Galiojimas pristatymo metu ne mažiau 12 mėn.</w:t>
            </w:r>
          </w:p>
          <w:p w14:paraId="468F1B2D" w14:textId="52D5666A" w:rsidR="008F7499" w:rsidRPr="003A1BEB" w:rsidRDefault="008D497E" w:rsidP="008D497E">
            <w:pPr>
              <w:snapToGrid w:val="0"/>
              <w:rPr>
                <w:lang w:val="lt-LT"/>
              </w:rPr>
            </w:pPr>
            <w:r w:rsidRPr="008D497E">
              <w:rPr>
                <w:sz w:val="22"/>
                <w:szCs w:val="22"/>
                <w:lang w:val="lt-LT"/>
              </w:rPr>
              <w:t>Pristatant prekes išorinės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Su pasiūlymu pateikti atitiktį reikalavimams įrodančius dokumentus: gamintojo ir (ar) importuotojo raštiškas patvirtinimas apie pakuotės atitiktį arba kiti lygiaverčiai įrodymai.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B126948" w14:textId="08A4BBF0" w:rsidR="008F7499" w:rsidRPr="003A1BEB" w:rsidRDefault="008D497E" w:rsidP="00FB1E02">
            <w:pPr>
              <w:snapToGrid w:val="0"/>
              <w:jc w:val="center"/>
              <w:rPr>
                <w:lang w:val="lt-LT"/>
              </w:rPr>
            </w:pPr>
            <w:r>
              <w:rPr>
                <w:lang w:val="lt-LT"/>
              </w:rPr>
              <w:t>2000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C5DEA7E" w14:textId="022DF2E6" w:rsidR="008F7499" w:rsidRPr="003A1BEB" w:rsidRDefault="008F7499" w:rsidP="00FB1E02">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09F996A7"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71544F5"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6033F00"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594AE3B" w14:textId="77777777" w:rsidR="008F7499" w:rsidRPr="003A1BEB" w:rsidRDefault="008F7499" w:rsidP="00FB1E02">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ECCF00" w14:textId="77777777" w:rsidR="008F7499" w:rsidRPr="003A1BEB" w:rsidRDefault="008F7499" w:rsidP="00FB1E02">
            <w:pPr>
              <w:pStyle w:val="Standard"/>
              <w:snapToGrid w:val="0"/>
              <w:spacing w:after="0" w:line="240" w:lineRule="auto"/>
              <w:jc w:val="center"/>
              <w:rPr>
                <w:bCs/>
                <w:sz w:val="22"/>
                <w:szCs w:val="22"/>
              </w:rPr>
            </w:pPr>
          </w:p>
        </w:tc>
      </w:tr>
    </w:tbl>
    <w:p w14:paraId="58A4F0FB" w14:textId="77777777" w:rsidR="000A313D" w:rsidRPr="003A1BEB" w:rsidRDefault="000A313D" w:rsidP="002D59F0">
      <w:pPr>
        <w:tabs>
          <w:tab w:val="center" w:pos="5812"/>
          <w:tab w:val="left" w:pos="7655"/>
        </w:tabs>
        <w:rPr>
          <w:color w:val="000000"/>
          <w:sz w:val="22"/>
          <w:szCs w:val="22"/>
          <w:lang w:val="lt-LT" w:eastAsia="en-US"/>
        </w:rPr>
      </w:pPr>
    </w:p>
    <w:p w14:paraId="10C10DE3" w14:textId="5073B685" w:rsidR="000A313D" w:rsidRPr="003A1BEB" w:rsidRDefault="008F7499" w:rsidP="002D59F0">
      <w:pPr>
        <w:tabs>
          <w:tab w:val="center" w:pos="5812"/>
          <w:tab w:val="left" w:pos="7655"/>
        </w:tabs>
        <w:rPr>
          <w:color w:val="000000"/>
          <w:sz w:val="22"/>
          <w:szCs w:val="22"/>
          <w:lang w:val="lt-LT" w:eastAsia="en-US"/>
        </w:rPr>
      </w:pPr>
      <w:r w:rsidRPr="003A1BEB">
        <w:rPr>
          <w:color w:val="000000"/>
          <w:sz w:val="22"/>
          <w:szCs w:val="22"/>
          <w:lang w:val="lt-LT" w:eastAsia="en-US"/>
        </w:rPr>
        <w:lastRenderedPageBreak/>
        <w:t xml:space="preserve"> </w:t>
      </w:r>
    </w:p>
    <w:p w14:paraId="38DF64E0" w14:textId="0D302790" w:rsidR="002B04DB" w:rsidRPr="003A1BEB" w:rsidRDefault="00A76DD6" w:rsidP="002D59F0">
      <w:pPr>
        <w:tabs>
          <w:tab w:val="center" w:pos="5812"/>
          <w:tab w:val="left" w:pos="7655"/>
        </w:tabs>
        <w:ind w:left="720"/>
        <w:rPr>
          <w:lang w:val="lt-LT"/>
        </w:rPr>
      </w:pPr>
      <w:r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r w:rsidRPr="003A1BEB">
              <w:rPr>
                <w:lang w:val="lt-LT"/>
              </w:rPr>
              <w:t>Eil.Nr.</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C23442"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C23442"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C23442"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C23442"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C23442"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C23442"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C23442"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1BEB">
        <w:rPr>
          <w:i/>
          <w:iCs/>
          <w:color w:val="000000"/>
          <w:lang w:val="lt-LT"/>
        </w:rPr>
        <w:t>sui generis</w:t>
      </w:r>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2C1754C6"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4A84D533"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C23442"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348E8BED"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003E507D">
              <w:rPr>
                <w:b/>
                <w:bCs/>
                <w:lang w:val="lt-LT"/>
              </w:rPr>
              <w:t>GLIUKOZĖS MILTELIAI</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C23442"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C23442"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AB Luminor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12"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C23442"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C23442"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C23442"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4A18DD6E" w:rsidR="003A1BEB" w:rsidRPr="003A1BEB" w:rsidRDefault="003A1BEB" w:rsidP="00FB1E02">
            <w:pPr>
              <w:jc w:val="both"/>
              <w:rPr>
                <w:kern w:val="2"/>
                <w:lang w:val="lt-LT"/>
              </w:rPr>
            </w:pPr>
            <w:r w:rsidRPr="003A1BEB">
              <w:rPr>
                <w:kern w:val="2"/>
                <w:lang w:val="lt-LT"/>
              </w:rPr>
              <w:t xml:space="preserve">Tiekėjas įsipareigoja Sutartyje numatytomis sąlygomis perduoti </w:t>
            </w:r>
            <w:r w:rsidRPr="003A1BEB">
              <w:rPr>
                <w:kern w:val="2"/>
                <w:lang w:val="lt-LT"/>
              </w:rPr>
              <w:lastRenderedPageBreak/>
              <w:t>Pirkėjui Prekes „</w:t>
            </w:r>
            <w:r w:rsidR="00887A8D" w:rsidRPr="00887A8D">
              <w:rPr>
                <w:kern w:val="2"/>
                <w:lang w:val="lt-LT"/>
              </w:rPr>
              <w:t>MEDICININĖS PRIEMONĖS ODONTOLOGIJAI</w:t>
            </w:r>
            <w:r w:rsidRPr="003A1BEB">
              <w:rPr>
                <w:kern w:val="2"/>
                <w:lang w:val="lt-LT"/>
              </w:rPr>
              <w:t>“ (toliau – Prekės).</w:t>
            </w:r>
          </w:p>
          <w:p w14:paraId="1EF160AF" w14:textId="77777777" w:rsidR="003A1BEB" w:rsidRPr="003A1BEB" w:rsidRDefault="003A1BEB" w:rsidP="00FB1E02">
            <w:pPr>
              <w:rPr>
                <w:color w:val="000000"/>
                <w:kern w:val="2"/>
                <w:lang w:val="lt-LT"/>
              </w:rPr>
            </w:pPr>
            <w:r w:rsidRPr="003A1BEB">
              <w:rPr>
                <w:kern w:val="2"/>
                <w:lang w:val="lt-LT"/>
              </w:rPr>
              <w:t>Išsamus Prekių aprašymas ir kiti reikalavimai tiekiamoms Prekėms nustatyti Sutarties priede Nr. [1] „Techninė specifikacija“ (toliau – Techninė specifikacija) ir Sutarties priede Nr. [1._] „Pasiūlymas“.</w:t>
            </w:r>
          </w:p>
        </w:tc>
      </w:tr>
      <w:tr w:rsidR="003A1BEB" w:rsidRPr="00C23442"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6779298B"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w:t>
            </w:r>
            <w:r w:rsidR="003E507D">
              <w:rPr>
                <w:b/>
                <w:lang w:val="lt-LT"/>
              </w:rPr>
              <w:t>GLIUKOZĖS MILTELIAI</w:t>
            </w:r>
            <w:r w:rsidRPr="003A1BEB">
              <w:rPr>
                <w:b/>
                <w:lang w:val="lt-LT"/>
              </w:rPr>
              <w:t xml:space="preserve"> ”</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0" w:name="_Hlk208578308"/>
            <w:r w:rsidRPr="003A1BEB">
              <w:rPr>
                <w:b/>
                <w:bCs/>
                <w:kern w:val="2"/>
                <w:lang w:val="lt-LT"/>
              </w:rPr>
              <w:t xml:space="preserve">Informacija apie Europos Sąjungos lėšomis finansuojamą projektą </w:t>
            </w:r>
            <w:bookmarkEnd w:id="10"/>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C23442"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C23442"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77777777" w:rsidR="003A1BEB" w:rsidRPr="003A1BEB" w:rsidRDefault="003A1BEB" w:rsidP="00FB1E02">
            <w:pPr>
              <w:jc w:val="both"/>
              <w:rPr>
                <w:lang w:val="lt-LT"/>
              </w:rPr>
            </w:pPr>
            <w:r w:rsidRPr="003A1BEB">
              <w:rPr>
                <w:kern w:val="2"/>
                <w:lang w:val="lt-LT"/>
              </w:rPr>
              <w:t xml:space="preserve">Tiekėjas pagal atskirą užsakymą įsipareigoja pristatyti Prekes ne vėliau kaip per 3 (tris)  dienas nuo užsakymo pateikimo dienos </w:t>
            </w:r>
            <w:r w:rsidRPr="003A1BEB">
              <w:rPr>
                <w:color w:val="000000"/>
                <w:kern w:val="2"/>
                <w:lang w:val="lt-LT"/>
              </w:rPr>
              <w:t xml:space="preserve">šiuo adresu: </w:t>
            </w:r>
            <w:r w:rsidRPr="003A1BEB">
              <w:rPr>
                <w:color w:val="4472C4"/>
                <w:kern w:val="2"/>
                <w:lang w:val="lt-LT"/>
              </w:rPr>
              <w:t>(įrašyti Prekių pristatymo adresą)</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C23442"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C23442"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C23442"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C23442"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C23442"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 xml:space="preserve">Sutarties kainos / įkainių peržiūra dėl kitų mokesčių, lemiančių Prekių </w:t>
            </w:r>
            <w:r w:rsidRPr="003A1BEB">
              <w:rPr>
                <w:b/>
                <w:bCs/>
                <w:kern w:val="2"/>
                <w:lang w:val="lt-LT"/>
              </w:rPr>
              <w:lastRenderedPageBreak/>
              <w:t>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lastRenderedPageBreak/>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C23442"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C23442"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C23442"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C23442"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C23442"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C23442"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C23442"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C23442"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 xml:space="preserve">arba nevykdo kitų sutartinių įsipareigojimų, Pirkėjas nuo kitos nei nustatytas terminas dienos Tiekėjui skaičiuoja 0,02 (dvi šimtosios) procento dydžio delspinigius už kiekvieną </w:t>
            </w:r>
            <w:r w:rsidRPr="003A1BEB">
              <w:rPr>
                <w:kern w:val="2"/>
                <w:lang w:val="lt-LT"/>
              </w:rPr>
              <w:lastRenderedPageBreak/>
              <w:t>uždelstą dieną nuo laiku neperduotų Prekių ar Prekių, turinčių trūkumų, kainos be PVM. </w:t>
            </w:r>
          </w:p>
          <w:p w14:paraId="7637043A" w14:textId="77777777" w:rsidR="003A1BEB" w:rsidRPr="003A1BEB" w:rsidRDefault="003A1BEB" w:rsidP="00FB1E02">
            <w:pPr>
              <w:jc w:val="both"/>
              <w:rPr>
                <w:kern w:val="2"/>
                <w:lang w:val="lt-LT"/>
              </w:rPr>
            </w:pPr>
            <w:r w:rsidRPr="003A1BEB">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C23442"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C23442"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C23442"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5892534E" w:rsidR="003A1BEB" w:rsidRPr="003A1BEB" w:rsidRDefault="003A1BEB" w:rsidP="00FB1E02">
            <w:pPr>
              <w:rPr>
                <w:kern w:val="2"/>
                <w:lang w:val="lt-LT"/>
              </w:rPr>
            </w:pPr>
            <w:r w:rsidRPr="003A1BEB">
              <w:rPr>
                <w:kern w:val="2"/>
                <w:lang w:val="lt-LT"/>
              </w:rPr>
              <w:t xml:space="preserve">Netesybų dydis: </w:t>
            </w:r>
            <w:r w:rsidR="003E507D">
              <w:rPr>
                <w:kern w:val="2"/>
                <w:lang w:val="lt-LT"/>
              </w:rPr>
              <w:t>5</w:t>
            </w:r>
            <w:r w:rsidRPr="003A1BEB">
              <w:rPr>
                <w:kern w:val="2"/>
                <w:lang w:val="lt-LT"/>
              </w:rPr>
              <w:t>00,00 (</w:t>
            </w:r>
            <w:r w:rsidR="003E507D">
              <w:rPr>
                <w:kern w:val="2"/>
                <w:lang w:val="lt-LT"/>
              </w:rPr>
              <w:t>penki šimtai</w:t>
            </w:r>
            <w:r w:rsidRPr="003A1BEB">
              <w:rPr>
                <w:kern w:val="2"/>
                <w:lang w:val="lt-LT"/>
              </w:rPr>
              <w:t>)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 xml:space="preserve">9.9. Tiekėjui taikoma bauda dėl Pirkėjo simbolių, pavadinimo ir ženklo reklamoje ar rinkodaroje naudojimo reikalavimų nesilaikymo bei draudimo </w:t>
            </w:r>
            <w:r w:rsidRPr="003A1BEB">
              <w:rPr>
                <w:b/>
                <w:bCs/>
                <w:kern w:val="2"/>
                <w:lang w:val="lt-LT"/>
              </w:rPr>
              <w:lastRenderedPageBreak/>
              <w:t>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lastRenderedPageBreak/>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t>10. ESMINĖS SUTARTIES SĄLYGOS</w:t>
            </w:r>
          </w:p>
        </w:tc>
      </w:tr>
      <w:tr w:rsidR="003A1BEB" w:rsidRPr="00C23442"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C23442"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C23442"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7AC9D26A" w:rsidR="003A1BEB" w:rsidRPr="003A1BEB" w:rsidRDefault="003A1BEB" w:rsidP="00FB1E02">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3E507D">
              <w:rPr>
                <w:kern w:val="2"/>
                <w:lang w:val="lt-LT"/>
              </w:rPr>
              <w:t>24</w:t>
            </w:r>
            <w:r w:rsidRPr="003A1BEB">
              <w:rPr>
                <w:kern w:val="2"/>
                <w:lang w:val="lt-LT"/>
              </w:rPr>
              <w:t xml:space="preserve"> (</w:t>
            </w:r>
            <w:r w:rsidR="003E507D">
              <w:rPr>
                <w:kern w:val="2"/>
                <w:lang w:val="lt-LT"/>
              </w:rPr>
              <w:t>dvidešimt keturi</w:t>
            </w:r>
            <w:r w:rsidRPr="003A1BEB">
              <w:rPr>
                <w:kern w:val="2"/>
                <w:lang w:val="lt-LT"/>
              </w:rPr>
              <w:t>) mėnesi</w:t>
            </w:r>
            <w:r w:rsidR="003E507D">
              <w:rPr>
                <w:kern w:val="2"/>
                <w:lang w:val="lt-LT"/>
              </w:rPr>
              <w:t>ai</w:t>
            </w:r>
            <w:r w:rsidRPr="003A1BEB">
              <w:rPr>
                <w:kern w:val="2"/>
                <w:lang w:val="lt-LT"/>
              </w:rPr>
              <w:t>.</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C23442"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C23442"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C23442"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C23442"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t xml:space="preserve">13.1. Aplinkosauginių </w:t>
            </w:r>
            <w:r w:rsidRPr="003A1BEB">
              <w:rPr>
                <w:b/>
                <w:bCs/>
                <w:kern w:val="2"/>
                <w:lang w:val="lt-LT"/>
              </w:rPr>
              <w:lastRenderedPageBreak/>
              <w:t>kriterijų nustatymo 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lastRenderedPageBreak/>
              <w:t xml:space="preserve">Aplinkosauginiai kriterijai Prekėms nustatomi vadovaujantis Aplinkos </w:t>
            </w:r>
            <w:r w:rsidRPr="003A1BEB">
              <w:rPr>
                <w:kern w:val="2"/>
                <w:shd w:val="clear" w:color="auto" w:fill="FFFFFF"/>
                <w:lang w:val="lt-LT"/>
              </w:rPr>
              <w:lastRenderedPageBreak/>
              <w:t>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C23442"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BD69" w14:textId="77777777" w:rsidR="009D33C4" w:rsidRDefault="009D33C4" w:rsidP="000A171B">
      <w:r>
        <w:separator/>
      </w:r>
    </w:p>
  </w:endnote>
  <w:endnote w:type="continuationSeparator" w:id="0">
    <w:p w14:paraId="5E5DFC02" w14:textId="77777777" w:rsidR="009D33C4" w:rsidRDefault="009D33C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BABA" w14:textId="77777777" w:rsidR="009D33C4" w:rsidRDefault="009D33C4" w:rsidP="000A171B">
      <w:r>
        <w:separator/>
      </w:r>
    </w:p>
  </w:footnote>
  <w:footnote w:type="continuationSeparator" w:id="0">
    <w:p w14:paraId="3ACC0AF3" w14:textId="77777777" w:rsidR="009D33C4" w:rsidRDefault="009D33C4"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1BEB"/>
    <w:rsid w:val="003A772E"/>
    <w:rsid w:val="003A78E3"/>
    <w:rsid w:val="003B0B07"/>
    <w:rsid w:val="003B1887"/>
    <w:rsid w:val="003B3CC3"/>
    <w:rsid w:val="003B4577"/>
    <w:rsid w:val="003C021F"/>
    <w:rsid w:val="003C11A3"/>
    <w:rsid w:val="003C2AC0"/>
    <w:rsid w:val="003C3F12"/>
    <w:rsid w:val="003D22D3"/>
    <w:rsid w:val="003E21FE"/>
    <w:rsid w:val="003E507D"/>
    <w:rsid w:val="003F2A6F"/>
    <w:rsid w:val="003F2CE5"/>
    <w:rsid w:val="003F7C66"/>
    <w:rsid w:val="0042053E"/>
    <w:rsid w:val="00420C62"/>
    <w:rsid w:val="00421D3A"/>
    <w:rsid w:val="00423D4C"/>
    <w:rsid w:val="004465C1"/>
    <w:rsid w:val="0048337E"/>
    <w:rsid w:val="00496E8B"/>
    <w:rsid w:val="004B5F9C"/>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87A8D"/>
    <w:rsid w:val="00891807"/>
    <w:rsid w:val="0089754E"/>
    <w:rsid w:val="008C33C9"/>
    <w:rsid w:val="008C4D6C"/>
    <w:rsid w:val="008C5897"/>
    <w:rsid w:val="008D17F1"/>
    <w:rsid w:val="008D1D49"/>
    <w:rsid w:val="008D497E"/>
    <w:rsid w:val="008D7570"/>
    <w:rsid w:val="008F0868"/>
    <w:rsid w:val="008F0897"/>
    <w:rsid w:val="008F7499"/>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3C4"/>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23442"/>
    <w:rsid w:val="00C35BCB"/>
    <w:rsid w:val="00C40D3A"/>
    <w:rsid w:val="00C6344C"/>
    <w:rsid w:val="00C66A9C"/>
    <w:rsid w:val="00C701C5"/>
    <w:rsid w:val="00C70E6B"/>
    <w:rsid w:val="00C7757B"/>
    <w:rsid w:val="00C80A45"/>
    <w:rsid w:val="00C818CD"/>
    <w:rsid w:val="00C82D20"/>
    <w:rsid w:val="00C83CEA"/>
    <w:rsid w:val="00CA5B6A"/>
    <w:rsid w:val="00CA5FCF"/>
    <w:rsid w:val="00CB60ED"/>
    <w:rsid w:val="00CB6D57"/>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B20"/>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2606</TotalTime>
  <Pages>42</Pages>
  <Words>85744</Words>
  <Characters>48875</Characters>
  <Application>Microsoft Office Word</Application>
  <DocSecurity>0</DocSecurity>
  <Lines>407</Lines>
  <Paragraphs>268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186</cp:revision>
  <cp:lastPrinted>2019-11-13T10:58:00Z</cp:lastPrinted>
  <dcterms:created xsi:type="dcterms:W3CDTF">2012-01-17T09:47:00Z</dcterms:created>
  <dcterms:modified xsi:type="dcterms:W3CDTF">2026-02-20T11:46:00Z</dcterms:modified>
</cp:coreProperties>
</file>