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5FFA" w14:textId="1C9F7F3B" w:rsidR="004B1153" w:rsidRPr="006D57A9" w:rsidRDefault="00C64EEE" w:rsidP="006D57A9">
      <w:pPr>
        <w:spacing w:after="0" w:line="276" w:lineRule="auto"/>
        <w:jc w:val="both"/>
        <w:rPr>
          <w:rFonts w:cstheme="minorHAnsi"/>
          <w:b/>
          <w:sz w:val="28"/>
          <w:szCs w:val="28"/>
          <w:lang w:val="lt-LT"/>
        </w:rPr>
      </w:pPr>
      <w:r w:rsidRPr="006D57A9">
        <w:rPr>
          <w:rFonts w:cstheme="minorHAnsi"/>
          <w:b/>
          <w:sz w:val="28"/>
          <w:szCs w:val="28"/>
          <w:lang w:val="lt-LT"/>
        </w:rPr>
        <w:t>Viešojo pirkimo dokumentų paaiškinimas</w:t>
      </w:r>
      <w:r>
        <w:rPr>
          <w:rFonts w:cstheme="minorHAnsi"/>
          <w:b/>
          <w:sz w:val="28"/>
          <w:szCs w:val="28"/>
          <w:lang w:val="lt-LT"/>
        </w:rPr>
        <w:t xml:space="preserve"> / </w:t>
      </w:r>
      <w:proofErr w:type="spellStart"/>
      <w:r w:rsidRPr="00C64EEE">
        <w:rPr>
          <w:rFonts w:cstheme="minorHAnsi"/>
          <w:b/>
          <w:sz w:val="28"/>
          <w:szCs w:val="28"/>
          <w:lang w:val="lt-LT"/>
        </w:rPr>
        <w:t>Explanation</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of</w:t>
      </w:r>
      <w:proofErr w:type="spellEnd"/>
      <w:r w:rsidRPr="00C64EEE">
        <w:rPr>
          <w:rFonts w:cstheme="minorHAnsi"/>
          <w:b/>
          <w:sz w:val="28"/>
          <w:szCs w:val="28"/>
          <w:lang w:val="lt-LT"/>
        </w:rPr>
        <w:t xml:space="preserve"> </w:t>
      </w:r>
      <w:proofErr w:type="spellStart"/>
      <w:r w:rsidRPr="00C64EEE">
        <w:rPr>
          <w:rFonts w:cstheme="minorHAnsi"/>
          <w:b/>
          <w:sz w:val="28"/>
          <w:szCs w:val="28"/>
          <w:lang w:val="lt-LT"/>
        </w:rPr>
        <w:t>the</w:t>
      </w:r>
      <w:proofErr w:type="spellEnd"/>
      <w:r w:rsidRPr="00C64EEE">
        <w:rPr>
          <w:rFonts w:cstheme="minorHAnsi"/>
          <w:b/>
          <w:sz w:val="28"/>
          <w:szCs w:val="28"/>
          <w:lang w:val="lt-LT"/>
        </w:rPr>
        <w:t xml:space="preserve"> Procurement </w:t>
      </w:r>
      <w:proofErr w:type="spellStart"/>
      <w:r w:rsidRPr="00C64EEE">
        <w:rPr>
          <w:rFonts w:cstheme="minorHAnsi"/>
          <w:b/>
          <w:sz w:val="28"/>
          <w:szCs w:val="28"/>
          <w:lang w:val="lt-LT"/>
        </w:rPr>
        <w:t>Documents</w:t>
      </w:r>
      <w:proofErr w:type="spellEnd"/>
    </w:p>
    <w:p w14:paraId="5D2771BF" w14:textId="77777777" w:rsidR="00C64EEE" w:rsidRPr="006D57A9" w:rsidRDefault="00C64EEE" w:rsidP="004B1153">
      <w:pPr>
        <w:spacing w:after="0" w:line="276" w:lineRule="auto"/>
        <w:ind w:firstLine="709"/>
        <w:jc w:val="both"/>
        <w:rPr>
          <w:rFonts w:cstheme="minorHAnsi"/>
          <w:b/>
          <w:sz w:val="28"/>
          <w:szCs w:val="28"/>
          <w:lang w:val="lt-LT"/>
        </w:rPr>
      </w:pPr>
    </w:p>
    <w:p w14:paraId="52CBEF9B" w14:textId="5E6DEE25" w:rsidR="004B1153" w:rsidRPr="00567E7F" w:rsidRDefault="004B1153" w:rsidP="004B1153">
      <w:pPr>
        <w:spacing w:after="0" w:line="276" w:lineRule="auto"/>
        <w:jc w:val="both"/>
        <w:rPr>
          <w:rFonts w:cstheme="minorHAnsi"/>
          <w:b/>
          <w:lang w:val="lt-LT"/>
        </w:rPr>
      </w:pPr>
      <w:r w:rsidRPr="004D2364">
        <w:rPr>
          <w:rFonts w:cstheme="minorHAnsi"/>
          <w:shd w:val="clear" w:color="auto" w:fill="FFFFFF"/>
          <w:lang w:val="lt-LT"/>
        </w:rPr>
        <w:t>Viešojo pirkimo komisija išnagrinėjo tiekėjo pateikt</w:t>
      </w:r>
      <w:r w:rsidR="008E7AAC">
        <w:rPr>
          <w:rFonts w:cstheme="minorHAnsi"/>
          <w:shd w:val="clear" w:color="auto" w:fill="FFFFFF"/>
          <w:lang w:val="lt-LT"/>
        </w:rPr>
        <w:t>ą</w:t>
      </w:r>
      <w:r w:rsidRPr="004D2364">
        <w:rPr>
          <w:rFonts w:cstheme="minorHAnsi"/>
          <w:shd w:val="clear" w:color="auto" w:fill="FFFFFF"/>
          <w:lang w:val="lt-LT"/>
        </w:rPr>
        <w:t xml:space="preserve"> paklausim</w:t>
      </w:r>
      <w:r w:rsidR="008E7AAC">
        <w:rPr>
          <w:rFonts w:cstheme="minorHAnsi"/>
          <w:shd w:val="clear" w:color="auto" w:fill="FFFFFF"/>
          <w:lang w:val="lt-LT"/>
        </w:rPr>
        <w:t>ą</w:t>
      </w:r>
      <w:r w:rsidRPr="004D2364">
        <w:rPr>
          <w:rFonts w:cstheme="minorHAnsi"/>
          <w:shd w:val="clear" w:color="auto" w:fill="FFFFFF"/>
          <w:lang w:val="lt-LT"/>
        </w:rPr>
        <w:t xml:space="preserve"> / prašym</w:t>
      </w:r>
      <w:r w:rsidR="008E7AAC">
        <w:rPr>
          <w:rFonts w:cstheme="minorHAnsi"/>
          <w:shd w:val="clear" w:color="auto" w:fill="FFFFFF"/>
          <w:lang w:val="lt-LT"/>
        </w:rPr>
        <w:t>ą</w:t>
      </w:r>
      <w:r w:rsidRPr="004D2364">
        <w:rPr>
          <w:rFonts w:cstheme="minorHAnsi"/>
          <w:shd w:val="clear" w:color="auto" w:fill="FFFFFF"/>
          <w:lang w:val="lt-LT"/>
        </w:rPr>
        <w:t xml:space="preserve"> paaiškinti pirkimo sąlygas ir teikia atsakymu</w:t>
      </w:r>
      <w:r w:rsidRPr="004D2364">
        <w:rPr>
          <w:rFonts w:cstheme="minorHAnsi"/>
          <w:lang w:val="lt-LT"/>
        </w:rPr>
        <w:t>s /</w:t>
      </w:r>
      <w:r w:rsidRPr="004D2364">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Public Procurement </w:t>
      </w:r>
      <w:proofErr w:type="spellStart"/>
      <w:r w:rsidR="0084056F" w:rsidRPr="0084056F">
        <w:rPr>
          <w:rFonts w:cstheme="minorHAnsi"/>
          <w:b/>
          <w:lang w:val="lt-LT"/>
        </w:rPr>
        <w:t>Commission</w:t>
      </w:r>
      <w:proofErr w:type="spellEnd"/>
      <w:r w:rsidR="0084056F" w:rsidRPr="0084056F">
        <w:rPr>
          <w:rFonts w:cstheme="minorHAnsi"/>
          <w:b/>
          <w:lang w:val="lt-LT"/>
        </w:rPr>
        <w:t xml:space="preserve"> </w:t>
      </w:r>
      <w:proofErr w:type="spellStart"/>
      <w:r w:rsidR="0084056F" w:rsidRPr="0084056F">
        <w:rPr>
          <w:rFonts w:cstheme="minorHAnsi"/>
          <w:b/>
          <w:lang w:val="lt-LT"/>
        </w:rPr>
        <w:t>has</w:t>
      </w:r>
      <w:proofErr w:type="spellEnd"/>
      <w:r w:rsidR="0084056F" w:rsidRPr="0084056F">
        <w:rPr>
          <w:rFonts w:cstheme="minorHAnsi"/>
          <w:b/>
          <w:lang w:val="lt-LT"/>
        </w:rPr>
        <w:t xml:space="preserve"> </w:t>
      </w:r>
      <w:proofErr w:type="spellStart"/>
      <w:r w:rsidR="0084056F" w:rsidRPr="0084056F">
        <w:rPr>
          <w:rFonts w:cstheme="minorHAnsi"/>
          <w:b/>
          <w:lang w:val="lt-LT"/>
        </w:rPr>
        <w:t>examined</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supplier’s</w:t>
      </w:r>
      <w:proofErr w:type="spellEnd"/>
      <w:r w:rsidR="0084056F" w:rsidRPr="0084056F">
        <w:rPr>
          <w:rFonts w:cstheme="minorHAnsi"/>
          <w:b/>
          <w:lang w:val="lt-LT"/>
        </w:rPr>
        <w:t xml:space="preserve"> </w:t>
      </w:r>
      <w:proofErr w:type="spellStart"/>
      <w:r w:rsidR="0084056F" w:rsidRPr="0084056F">
        <w:rPr>
          <w:rFonts w:cstheme="minorHAnsi"/>
          <w:b/>
          <w:lang w:val="lt-LT"/>
        </w:rPr>
        <w:t>request</w:t>
      </w:r>
      <w:proofErr w:type="spellEnd"/>
      <w:r w:rsidR="0084056F" w:rsidRPr="0084056F">
        <w:rPr>
          <w:rFonts w:cstheme="minorHAnsi"/>
          <w:b/>
          <w:lang w:val="lt-LT"/>
        </w:rPr>
        <w:t xml:space="preserve"> </w:t>
      </w:r>
      <w:proofErr w:type="spellStart"/>
      <w:r w:rsidR="0084056F" w:rsidRPr="0084056F">
        <w:rPr>
          <w:rFonts w:cstheme="minorHAnsi"/>
          <w:b/>
          <w:lang w:val="lt-LT"/>
        </w:rPr>
        <w:t>for</w:t>
      </w:r>
      <w:proofErr w:type="spellEnd"/>
      <w:r w:rsidR="0084056F" w:rsidRPr="0084056F">
        <w:rPr>
          <w:rFonts w:cstheme="minorHAnsi"/>
          <w:b/>
          <w:lang w:val="lt-LT"/>
        </w:rPr>
        <w:t xml:space="preserve"> </w:t>
      </w:r>
      <w:proofErr w:type="spellStart"/>
      <w:r w:rsidR="0084056F" w:rsidRPr="0084056F">
        <w:rPr>
          <w:rFonts w:cstheme="minorHAnsi"/>
          <w:b/>
          <w:lang w:val="lt-LT"/>
        </w:rPr>
        <w:t>clarification</w:t>
      </w:r>
      <w:proofErr w:type="spellEnd"/>
      <w:r w:rsidR="0084056F" w:rsidRPr="0084056F">
        <w:rPr>
          <w:rFonts w:cstheme="minorHAnsi"/>
          <w:b/>
          <w:lang w:val="lt-LT"/>
        </w:rPr>
        <w:t xml:space="preserve"> </w:t>
      </w:r>
      <w:proofErr w:type="spellStart"/>
      <w:r w:rsidR="0084056F" w:rsidRPr="0084056F">
        <w:rPr>
          <w:rFonts w:cstheme="minorHAnsi"/>
          <w:b/>
          <w:lang w:val="lt-LT"/>
        </w:rPr>
        <w:t>of</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Procurement </w:t>
      </w:r>
      <w:proofErr w:type="spellStart"/>
      <w:r w:rsidR="0084056F" w:rsidRPr="0084056F">
        <w:rPr>
          <w:rFonts w:cstheme="minorHAnsi"/>
          <w:b/>
          <w:lang w:val="lt-LT"/>
        </w:rPr>
        <w:t>Conditions</w:t>
      </w:r>
      <w:proofErr w:type="spellEnd"/>
      <w:r w:rsidR="0084056F" w:rsidRPr="0084056F">
        <w:rPr>
          <w:rFonts w:cstheme="minorHAnsi"/>
          <w:b/>
          <w:lang w:val="lt-LT"/>
        </w:rPr>
        <w:t xml:space="preserve"> </w:t>
      </w:r>
      <w:proofErr w:type="spellStart"/>
      <w:r w:rsidR="0084056F" w:rsidRPr="0084056F">
        <w:rPr>
          <w:rFonts w:cstheme="minorHAnsi"/>
          <w:b/>
          <w:lang w:val="lt-LT"/>
        </w:rPr>
        <w:t>and</w:t>
      </w:r>
      <w:proofErr w:type="spellEnd"/>
      <w:r w:rsidR="0084056F" w:rsidRPr="0084056F">
        <w:rPr>
          <w:rFonts w:cstheme="minorHAnsi"/>
          <w:b/>
          <w:lang w:val="lt-LT"/>
        </w:rPr>
        <w:t xml:space="preserve"> </w:t>
      </w:r>
      <w:proofErr w:type="spellStart"/>
      <w:r w:rsidR="0084056F" w:rsidRPr="0084056F">
        <w:rPr>
          <w:rFonts w:cstheme="minorHAnsi"/>
          <w:b/>
          <w:lang w:val="lt-LT"/>
        </w:rPr>
        <w:t>provides</w:t>
      </w:r>
      <w:proofErr w:type="spellEnd"/>
      <w:r w:rsidR="0084056F" w:rsidRPr="0084056F">
        <w:rPr>
          <w:rFonts w:cstheme="minorHAnsi"/>
          <w:b/>
          <w:lang w:val="lt-LT"/>
        </w:rPr>
        <w:t xml:space="preserve"> </w:t>
      </w:r>
      <w:proofErr w:type="spellStart"/>
      <w:r w:rsidR="0084056F" w:rsidRPr="0084056F">
        <w:rPr>
          <w:rFonts w:cstheme="minorHAnsi"/>
          <w:b/>
          <w:lang w:val="lt-LT"/>
        </w:rPr>
        <w:t>the</w:t>
      </w:r>
      <w:proofErr w:type="spellEnd"/>
      <w:r w:rsidR="0084056F" w:rsidRPr="0084056F">
        <w:rPr>
          <w:rFonts w:cstheme="minorHAnsi"/>
          <w:b/>
          <w:lang w:val="lt-LT"/>
        </w:rPr>
        <w:t xml:space="preserve"> </w:t>
      </w:r>
      <w:proofErr w:type="spellStart"/>
      <w:r w:rsidR="0084056F" w:rsidRPr="0084056F">
        <w:rPr>
          <w:rFonts w:cstheme="minorHAnsi"/>
          <w:b/>
          <w:lang w:val="lt-LT"/>
        </w:rPr>
        <w:t>following</w:t>
      </w:r>
      <w:proofErr w:type="spellEnd"/>
      <w:r w:rsidR="0084056F" w:rsidRPr="0084056F">
        <w:rPr>
          <w:rFonts w:cstheme="minorHAnsi"/>
          <w:b/>
          <w:lang w:val="lt-LT"/>
        </w:rPr>
        <w:t xml:space="preserve"> </w:t>
      </w:r>
      <w:proofErr w:type="spellStart"/>
      <w:r w:rsidR="0084056F" w:rsidRPr="0084056F">
        <w:rPr>
          <w:rFonts w:cstheme="minorHAnsi"/>
          <w:b/>
          <w:lang w:val="lt-LT"/>
        </w:rPr>
        <w:t>response</w:t>
      </w:r>
      <w:proofErr w:type="spellEnd"/>
      <w:r w:rsidR="0084056F" w:rsidRPr="0084056F">
        <w:rPr>
          <w:rFonts w:cstheme="minorHAnsi"/>
          <w:b/>
          <w:lang w:val="lt-LT"/>
        </w:rPr>
        <w:t>:</w:t>
      </w:r>
    </w:p>
    <w:p w14:paraId="74B3FBD3" w14:textId="77777777" w:rsidR="004B1153" w:rsidRPr="004D2364" w:rsidRDefault="004B1153" w:rsidP="004B1153">
      <w:pPr>
        <w:spacing w:after="0" w:line="276" w:lineRule="auto"/>
        <w:jc w:val="both"/>
        <w:rPr>
          <w:rFonts w:cstheme="minorHAnsi"/>
          <w:b/>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4820"/>
      </w:tblGrid>
      <w:tr w:rsidR="004B1153" w:rsidRPr="004D2364" w14:paraId="17B9D21D" w14:textId="77777777" w:rsidTr="00C25CE9">
        <w:tc>
          <w:tcPr>
            <w:tcW w:w="851" w:type="dxa"/>
            <w:tcBorders>
              <w:top w:val="single" w:sz="4" w:space="0" w:color="auto"/>
              <w:left w:val="single" w:sz="4" w:space="0" w:color="auto"/>
              <w:bottom w:val="single" w:sz="4" w:space="0" w:color="auto"/>
              <w:right w:val="single" w:sz="4" w:space="0" w:color="auto"/>
            </w:tcBorders>
            <w:hideMark/>
          </w:tcPr>
          <w:p w14:paraId="37D0CAC9" w14:textId="77777777" w:rsidR="004B1153" w:rsidRPr="00A3552A" w:rsidRDefault="004B1153" w:rsidP="00A3552A">
            <w:pPr>
              <w:spacing w:before="60" w:after="60" w:line="240" w:lineRule="auto"/>
              <w:ind w:firstLine="40"/>
              <w:jc w:val="center"/>
              <w:rPr>
                <w:rFonts w:cstheme="minorHAnsi"/>
                <w:b/>
                <w:shd w:val="clear" w:color="auto" w:fill="FFFFFF"/>
                <w:lang w:val="lt-LT"/>
              </w:rPr>
            </w:pPr>
            <w:r w:rsidRPr="00A3552A">
              <w:rPr>
                <w:rFonts w:cstheme="minorHAnsi"/>
                <w:b/>
                <w:shd w:val="clear" w:color="auto" w:fill="FFFFFF"/>
                <w:lang w:val="lt-LT"/>
              </w:rPr>
              <w:t>Nr./</w:t>
            </w:r>
          </w:p>
          <w:p w14:paraId="600041AE" w14:textId="77777777" w:rsidR="004B1153" w:rsidRPr="00A3552A" w:rsidRDefault="004B1153" w:rsidP="00A3552A">
            <w:pPr>
              <w:spacing w:before="60" w:after="60" w:line="240" w:lineRule="auto"/>
              <w:ind w:firstLine="40"/>
              <w:jc w:val="center"/>
              <w:rPr>
                <w:rFonts w:cstheme="minorHAnsi"/>
                <w:b/>
                <w:shd w:val="clear" w:color="auto" w:fill="FFFFFF"/>
                <w:lang w:val="lt-LT"/>
              </w:rPr>
            </w:pPr>
            <w:proofErr w:type="spellStart"/>
            <w:r w:rsidRPr="00A3552A">
              <w:rPr>
                <w:rFonts w:cstheme="minorHAnsi"/>
                <w:b/>
                <w:shd w:val="clear" w:color="auto" w:fill="FFFFFF"/>
                <w:lang w:val="lt-LT"/>
              </w:rPr>
              <w:t>No</w:t>
            </w:r>
            <w:proofErr w:type="spellEnd"/>
          </w:p>
          <w:p w14:paraId="04E4A70D" w14:textId="77777777" w:rsidR="004B1153" w:rsidRPr="00A3552A" w:rsidRDefault="004B1153" w:rsidP="00A3552A">
            <w:pPr>
              <w:spacing w:before="60" w:after="60" w:line="240" w:lineRule="auto"/>
              <w:ind w:firstLine="40"/>
              <w:jc w:val="center"/>
              <w:rPr>
                <w:rFonts w:cstheme="minorHAnsi"/>
                <w:b/>
                <w:shd w:val="clear" w:color="auto" w:fill="FFFFFF"/>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52E95458" w14:textId="0BC43F95" w:rsidR="004B1153" w:rsidRPr="00A3552A" w:rsidRDefault="004B1153" w:rsidP="00A3552A">
            <w:pPr>
              <w:spacing w:before="60" w:after="60" w:line="240" w:lineRule="auto"/>
              <w:ind w:hanging="108"/>
              <w:jc w:val="center"/>
              <w:rPr>
                <w:rFonts w:cstheme="minorHAnsi"/>
                <w:b/>
                <w:shd w:val="clear" w:color="auto" w:fill="FFFFFF"/>
                <w:lang w:val="lt-LT"/>
              </w:rPr>
            </w:pPr>
            <w:r w:rsidRPr="00A3552A">
              <w:rPr>
                <w:rFonts w:cstheme="minorHAnsi"/>
                <w:b/>
                <w:shd w:val="clear" w:color="auto" w:fill="FFFFFF"/>
                <w:lang w:val="lt-LT"/>
              </w:rPr>
              <w:t xml:space="preserve">Klausimas/prašymas* / </w:t>
            </w:r>
            <w:proofErr w:type="spellStart"/>
            <w:r w:rsidRPr="00A3552A">
              <w:rPr>
                <w:rFonts w:cstheme="minorHAnsi"/>
                <w:b/>
                <w:shd w:val="clear" w:color="auto" w:fill="FFFFFF"/>
                <w:lang w:val="lt-LT"/>
              </w:rPr>
              <w:t>Question</w:t>
            </w:r>
            <w:proofErr w:type="spellEnd"/>
            <w:r w:rsidRPr="00A3552A">
              <w:rPr>
                <w:rFonts w:cstheme="minorHAnsi"/>
                <w:b/>
                <w:shd w:val="clear" w:color="auto" w:fill="FFFFFF"/>
                <w:lang w:val="lt-LT"/>
              </w:rPr>
              <w:t>/</w:t>
            </w:r>
            <w:proofErr w:type="spellStart"/>
            <w:r w:rsidRPr="00A3552A">
              <w:rPr>
                <w:rFonts w:cstheme="minorHAnsi"/>
                <w:b/>
                <w:shd w:val="clear" w:color="auto" w:fill="FFFFFF"/>
                <w:lang w:val="lt-LT"/>
              </w:rPr>
              <w:t>request</w:t>
            </w:r>
            <w:proofErr w:type="spellEnd"/>
            <w:r w:rsidRPr="00A3552A">
              <w:rPr>
                <w:rFonts w:cstheme="minorHAnsi"/>
                <w:b/>
                <w:shd w:val="clear" w:color="auto" w:fill="FFFFFF"/>
                <w:lang w:val="lt-LT"/>
              </w:rPr>
              <w:t xml:space="preserve">* </w:t>
            </w:r>
          </w:p>
        </w:tc>
        <w:tc>
          <w:tcPr>
            <w:tcW w:w="4820" w:type="dxa"/>
            <w:tcBorders>
              <w:top w:val="single" w:sz="4" w:space="0" w:color="auto"/>
              <w:left w:val="single" w:sz="4" w:space="0" w:color="auto"/>
              <w:bottom w:val="single" w:sz="4" w:space="0" w:color="auto"/>
              <w:right w:val="single" w:sz="4" w:space="0" w:color="auto"/>
            </w:tcBorders>
            <w:hideMark/>
          </w:tcPr>
          <w:p w14:paraId="5C559DC4" w14:textId="77777777" w:rsidR="004B1153" w:rsidRPr="00A3552A" w:rsidRDefault="004B1153" w:rsidP="00A3552A">
            <w:pPr>
              <w:spacing w:before="60" w:after="60" w:line="240" w:lineRule="auto"/>
              <w:jc w:val="center"/>
              <w:rPr>
                <w:rFonts w:cstheme="minorHAnsi"/>
                <w:b/>
                <w:shd w:val="clear" w:color="auto" w:fill="FFFFFF"/>
                <w:lang w:val="lt-LT"/>
              </w:rPr>
            </w:pPr>
            <w:r w:rsidRPr="00A3552A">
              <w:rPr>
                <w:rFonts w:cstheme="minorHAnsi"/>
                <w:b/>
                <w:shd w:val="clear" w:color="auto" w:fill="FFFFFF"/>
                <w:lang w:val="lt-LT"/>
              </w:rPr>
              <w:t xml:space="preserve">Paaiškinimas / patikslinimas / </w:t>
            </w:r>
          </w:p>
          <w:p w14:paraId="5B925453" w14:textId="77777777" w:rsidR="004B1153" w:rsidRPr="00A3552A" w:rsidRDefault="004B1153" w:rsidP="00A3552A">
            <w:pPr>
              <w:spacing w:before="60" w:after="60" w:line="240" w:lineRule="auto"/>
              <w:jc w:val="center"/>
              <w:rPr>
                <w:rFonts w:cstheme="minorHAnsi"/>
                <w:b/>
                <w:shd w:val="clear" w:color="auto" w:fill="FFFFFF"/>
                <w:lang w:val="lt-LT"/>
              </w:rPr>
            </w:pPr>
            <w:proofErr w:type="spellStart"/>
            <w:r w:rsidRPr="00A3552A">
              <w:rPr>
                <w:rFonts w:cstheme="minorHAnsi"/>
                <w:b/>
                <w:shd w:val="clear" w:color="auto" w:fill="FFFFFF"/>
                <w:lang w:val="lt-LT"/>
              </w:rPr>
              <w:t>Explanation</w:t>
            </w:r>
            <w:proofErr w:type="spellEnd"/>
            <w:r w:rsidRPr="00A3552A">
              <w:rPr>
                <w:rFonts w:cstheme="minorHAnsi"/>
                <w:b/>
                <w:shd w:val="clear" w:color="auto" w:fill="FFFFFF"/>
                <w:lang w:val="lt-LT"/>
              </w:rPr>
              <w:t xml:space="preserve"> / </w:t>
            </w:r>
            <w:proofErr w:type="spellStart"/>
            <w:r w:rsidRPr="00A3552A">
              <w:rPr>
                <w:rFonts w:cstheme="minorHAnsi"/>
                <w:b/>
                <w:shd w:val="clear" w:color="auto" w:fill="FFFFFF"/>
                <w:lang w:val="lt-LT"/>
              </w:rPr>
              <w:t>clarification</w:t>
            </w:r>
            <w:proofErr w:type="spellEnd"/>
          </w:p>
        </w:tc>
      </w:tr>
      <w:tr w:rsidR="004B1153" w:rsidRPr="00EA7D69" w14:paraId="5D8C2DA7" w14:textId="77777777" w:rsidTr="0098262F">
        <w:trPr>
          <w:trHeight w:val="70"/>
        </w:trPr>
        <w:tc>
          <w:tcPr>
            <w:tcW w:w="851" w:type="dxa"/>
          </w:tcPr>
          <w:p w14:paraId="4EBE73D5" w14:textId="1FF4A02D" w:rsidR="004B1153" w:rsidRPr="00A3552A" w:rsidRDefault="00A93D8D" w:rsidP="00A3552A">
            <w:pPr>
              <w:spacing w:before="60" w:after="60" w:line="240" w:lineRule="auto"/>
              <w:ind w:left="360"/>
              <w:jc w:val="both"/>
              <w:rPr>
                <w:rFonts w:cstheme="minorHAnsi"/>
                <w:shd w:val="clear" w:color="auto" w:fill="FFFFFF"/>
              </w:rPr>
            </w:pPr>
            <w:r w:rsidRPr="00A3552A">
              <w:rPr>
                <w:rFonts w:cstheme="minorHAnsi"/>
                <w:shd w:val="clear" w:color="auto" w:fill="FFFFFF"/>
              </w:rPr>
              <w:t>1.</w:t>
            </w:r>
          </w:p>
        </w:tc>
        <w:tc>
          <w:tcPr>
            <w:tcW w:w="4252" w:type="dxa"/>
          </w:tcPr>
          <w:p w14:paraId="4DE4F05E" w14:textId="7AF1F33D" w:rsidR="005D1273" w:rsidRPr="005F7977" w:rsidRDefault="0068670A" w:rsidP="00A3552A">
            <w:pPr>
              <w:spacing w:before="60" w:after="60" w:line="240" w:lineRule="auto"/>
              <w:jc w:val="both"/>
              <w:rPr>
                <w:rFonts w:cstheme="minorHAnsi"/>
                <w:b/>
                <w:bCs/>
                <w:shd w:val="clear" w:color="auto" w:fill="FFFFFF"/>
                <w:lang w:val="en-GB"/>
              </w:rPr>
            </w:pPr>
            <w:r w:rsidRPr="005F7977">
              <w:rPr>
                <w:rFonts w:cstheme="minorHAnsi"/>
                <w:b/>
                <w:bCs/>
                <w:shd w:val="clear" w:color="auto" w:fill="FFFFFF"/>
                <w:lang w:val="en-GB"/>
              </w:rPr>
              <w:t>In English:</w:t>
            </w:r>
          </w:p>
          <w:p w14:paraId="3E1A02DA" w14:textId="2CF08D95" w:rsidR="00EC3B20" w:rsidRPr="005F7977" w:rsidRDefault="005F7977" w:rsidP="00A3552A">
            <w:pPr>
              <w:spacing w:before="60" w:after="60" w:line="240" w:lineRule="auto"/>
              <w:jc w:val="both"/>
            </w:pPr>
            <w:r w:rsidRPr="005F7977">
              <w:t>Please</w:t>
            </w:r>
            <w:r w:rsidRPr="005F7977">
              <w:t xml:space="preserve"> provide additional information regarding the outdoor lighting project.</w:t>
            </w:r>
            <w:r w:rsidRPr="005F7977">
              <w:br/>
            </w:r>
            <w:r w:rsidRPr="005F7977">
              <w:br/>
              <w:t>In the project documentation, we did not find the "outdoor lighting" section, but there are scopes of work in the corresponding section in the statement of scopes. Please provide design solutions for outdoor lighting.</w:t>
            </w:r>
            <w:r w:rsidRPr="005F7977">
              <w:br/>
              <w:t>Or provide an answer that these works should not be included in the proposal.</w:t>
            </w:r>
          </w:p>
          <w:p w14:paraId="43CFE791" w14:textId="77777777" w:rsidR="005F7977" w:rsidRPr="005F7977" w:rsidRDefault="005F7977" w:rsidP="00A3552A">
            <w:pPr>
              <w:spacing w:before="60" w:after="60" w:line="240" w:lineRule="auto"/>
              <w:jc w:val="both"/>
              <w:rPr>
                <w:rFonts w:eastAsia="Times New Roman" w:cs="Times New Roman"/>
                <w:b/>
                <w:bCs/>
                <w:lang w:val="en-GB" w:eastAsia="lt-LT"/>
              </w:rPr>
            </w:pPr>
          </w:p>
          <w:p w14:paraId="5CEC0C2E" w14:textId="77777777" w:rsidR="004B1153" w:rsidRPr="005F7977" w:rsidRDefault="00EC3B20" w:rsidP="00A3552A">
            <w:pPr>
              <w:spacing w:before="60" w:after="60" w:line="240" w:lineRule="auto"/>
              <w:jc w:val="both"/>
              <w:rPr>
                <w:rFonts w:eastAsia="Times New Roman" w:cs="Times New Roman"/>
                <w:b/>
                <w:bCs/>
                <w:lang w:val="pt-BR" w:eastAsia="lt-LT"/>
              </w:rPr>
            </w:pPr>
            <w:r w:rsidRPr="005F7977">
              <w:rPr>
                <w:rFonts w:eastAsia="Times New Roman" w:cs="Times New Roman"/>
                <w:b/>
                <w:bCs/>
                <w:lang w:val="pt-BR" w:eastAsia="lt-LT"/>
              </w:rPr>
              <w:t xml:space="preserve">Klausimo vertimas į </w:t>
            </w:r>
            <w:r w:rsidR="00A1792D" w:rsidRPr="005F7977">
              <w:rPr>
                <w:rFonts w:eastAsia="Times New Roman" w:cs="Times New Roman"/>
                <w:b/>
                <w:bCs/>
                <w:lang w:val="pt-BR" w:eastAsia="lt-LT"/>
              </w:rPr>
              <w:t>L</w:t>
            </w:r>
            <w:r w:rsidR="00EA0A91" w:rsidRPr="005F7977">
              <w:rPr>
                <w:rFonts w:eastAsia="Times New Roman" w:cs="Times New Roman"/>
                <w:b/>
                <w:bCs/>
                <w:lang w:val="pt-BR" w:eastAsia="lt-LT"/>
              </w:rPr>
              <w:t>ietuvių kalb</w:t>
            </w:r>
            <w:r w:rsidRPr="005F7977">
              <w:rPr>
                <w:rFonts w:eastAsia="Times New Roman" w:cs="Times New Roman"/>
                <w:b/>
                <w:bCs/>
                <w:lang w:val="pt-BR" w:eastAsia="lt-LT"/>
              </w:rPr>
              <w:t>ą</w:t>
            </w:r>
            <w:r w:rsidR="00EA0A91" w:rsidRPr="005F7977">
              <w:rPr>
                <w:rFonts w:eastAsia="Times New Roman" w:cs="Times New Roman"/>
                <w:b/>
                <w:bCs/>
                <w:lang w:val="pt-BR" w:eastAsia="lt-LT"/>
              </w:rPr>
              <w:t xml:space="preserve">: </w:t>
            </w:r>
          </w:p>
          <w:p w14:paraId="2CF1BE55" w14:textId="77777777" w:rsidR="005F7977" w:rsidRPr="005F7977" w:rsidRDefault="005F7977" w:rsidP="005F7977">
            <w:pPr>
              <w:spacing w:before="60" w:after="60" w:line="240" w:lineRule="auto"/>
              <w:jc w:val="both"/>
              <w:rPr>
                <w:rFonts w:eastAsia="Times New Roman" w:cs="Times New Roman"/>
                <w:lang w:val="lt-LT" w:eastAsia="lt-LT"/>
              </w:rPr>
            </w:pPr>
            <w:r w:rsidRPr="005F7977">
              <w:rPr>
                <w:rFonts w:eastAsia="Times New Roman" w:cs="Times New Roman"/>
                <w:lang w:val="lt-LT" w:eastAsia="lt-LT"/>
              </w:rPr>
              <w:t>Prašome pateikti papildomą informaciją dėl lauko apšvietimo projekto.</w:t>
            </w:r>
          </w:p>
          <w:p w14:paraId="511F82A4" w14:textId="77777777" w:rsidR="005F7977" w:rsidRPr="005F7977" w:rsidRDefault="005F7977" w:rsidP="005F7977">
            <w:pPr>
              <w:spacing w:before="60" w:after="60" w:line="240" w:lineRule="auto"/>
              <w:jc w:val="both"/>
              <w:rPr>
                <w:rFonts w:eastAsia="Times New Roman" w:cs="Times New Roman"/>
                <w:lang w:val="lt-LT" w:eastAsia="lt-LT"/>
              </w:rPr>
            </w:pPr>
            <w:r w:rsidRPr="005F7977">
              <w:rPr>
                <w:rFonts w:eastAsia="Times New Roman" w:cs="Times New Roman"/>
                <w:lang w:val="lt-LT" w:eastAsia="lt-LT"/>
              </w:rPr>
              <w:t>Projektinėje dokumentacijoje neradome skyriaus „lauko apšvietimas“, tačiau atitinkamame darbų kiekių žiniaraščio skyriuje yra numatytos darbų apimtys. Prašome pateikti lauko apšvietimo projektinius sprendinius.</w:t>
            </w:r>
          </w:p>
          <w:p w14:paraId="41083870" w14:textId="7BB94960" w:rsidR="0098262F" w:rsidRPr="005F7977" w:rsidRDefault="005F7977" w:rsidP="00A3552A">
            <w:pPr>
              <w:spacing w:before="60" w:after="60" w:line="240" w:lineRule="auto"/>
              <w:jc w:val="both"/>
              <w:rPr>
                <w:rFonts w:eastAsia="Times New Roman" w:cs="Times New Roman"/>
                <w:lang w:val="lt-LT" w:eastAsia="lt-LT"/>
              </w:rPr>
            </w:pPr>
            <w:r w:rsidRPr="005F7977">
              <w:rPr>
                <w:rFonts w:eastAsia="Times New Roman" w:cs="Times New Roman"/>
                <w:lang w:val="lt-LT" w:eastAsia="lt-LT"/>
              </w:rPr>
              <w:t>Arba pateikti atsakymą, kad šie darbai neturi būti įtraukti į pasiūlymą.</w:t>
            </w:r>
          </w:p>
        </w:tc>
        <w:tc>
          <w:tcPr>
            <w:tcW w:w="4820" w:type="dxa"/>
          </w:tcPr>
          <w:p w14:paraId="1C53917B" w14:textId="77777777" w:rsidR="00192618" w:rsidRPr="005F7977" w:rsidRDefault="00192618" w:rsidP="00A3552A">
            <w:pPr>
              <w:spacing w:before="60" w:after="60" w:line="240" w:lineRule="auto"/>
              <w:jc w:val="both"/>
              <w:rPr>
                <w:rFonts w:cstheme="minorHAnsi"/>
                <w:b/>
                <w:bCs/>
                <w:shd w:val="clear" w:color="auto" w:fill="FFFFFF"/>
                <w:lang w:val="en-GB"/>
              </w:rPr>
            </w:pPr>
            <w:r w:rsidRPr="005F7977">
              <w:rPr>
                <w:rFonts w:cstheme="minorHAnsi"/>
                <w:b/>
                <w:bCs/>
                <w:shd w:val="clear" w:color="auto" w:fill="FFFFFF"/>
                <w:lang w:val="en-GB"/>
              </w:rPr>
              <w:t>In English:</w:t>
            </w:r>
          </w:p>
          <w:p w14:paraId="05AEA520" w14:textId="77777777" w:rsidR="005F7977" w:rsidRPr="005F7977" w:rsidRDefault="005F7977" w:rsidP="005F7977">
            <w:pPr>
              <w:spacing w:before="60" w:after="60" w:line="240" w:lineRule="auto"/>
              <w:jc w:val="both"/>
              <w:rPr>
                <w:rFonts w:cstheme="minorHAnsi"/>
                <w:shd w:val="clear" w:color="auto" w:fill="FFFFFF"/>
                <w:lang w:val="en-GB"/>
              </w:rPr>
            </w:pPr>
            <w:r w:rsidRPr="005F7977">
              <w:rPr>
                <w:rFonts w:cstheme="minorHAnsi"/>
                <w:shd w:val="clear" w:color="auto" w:fill="FFFFFF"/>
                <w:lang w:val="en-GB"/>
              </w:rPr>
              <w:t>There is no separate section for outdoor lighting in the design documentation. However, the design solutions related to outdoor lighting are provided in Volumes 5.4 ТОМ_V_КНИГА_4 - 05-2025-01-ЕТР and 4.4 ТОМ_VІ_КНИГА_4 - 05-2025-01-ГП of the attached project.</w:t>
            </w:r>
          </w:p>
          <w:p w14:paraId="29698FE8" w14:textId="09FFC994" w:rsidR="006F4891" w:rsidRPr="005F7977" w:rsidRDefault="005F7977" w:rsidP="005F7977">
            <w:pPr>
              <w:spacing w:before="60" w:after="60" w:line="240" w:lineRule="auto"/>
              <w:jc w:val="both"/>
              <w:rPr>
                <w:rFonts w:cstheme="minorHAnsi"/>
                <w:shd w:val="clear" w:color="auto" w:fill="FFFFFF"/>
                <w:lang w:val="en-GB"/>
              </w:rPr>
            </w:pPr>
            <w:r w:rsidRPr="005F7977">
              <w:rPr>
                <w:rFonts w:cstheme="minorHAnsi"/>
                <w:shd w:val="clear" w:color="auto" w:fill="FFFFFF"/>
                <w:lang w:val="en-GB"/>
              </w:rPr>
              <w:t>When preparing the tender, please follow the solutions related to outdoor lighting set out in these volumes.</w:t>
            </w:r>
          </w:p>
          <w:p w14:paraId="541DA0D9" w14:textId="77777777" w:rsidR="00F1351A" w:rsidRPr="005F7977" w:rsidRDefault="00F1351A" w:rsidP="00A3552A">
            <w:pPr>
              <w:spacing w:before="60" w:after="60" w:line="240" w:lineRule="auto"/>
              <w:jc w:val="both"/>
              <w:rPr>
                <w:rFonts w:cstheme="minorHAnsi"/>
                <w:b/>
                <w:bCs/>
                <w:shd w:val="clear" w:color="auto" w:fill="FFFFFF"/>
              </w:rPr>
            </w:pPr>
          </w:p>
          <w:p w14:paraId="23197F16" w14:textId="77777777" w:rsidR="005F7977" w:rsidRPr="005F7977" w:rsidRDefault="005F7977" w:rsidP="00A3552A">
            <w:pPr>
              <w:spacing w:before="60" w:after="60" w:line="240" w:lineRule="auto"/>
              <w:jc w:val="both"/>
              <w:rPr>
                <w:rFonts w:cstheme="minorHAnsi"/>
                <w:b/>
                <w:bCs/>
                <w:shd w:val="clear" w:color="auto" w:fill="FFFFFF"/>
              </w:rPr>
            </w:pPr>
          </w:p>
          <w:p w14:paraId="1F3DAA78" w14:textId="7BC2D02D" w:rsidR="00D332E4" w:rsidRPr="005F7977" w:rsidRDefault="00A1792D" w:rsidP="00A3552A">
            <w:pPr>
              <w:spacing w:before="60" w:after="60" w:line="240" w:lineRule="auto"/>
              <w:jc w:val="both"/>
              <w:rPr>
                <w:rFonts w:cstheme="minorHAnsi"/>
                <w:b/>
                <w:bCs/>
                <w:shd w:val="clear" w:color="auto" w:fill="FFFFFF"/>
                <w:lang w:val="lt-LT"/>
              </w:rPr>
            </w:pPr>
            <w:r w:rsidRPr="005F7977">
              <w:rPr>
                <w:rFonts w:cstheme="minorHAnsi"/>
                <w:b/>
                <w:bCs/>
                <w:shd w:val="clear" w:color="auto" w:fill="FFFFFF"/>
                <w:lang w:val="lt-LT"/>
              </w:rPr>
              <w:t>Lietuvių kalba</w:t>
            </w:r>
            <w:r w:rsidR="005F7977" w:rsidRPr="005F7977">
              <w:rPr>
                <w:rFonts w:cstheme="minorHAnsi"/>
                <w:b/>
                <w:bCs/>
                <w:shd w:val="clear" w:color="auto" w:fill="FFFFFF"/>
                <w:lang w:val="lt-LT"/>
              </w:rPr>
              <w:t>:</w:t>
            </w:r>
          </w:p>
          <w:p w14:paraId="1FCB1958" w14:textId="77777777" w:rsidR="005F7977" w:rsidRPr="005F7977" w:rsidRDefault="005F7977" w:rsidP="005F7977">
            <w:pPr>
              <w:spacing w:before="60" w:after="60" w:line="240" w:lineRule="auto"/>
              <w:jc w:val="both"/>
              <w:rPr>
                <w:rFonts w:cstheme="minorHAnsi"/>
                <w:shd w:val="clear" w:color="auto" w:fill="FFFFFF"/>
                <w:lang w:val="lt-LT"/>
              </w:rPr>
            </w:pPr>
            <w:r w:rsidRPr="005F7977">
              <w:rPr>
                <w:rFonts w:cstheme="minorHAnsi"/>
                <w:shd w:val="clear" w:color="auto" w:fill="FFFFFF"/>
                <w:lang w:val="lt-LT"/>
              </w:rPr>
              <w:t>Lauko apšvietimui atskiro skyriaus projektinėje dokumentacijoje nėra. Tačiau projektiniai sprendiniai, susiję su lauko apšvietimu, yra pateikti pridėto projekto tomuose 5.4 ТОМ_V_КНИГА_4 - 05-2025-01-ЕТР ir 4.4 ТОМ_VІ_КНИГА_4 - 05-2025-01-ГП</w:t>
            </w:r>
          </w:p>
          <w:p w14:paraId="77644A88" w14:textId="47A3132C" w:rsidR="0098262F" w:rsidRPr="005F7977" w:rsidRDefault="005F7977" w:rsidP="00A3552A">
            <w:pPr>
              <w:spacing w:before="60" w:after="60" w:line="240" w:lineRule="auto"/>
              <w:jc w:val="both"/>
              <w:rPr>
                <w:rFonts w:cstheme="minorHAnsi"/>
                <w:shd w:val="clear" w:color="auto" w:fill="FFFFFF"/>
                <w:lang w:val="lt-LT"/>
              </w:rPr>
            </w:pPr>
            <w:r w:rsidRPr="005F7977">
              <w:rPr>
                <w:rFonts w:cstheme="minorHAnsi"/>
                <w:shd w:val="clear" w:color="auto" w:fill="FFFFFF"/>
                <w:lang w:val="lt-LT"/>
              </w:rPr>
              <w:t>Prašome vadovautis šiuose tomuose pateiktais sprendiniais, susijusiais su lauko apšvietimu, rengiant pasiūlymą.</w:t>
            </w:r>
          </w:p>
        </w:tc>
      </w:tr>
    </w:tbl>
    <w:p w14:paraId="0E7261A6" w14:textId="77777777" w:rsidR="001758CB" w:rsidRPr="000D113E" w:rsidRDefault="001758CB" w:rsidP="004B1153">
      <w:pPr>
        <w:spacing w:after="0" w:line="276" w:lineRule="auto"/>
        <w:jc w:val="both"/>
        <w:rPr>
          <w:rFonts w:cstheme="minorHAnsi"/>
          <w:i/>
          <w:shd w:val="clear" w:color="auto" w:fill="FFFFFF"/>
          <w:lang w:val="lt-LT"/>
        </w:rPr>
      </w:pPr>
    </w:p>
    <w:p w14:paraId="7527CF07" w14:textId="653A739E" w:rsidR="004B1153" w:rsidRPr="004D2364" w:rsidRDefault="004B1153" w:rsidP="004B1153">
      <w:pPr>
        <w:spacing w:after="0" w:line="276" w:lineRule="auto"/>
        <w:jc w:val="both"/>
        <w:rPr>
          <w:rFonts w:cstheme="minorHAnsi"/>
          <w:i/>
          <w:iCs/>
          <w:shd w:val="clear" w:color="auto" w:fill="FFFFFF"/>
          <w:lang w:val="lt-LT"/>
        </w:rPr>
      </w:pPr>
      <w:r w:rsidRPr="004D2364">
        <w:rPr>
          <w:rFonts w:cstheme="minorHAnsi"/>
          <w:i/>
          <w:iCs/>
          <w:shd w:val="clear" w:color="auto" w:fill="FFFFFF"/>
          <w:lang w:val="lt-LT"/>
        </w:rPr>
        <w:t xml:space="preserve">* Tiekėjo pateikto paklausimo tekstas eina pirmas ir yra neredaguotas /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text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of</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the</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supplier's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enquiry</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comes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first</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and</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is</w:t>
      </w:r>
      <w:proofErr w:type="spellEnd"/>
      <w:r w:rsidRPr="004D2364">
        <w:rPr>
          <w:rFonts w:cstheme="minorHAnsi"/>
          <w:i/>
          <w:iCs/>
          <w:shd w:val="clear" w:color="auto" w:fill="FFFFFF"/>
          <w:lang w:val="lt-LT"/>
        </w:rPr>
        <w:t xml:space="preserve"> </w:t>
      </w:r>
      <w:proofErr w:type="spellStart"/>
      <w:r w:rsidRPr="004D2364">
        <w:rPr>
          <w:rFonts w:cstheme="minorHAnsi"/>
          <w:i/>
          <w:iCs/>
          <w:shd w:val="clear" w:color="auto" w:fill="FFFFFF"/>
          <w:lang w:val="lt-LT"/>
        </w:rPr>
        <w:t>unedited</w:t>
      </w:r>
      <w:proofErr w:type="spellEnd"/>
      <w:r w:rsidRPr="004D2364">
        <w:rPr>
          <w:rFonts w:cstheme="minorHAnsi"/>
          <w:i/>
          <w:iCs/>
          <w:shd w:val="clear" w:color="auto" w:fill="FFFFFF"/>
          <w:lang w:val="lt-LT"/>
        </w:rPr>
        <w:t>.</w:t>
      </w:r>
    </w:p>
    <w:p w14:paraId="133E2825" w14:textId="77777777" w:rsidR="004B1153" w:rsidRPr="004D2364" w:rsidRDefault="004B1153" w:rsidP="004B1153">
      <w:pPr>
        <w:spacing w:after="0" w:line="276" w:lineRule="auto"/>
        <w:jc w:val="both"/>
        <w:rPr>
          <w:rFonts w:cstheme="minorHAnsi"/>
          <w:shd w:val="clear" w:color="auto" w:fill="FFFFFF"/>
          <w:lang w:val="lt-LT"/>
        </w:rPr>
      </w:pPr>
    </w:p>
    <w:p w14:paraId="5296DCCC" w14:textId="77DA4CD9" w:rsidR="004B1153" w:rsidRPr="004D2364" w:rsidRDefault="004B1153" w:rsidP="004B1153">
      <w:pPr>
        <w:spacing w:after="0" w:line="276" w:lineRule="auto"/>
        <w:jc w:val="both"/>
        <w:rPr>
          <w:rFonts w:cstheme="minorHAnsi"/>
          <w:shd w:val="clear" w:color="auto" w:fill="FFFFFF"/>
          <w:lang w:val="lt-LT"/>
        </w:rPr>
      </w:pPr>
      <w:r w:rsidRPr="004D2364">
        <w:rPr>
          <w:rFonts w:cstheme="minorHAnsi"/>
          <w:shd w:val="clear" w:color="auto" w:fill="FFFFFF"/>
          <w:lang w:val="lt-LT"/>
        </w:rPr>
        <w:t xml:space="preserve">Pažymėtina, kad bet kuris CPVA atliktas paaiškinimas / patikslinimas yra laikomas neatskiriama Pirkimo dokumentų dalimi ir jo nuostatos turi viršenybę prieš ankstesnes Pirkimo dokumentuose išdėstytas nuostatas. </w:t>
      </w:r>
      <w:r w:rsidRPr="00712146">
        <w:rPr>
          <w:rFonts w:cstheme="minorHAnsi"/>
          <w:lang w:val="lt-LT"/>
        </w:rPr>
        <w:t xml:space="preserve"> </w:t>
      </w:r>
      <w:r w:rsidRPr="004D2364">
        <w:rPr>
          <w:rFonts w:cstheme="minorHAnsi"/>
        </w:rPr>
        <w:t xml:space="preserve">/ </w:t>
      </w:r>
      <w:r w:rsidRPr="004D2364">
        <w:rPr>
          <w:rFonts w:cstheme="minorHAnsi"/>
          <w:b/>
          <w:shd w:val="clear" w:color="auto" w:fill="FFFFFF"/>
          <w:lang w:val="lt-LT"/>
        </w:rPr>
        <w:t xml:space="preserve">It </w:t>
      </w:r>
      <w:proofErr w:type="spellStart"/>
      <w:r w:rsidRPr="004D2364">
        <w:rPr>
          <w:rFonts w:cstheme="minorHAnsi"/>
          <w:b/>
          <w:shd w:val="clear" w:color="auto" w:fill="FFFFFF"/>
          <w:lang w:val="lt-LT"/>
        </w:rPr>
        <w:t>should</w:t>
      </w:r>
      <w:proofErr w:type="spellEnd"/>
      <w:r w:rsidRPr="004D2364">
        <w:rPr>
          <w:rFonts w:cstheme="minorHAnsi"/>
          <w:b/>
          <w:shd w:val="clear" w:color="auto" w:fill="FFFFFF"/>
          <w:lang w:val="lt-LT"/>
        </w:rPr>
        <w:t xml:space="preserve"> be </w:t>
      </w:r>
      <w:proofErr w:type="spellStart"/>
      <w:r w:rsidRPr="004D2364">
        <w:rPr>
          <w:rFonts w:cstheme="minorHAnsi"/>
          <w:b/>
          <w:shd w:val="clear" w:color="auto" w:fill="FFFFFF"/>
          <w:lang w:val="lt-LT"/>
        </w:rPr>
        <w:t>noted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that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explanation</w:t>
      </w:r>
      <w:proofErr w:type="spellEnd"/>
      <w:r w:rsidRPr="004D2364">
        <w:rPr>
          <w:rFonts w:cstheme="minorHAnsi"/>
          <w:b/>
          <w:shd w:val="clear" w:color="auto" w:fill="FFFFFF"/>
          <w:lang w:val="lt-LT"/>
        </w:rPr>
        <w:t>/</w:t>
      </w:r>
      <w:proofErr w:type="spellStart"/>
      <w:r w:rsidRPr="004D2364">
        <w:rPr>
          <w:rFonts w:cstheme="minorHAnsi"/>
          <w:b/>
          <w:shd w:val="clear" w:color="auto" w:fill="FFFFFF"/>
          <w:lang w:val="lt-LT"/>
        </w:rPr>
        <w:t>clarification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made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by</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CP</w:t>
      </w:r>
      <w:r w:rsidR="008E4B01">
        <w:rPr>
          <w:rFonts w:cstheme="minorHAnsi"/>
          <w:b/>
          <w:shd w:val="clear" w:color="auto" w:fill="FFFFFF"/>
          <w:lang w:val="lt-LT"/>
        </w:rPr>
        <w:t>V</w:t>
      </w:r>
      <w:r w:rsidRPr="004D2364">
        <w:rPr>
          <w:rFonts w:cstheme="minorHAnsi"/>
          <w:b/>
          <w:shd w:val="clear" w:color="auto" w:fill="FFFFFF"/>
          <w:lang w:val="lt-LT"/>
        </w:rPr>
        <w:t xml:space="preserve">A </w:t>
      </w:r>
      <w:proofErr w:type="spellStart"/>
      <w:r w:rsidRPr="004D2364">
        <w:rPr>
          <w:rFonts w:cstheme="minorHAnsi"/>
          <w:b/>
          <w:shd w:val="clear" w:color="auto" w:fill="FFFFFF"/>
          <w:lang w:val="lt-LT"/>
        </w:rPr>
        <w:t>is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considered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integral</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part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of</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and</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its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take </w:t>
      </w:r>
      <w:proofErr w:type="spellStart"/>
      <w:r w:rsidRPr="004D2364">
        <w:rPr>
          <w:rFonts w:cstheme="minorHAnsi"/>
          <w:b/>
          <w:shd w:val="clear" w:color="auto" w:fill="FFFFFF"/>
          <w:lang w:val="lt-LT"/>
        </w:rPr>
        <w:t>precedence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over</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previous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provisions</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set</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forth</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in</w:t>
      </w:r>
      <w:proofErr w:type="spellEnd"/>
      <w:r w:rsidRPr="004D2364">
        <w:rPr>
          <w:rFonts w:cstheme="minorHAnsi"/>
          <w:b/>
          <w:shd w:val="clear" w:color="auto" w:fill="FFFFFF"/>
          <w:lang w:val="lt-LT"/>
        </w:rPr>
        <w:t xml:space="preserve"> </w:t>
      </w:r>
      <w:proofErr w:type="spellStart"/>
      <w:r w:rsidRPr="004D2364">
        <w:rPr>
          <w:rFonts w:cstheme="minorHAnsi"/>
          <w:b/>
          <w:shd w:val="clear" w:color="auto" w:fill="FFFFFF"/>
          <w:lang w:val="lt-LT"/>
        </w:rPr>
        <w:t>the</w:t>
      </w:r>
      <w:proofErr w:type="spellEnd"/>
      <w:r w:rsidRPr="004D2364">
        <w:rPr>
          <w:rFonts w:cstheme="minorHAnsi"/>
          <w:b/>
          <w:shd w:val="clear" w:color="auto" w:fill="FFFFFF"/>
          <w:lang w:val="lt-LT"/>
        </w:rPr>
        <w:t xml:space="preserve"> Procurement </w:t>
      </w:r>
      <w:proofErr w:type="spellStart"/>
      <w:r w:rsidRPr="004D2364">
        <w:rPr>
          <w:rFonts w:cstheme="minorHAnsi"/>
          <w:b/>
          <w:shd w:val="clear" w:color="auto" w:fill="FFFFFF"/>
          <w:lang w:val="lt-LT"/>
        </w:rPr>
        <w:t>Documents</w:t>
      </w:r>
      <w:proofErr w:type="spellEnd"/>
      <w:r w:rsidRPr="004D2364">
        <w:rPr>
          <w:rFonts w:cstheme="minorHAnsi"/>
          <w:b/>
          <w:shd w:val="clear" w:color="auto" w:fill="FFFFFF"/>
          <w:lang w:val="lt-LT"/>
        </w:rPr>
        <w:t xml:space="preserve">. </w:t>
      </w:r>
    </w:p>
    <w:p w14:paraId="00A15149" w14:textId="77777777" w:rsidR="004B1153" w:rsidRDefault="004B1153" w:rsidP="004B1153">
      <w:pPr>
        <w:spacing w:after="0" w:line="276" w:lineRule="auto"/>
        <w:ind w:firstLine="709"/>
        <w:jc w:val="both"/>
        <w:rPr>
          <w:rFonts w:cstheme="minorHAnsi"/>
          <w:highlight w:val="yellow"/>
          <w:shd w:val="clear" w:color="auto" w:fill="FFFFFF"/>
          <w:lang w:val="lt-LT"/>
        </w:rPr>
      </w:pPr>
    </w:p>
    <w:p w14:paraId="021CCD76" w14:textId="77777777" w:rsidR="004B1153" w:rsidRPr="004D2364" w:rsidRDefault="004B1153" w:rsidP="004B1153">
      <w:pPr>
        <w:spacing w:after="0" w:line="276" w:lineRule="auto"/>
        <w:ind w:firstLine="709"/>
        <w:jc w:val="both"/>
        <w:rPr>
          <w:rFonts w:cstheme="minorHAnsi"/>
          <w:shd w:val="clear" w:color="auto" w:fill="FFFFFF"/>
        </w:rPr>
      </w:pPr>
    </w:p>
    <w:p w14:paraId="2602DB92" w14:textId="77777777" w:rsidR="004B1153" w:rsidRPr="004D2364" w:rsidRDefault="004B1153" w:rsidP="004B1153">
      <w:pPr>
        <w:spacing w:after="0" w:line="276" w:lineRule="auto"/>
        <w:ind w:firstLine="709"/>
        <w:jc w:val="both"/>
        <w:rPr>
          <w:rFonts w:cstheme="minorHAnsi"/>
          <w:shd w:val="clear" w:color="auto" w:fill="FFFFFF"/>
          <w:lang w:val="lt-LT"/>
        </w:rPr>
      </w:pPr>
      <w:r w:rsidRPr="004D2364">
        <w:rPr>
          <w:rFonts w:cstheme="minorHAnsi"/>
          <w:shd w:val="clear" w:color="auto" w:fill="FFFFFF"/>
          <w:lang w:val="lt-LT"/>
        </w:rPr>
        <w:t xml:space="preserve">Viešojo pirkimo komisija / Public Procurement </w:t>
      </w:r>
      <w:proofErr w:type="spellStart"/>
      <w:r w:rsidRPr="004D2364">
        <w:rPr>
          <w:rFonts w:cstheme="minorHAnsi"/>
          <w:shd w:val="clear" w:color="auto" w:fill="FFFFFF"/>
          <w:lang w:val="lt-LT"/>
        </w:rPr>
        <w:t>Commission</w:t>
      </w:r>
      <w:proofErr w:type="spellEnd"/>
    </w:p>
    <w:p w14:paraId="56AE3041" w14:textId="77777777" w:rsidR="004B1153" w:rsidRPr="004D2364" w:rsidRDefault="004B1153" w:rsidP="004B1153">
      <w:pPr>
        <w:spacing w:after="0" w:line="276" w:lineRule="auto"/>
        <w:rPr>
          <w:rFonts w:cstheme="minorHAnsi"/>
        </w:rPr>
      </w:pPr>
    </w:p>
    <w:p w14:paraId="61E3026D" w14:textId="77777777" w:rsidR="004B1153" w:rsidRDefault="004B1153"/>
    <w:sectPr w:rsidR="004B1153" w:rsidSect="004B115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EA"/>
    <w:multiLevelType w:val="multilevel"/>
    <w:tmpl w:val="29F89BB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330A4F"/>
    <w:multiLevelType w:val="multilevel"/>
    <w:tmpl w:val="4454AC3A"/>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D108F"/>
    <w:multiLevelType w:val="multilevel"/>
    <w:tmpl w:val="89ECBE72"/>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823C0"/>
    <w:multiLevelType w:val="hybridMultilevel"/>
    <w:tmpl w:val="28464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1A5CAA"/>
    <w:multiLevelType w:val="multilevel"/>
    <w:tmpl w:val="60B0B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7F290F"/>
    <w:multiLevelType w:val="multilevel"/>
    <w:tmpl w:val="9BA4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0093D"/>
    <w:multiLevelType w:val="multilevel"/>
    <w:tmpl w:val="4DB8E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60006"/>
    <w:multiLevelType w:val="multilevel"/>
    <w:tmpl w:val="B4B4EA48"/>
    <w:lvl w:ilvl="0">
      <w:start w:val="1"/>
      <w:numFmt w:val="bullet"/>
      <w:lvlText w:val="−"/>
      <w:lvlJc w:val="left"/>
      <w:pPr>
        <w:tabs>
          <w:tab w:val="num" w:pos="720"/>
        </w:tabs>
        <w:ind w:left="720" w:hanging="360"/>
      </w:pPr>
      <w:rPr>
        <w:rFonts w:ascii="Aptos" w:hAnsi="Apto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72637D"/>
    <w:multiLevelType w:val="multilevel"/>
    <w:tmpl w:val="228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B56585"/>
    <w:multiLevelType w:val="multilevel"/>
    <w:tmpl w:val="B3B4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8804517">
    <w:abstractNumId w:val="1"/>
  </w:num>
  <w:num w:numId="2" w16cid:durableId="1512602879">
    <w:abstractNumId w:val="4"/>
  </w:num>
  <w:num w:numId="3" w16cid:durableId="860625176">
    <w:abstractNumId w:val="7"/>
  </w:num>
  <w:num w:numId="4" w16cid:durableId="1561360832">
    <w:abstractNumId w:val="9"/>
  </w:num>
  <w:num w:numId="5" w16cid:durableId="885213426">
    <w:abstractNumId w:val="2"/>
  </w:num>
  <w:num w:numId="6" w16cid:durableId="1777289948">
    <w:abstractNumId w:val="10"/>
  </w:num>
  <w:num w:numId="7" w16cid:durableId="2032948973">
    <w:abstractNumId w:val="0"/>
  </w:num>
  <w:num w:numId="8" w16cid:durableId="1120762050">
    <w:abstractNumId w:val="5"/>
  </w:num>
  <w:num w:numId="9" w16cid:durableId="1704090965">
    <w:abstractNumId w:val="3"/>
  </w:num>
  <w:num w:numId="10" w16cid:durableId="1239169832">
    <w:abstractNumId w:val="6"/>
  </w:num>
  <w:num w:numId="11" w16cid:durableId="626010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153"/>
    <w:rsid w:val="00016013"/>
    <w:rsid w:val="0006505C"/>
    <w:rsid w:val="00076818"/>
    <w:rsid w:val="0008734D"/>
    <w:rsid w:val="000B1E40"/>
    <w:rsid w:val="000D113E"/>
    <w:rsid w:val="0013021D"/>
    <w:rsid w:val="00133201"/>
    <w:rsid w:val="00144643"/>
    <w:rsid w:val="001758CB"/>
    <w:rsid w:val="00192618"/>
    <w:rsid w:val="001F7F2D"/>
    <w:rsid w:val="00203CF7"/>
    <w:rsid w:val="002408E7"/>
    <w:rsid w:val="00243EFF"/>
    <w:rsid w:val="002B1744"/>
    <w:rsid w:val="002B6DE6"/>
    <w:rsid w:val="002D4C4A"/>
    <w:rsid w:val="002F1FAA"/>
    <w:rsid w:val="00360E2E"/>
    <w:rsid w:val="003C7A34"/>
    <w:rsid w:val="003D2AA0"/>
    <w:rsid w:val="003E16EC"/>
    <w:rsid w:val="003F6299"/>
    <w:rsid w:val="0047083F"/>
    <w:rsid w:val="00492606"/>
    <w:rsid w:val="004A1D5C"/>
    <w:rsid w:val="004B1153"/>
    <w:rsid w:val="00507354"/>
    <w:rsid w:val="00524C86"/>
    <w:rsid w:val="005D1273"/>
    <w:rsid w:val="005F7977"/>
    <w:rsid w:val="00661EB1"/>
    <w:rsid w:val="00663C7B"/>
    <w:rsid w:val="0068670A"/>
    <w:rsid w:val="006D57A9"/>
    <w:rsid w:val="006F4891"/>
    <w:rsid w:val="00703455"/>
    <w:rsid w:val="00725C74"/>
    <w:rsid w:val="007341B1"/>
    <w:rsid w:val="007D0C04"/>
    <w:rsid w:val="007F0151"/>
    <w:rsid w:val="00817F3A"/>
    <w:rsid w:val="0084056F"/>
    <w:rsid w:val="008634AE"/>
    <w:rsid w:val="008C79D2"/>
    <w:rsid w:val="008E389C"/>
    <w:rsid w:val="008E4B01"/>
    <w:rsid w:val="008E7AAC"/>
    <w:rsid w:val="008F1327"/>
    <w:rsid w:val="00976CD5"/>
    <w:rsid w:val="0098262F"/>
    <w:rsid w:val="00994D62"/>
    <w:rsid w:val="00A06430"/>
    <w:rsid w:val="00A113E0"/>
    <w:rsid w:val="00A1792D"/>
    <w:rsid w:val="00A3552A"/>
    <w:rsid w:val="00A62D8B"/>
    <w:rsid w:val="00A86EA5"/>
    <w:rsid w:val="00A91C38"/>
    <w:rsid w:val="00A93D8D"/>
    <w:rsid w:val="00AD1F05"/>
    <w:rsid w:val="00AF6AAD"/>
    <w:rsid w:val="00B261C8"/>
    <w:rsid w:val="00BF2FF2"/>
    <w:rsid w:val="00C02282"/>
    <w:rsid w:val="00C12851"/>
    <w:rsid w:val="00C12CC4"/>
    <w:rsid w:val="00C300B8"/>
    <w:rsid w:val="00C31515"/>
    <w:rsid w:val="00C510C4"/>
    <w:rsid w:val="00C626B5"/>
    <w:rsid w:val="00C64EEE"/>
    <w:rsid w:val="00D332E4"/>
    <w:rsid w:val="00D440B3"/>
    <w:rsid w:val="00DA10CC"/>
    <w:rsid w:val="00DA795D"/>
    <w:rsid w:val="00E6612C"/>
    <w:rsid w:val="00EA0A91"/>
    <w:rsid w:val="00EA2CFF"/>
    <w:rsid w:val="00EA7D69"/>
    <w:rsid w:val="00EA7F6D"/>
    <w:rsid w:val="00EC3A86"/>
    <w:rsid w:val="00EC3B20"/>
    <w:rsid w:val="00EF0879"/>
    <w:rsid w:val="00EF4BBA"/>
    <w:rsid w:val="00F1351A"/>
    <w:rsid w:val="00F24C5C"/>
    <w:rsid w:val="00F46179"/>
    <w:rsid w:val="00FA2CE9"/>
    <w:rsid w:val="00FD40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43839"/>
  <w15:chartTrackingRefBased/>
  <w15:docId w15:val="{54CD97EE-F44C-42C3-8B79-2588357F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15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4B1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1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1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1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1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1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1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1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1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1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1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153"/>
    <w:rPr>
      <w:rFonts w:eastAsiaTheme="majorEastAsia" w:cstheme="majorBidi"/>
      <w:color w:val="272727" w:themeColor="text1" w:themeTint="D8"/>
    </w:rPr>
  </w:style>
  <w:style w:type="paragraph" w:styleId="Title">
    <w:name w:val="Title"/>
    <w:basedOn w:val="Normal"/>
    <w:next w:val="Normal"/>
    <w:link w:val="TitleChar"/>
    <w:uiPriority w:val="10"/>
    <w:qFormat/>
    <w:rsid w:val="004B1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153"/>
    <w:pPr>
      <w:spacing w:before="160"/>
      <w:jc w:val="center"/>
    </w:pPr>
    <w:rPr>
      <w:i/>
      <w:iCs/>
      <w:color w:val="404040" w:themeColor="text1" w:themeTint="BF"/>
    </w:rPr>
  </w:style>
  <w:style w:type="character" w:customStyle="1" w:styleId="QuoteChar">
    <w:name w:val="Quote Char"/>
    <w:basedOn w:val="DefaultParagraphFont"/>
    <w:link w:val="Quote"/>
    <w:uiPriority w:val="29"/>
    <w:rsid w:val="004B1153"/>
    <w:rPr>
      <w:i/>
      <w:iCs/>
      <w:color w:val="404040" w:themeColor="text1" w:themeTint="BF"/>
    </w:rPr>
  </w:style>
  <w:style w:type="paragraph" w:styleId="ListParagraph">
    <w:name w:val="List Paragraph"/>
    <w:basedOn w:val="Normal"/>
    <w:uiPriority w:val="34"/>
    <w:qFormat/>
    <w:rsid w:val="004B1153"/>
    <w:pPr>
      <w:ind w:left="720"/>
      <w:contextualSpacing/>
    </w:pPr>
  </w:style>
  <w:style w:type="character" w:styleId="IntenseEmphasis">
    <w:name w:val="Intense Emphasis"/>
    <w:basedOn w:val="DefaultParagraphFont"/>
    <w:uiPriority w:val="21"/>
    <w:qFormat/>
    <w:rsid w:val="004B1153"/>
    <w:rPr>
      <w:i/>
      <w:iCs/>
      <w:color w:val="0F4761" w:themeColor="accent1" w:themeShade="BF"/>
    </w:rPr>
  </w:style>
  <w:style w:type="paragraph" w:styleId="IntenseQuote">
    <w:name w:val="Intense Quote"/>
    <w:basedOn w:val="Normal"/>
    <w:next w:val="Normal"/>
    <w:link w:val="IntenseQuoteChar"/>
    <w:uiPriority w:val="30"/>
    <w:qFormat/>
    <w:rsid w:val="004B1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1153"/>
    <w:rPr>
      <w:i/>
      <w:iCs/>
      <w:color w:val="0F4761" w:themeColor="accent1" w:themeShade="BF"/>
    </w:rPr>
  </w:style>
  <w:style w:type="character" w:styleId="IntenseReference">
    <w:name w:val="Intense Reference"/>
    <w:basedOn w:val="DefaultParagraphFont"/>
    <w:uiPriority w:val="32"/>
    <w:qFormat/>
    <w:rsid w:val="004B1153"/>
    <w:rPr>
      <w:b/>
      <w:bCs/>
      <w:smallCaps/>
      <w:color w:val="0F4761" w:themeColor="accent1" w:themeShade="BF"/>
      <w:spacing w:val="5"/>
    </w:rPr>
  </w:style>
  <w:style w:type="character" w:styleId="CommentReference">
    <w:name w:val="annotation reference"/>
    <w:basedOn w:val="DefaultParagraphFont"/>
    <w:uiPriority w:val="99"/>
    <w:semiHidden/>
    <w:unhideWhenUsed/>
    <w:rsid w:val="00C64EEE"/>
    <w:rPr>
      <w:sz w:val="16"/>
      <w:szCs w:val="16"/>
    </w:rPr>
  </w:style>
  <w:style w:type="paragraph" w:styleId="CommentText">
    <w:name w:val="annotation text"/>
    <w:basedOn w:val="Normal"/>
    <w:link w:val="CommentTextChar"/>
    <w:uiPriority w:val="99"/>
    <w:unhideWhenUsed/>
    <w:rsid w:val="00C64EEE"/>
    <w:pPr>
      <w:spacing w:line="240" w:lineRule="auto"/>
    </w:pPr>
    <w:rPr>
      <w:sz w:val="20"/>
      <w:szCs w:val="20"/>
    </w:rPr>
  </w:style>
  <w:style w:type="character" w:customStyle="1" w:styleId="CommentTextChar">
    <w:name w:val="Comment Text Char"/>
    <w:basedOn w:val="DefaultParagraphFont"/>
    <w:link w:val="CommentText"/>
    <w:uiPriority w:val="99"/>
    <w:rsid w:val="00C64EE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64EEE"/>
    <w:rPr>
      <w:b/>
      <w:bCs/>
    </w:rPr>
  </w:style>
  <w:style w:type="character" w:customStyle="1" w:styleId="CommentSubjectChar">
    <w:name w:val="Comment Subject Char"/>
    <w:basedOn w:val="CommentTextChar"/>
    <w:link w:val="CommentSubject"/>
    <w:uiPriority w:val="99"/>
    <w:semiHidden/>
    <w:rsid w:val="00C64EEE"/>
    <w:rPr>
      <w:b/>
      <w:bCs/>
      <w:kern w:val="0"/>
      <w:sz w:val="20"/>
      <w:szCs w:val="20"/>
      <w:lang w:val="en-US"/>
      <w14:ligatures w14:val="none"/>
    </w:rPr>
  </w:style>
  <w:style w:type="paragraph" w:styleId="Revision">
    <w:name w:val="Revision"/>
    <w:hidden/>
    <w:uiPriority w:val="99"/>
    <w:semiHidden/>
    <w:rsid w:val="00C64EEE"/>
    <w:pPr>
      <w:spacing w:after="0" w:line="240" w:lineRule="auto"/>
    </w:pPr>
    <w:rPr>
      <w:kern w:val="0"/>
      <w:sz w:val="22"/>
      <w:szCs w:val="22"/>
      <w:lang w:val="en-US"/>
      <w14:ligatures w14:val="none"/>
    </w:rPr>
  </w:style>
  <w:style w:type="character" w:styleId="Hyperlink">
    <w:name w:val="Hyperlink"/>
    <w:basedOn w:val="DefaultParagraphFont"/>
    <w:uiPriority w:val="99"/>
    <w:unhideWhenUsed/>
    <w:rsid w:val="00EC3B20"/>
    <w:rPr>
      <w:color w:val="467886" w:themeColor="hyperlink"/>
      <w:u w:val="single"/>
    </w:rPr>
  </w:style>
  <w:style w:type="character" w:styleId="UnresolvedMention">
    <w:name w:val="Unresolved Mention"/>
    <w:basedOn w:val="DefaultParagraphFont"/>
    <w:uiPriority w:val="99"/>
    <w:semiHidden/>
    <w:unhideWhenUsed/>
    <w:rsid w:val="00EC3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A13936-B3C2-497C-B44A-F031347E8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C0B2C-F518-4BB9-8785-AC677BA0CBF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B375A656-1FCC-40F2-B349-73A0FD06A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1693</Words>
  <Characters>966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atsakymas tiekejams</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atsakymas tiekejams</dc:title>
  <dc:subject/>
  <dc:creator>Dalia Vinklerė</dc:creator>
  <cp:keywords/>
  <dc:description/>
  <cp:lastModifiedBy>Justas Šakočius</cp:lastModifiedBy>
  <cp:revision>3</cp:revision>
  <dcterms:created xsi:type="dcterms:W3CDTF">2026-02-20T13:14:00Z</dcterms:created>
  <dcterms:modified xsi:type="dcterms:W3CDTF">2026-02-20T13:17:00Z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9828af55-a0db-4c07-ab97-4523345e2a5a</vt:lpwstr>
  </property>
  <property fmtid="{D5CDD505-2E9C-101B-9397-08002B2CF9AE}" pid="4" name="DmsPermissionsFlags">
    <vt:lpwstr>,SECTRUE,</vt:lpwstr>
  </property>
  <property fmtid="{D5CDD505-2E9C-101B-9397-08002B2CF9AE}" pid="5" name="DmsPermissionsDivisions">
    <vt:lpwstr>4359;#Teisės ir pirkimų skyrius|72419e98-9ffe-4573-a524-85d9b5806ebb;#3175;#Ukrainos ir taikos investicijų skyrius|7e75f6df-aec1-4d79-8506-6d7641c41321</vt:lpwstr>
  </property>
  <property fmtid="{D5CDD505-2E9C-101B-9397-08002B2CF9AE}" pid="6" name="ContentTypeId">
    <vt:lpwstr>0x010100D76F90AF19434866994CD715ED8FEE4200712820E1B0DE314FBCE77D75ADAD206D</vt:lpwstr>
  </property>
  <property fmtid="{D5CDD505-2E9C-101B-9397-08002B2CF9AE}" pid="7" name="DmsPermissionsUsers">
    <vt:lpwstr>273;#Dalia Vinklerė;#393;#Justas Šakočius;#134;#Aurima Lasickienė;#872;#Aina Jonuškytė;#1803;#Aleksandras Kačanauskas;#1875;#Deimantė Ežerskytė</vt:lpwstr>
  </property>
  <property fmtid="{D5CDD505-2E9C-101B-9397-08002B2CF9AE}" pid="8" name="DmsCommChanPerm">
    <vt:lpwstr/>
  </property>
  <property fmtid="{D5CDD505-2E9C-101B-9397-08002B2CF9AE}" pid="9" name="DmsPermissionsConfid">
    <vt:bool>false</vt:bool>
  </property>
</Properties>
</file>