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BA3259"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2CB7D455" w14:textId="77777777" w:rsidR="009833BC" w:rsidRPr="009833BC" w:rsidRDefault="009833BC" w:rsidP="009833BC">
            <w:pPr>
              <w:spacing w:after="20" w:line="240" w:lineRule="auto"/>
              <w:ind w:right="-68"/>
              <w:rPr>
                <w:rFonts w:ascii="Times New Roman" w:hAnsi="Times New Roman" w:cs="Times New Roman"/>
                <w:sz w:val="20"/>
                <w:szCs w:val="20"/>
              </w:rPr>
            </w:pPr>
            <w:r w:rsidRPr="009833BC">
              <w:rPr>
                <w:rFonts w:ascii="Times New Roman" w:hAnsi="Times New Roman" w:cs="Times New Roman"/>
                <w:sz w:val="20"/>
                <w:szCs w:val="20"/>
              </w:rPr>
              <w:t>Fernandas Narkus direktoriaus pavaduotojas infrastruktūrai</w:t>
            </w:r>
          </w:p>
          <w:p w14:paraId="23598B23" w14:textId="77777777" w:rsidR="009833BC" w:rsidRPr="009833BC" w:rsidRDefault="009833BC" w:rsidP="009833BC">
            <w:pPr>
              <w:spacing w:after="20" w:line="240" w:lineRule="auto"/>
              <w:ind w:right="-68"/>
              <w:rPr>
                <w:rFonts w:ascii="Times New Roman" w:hAnsi="Times New Roman" w:cs="Times New Roman"/>
                <w:sz w:val="20"/>
                <w:szCs w:val="20"/>
              </w:rPr>
            </w:pPr>
            <w:r w:rsidRPr="009833BC">
              <w:rPr>
                <w:rFonts w:ascii="Times New Roman" w:hAnsi="Times New Roman" w:cs="Times New Roman"/>
                <w:sz w:val="20"/>
                <w:szCs w:val="20"/>
              </w:rPr>
              <w:t xml:space="preserve">tel. +370600 36005; </w:t>
            </w:r>
          </w:p>
          <w:p w14:paraId="63B290F2" w14:textId="3D3B716A" w:rsidR="001B7327" w:rsidRPr="00B02194" w:rsidRDefault="009833BC" w:rsidP="009833BC">
            <w:pPr>
              <w:spacing w:after="20" w:line="240" w:lineRule="auto"/>
              <w:ind w:right="-68"/>
              <w:rPr>
                <w:rFonts w:ascii="Times New Roman" w:hAnsi="Times New Roman" w:cs="Times New Roman"/>
                <w:sz w:val="20"/>
                <w:szCs w:val="20"/>
              </w:rPr>
            </w:pPr>
            <w:r w:rsidRPr="009833BC">
              <w:rPr>
                <w:rFonts w:ascii="Times New Roman" w:hAnsi="Times New Roman" w:cs="Times New Roman"/>
                <w:sz w:val="20"/>
                <w:szCs w:val="20"/>
              </w:rPr>
              <w:t>e.paštas, fernandas.narkus@klaipedosgpmc.lt</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49571A6A"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bookmarkStart w:id="0" w:name="_Hlk222390377"/>
            <w:r w:rsidR="00CA3E8D" w:rsidRPr="00EF14CF">
              <w:rPr>
                <w:rFonts w:ascii="Times New Roman" w:hAnsi="Times New Roman" w:cs="Times New Roman"/>
                <w:b/>
                <w:i/>
                <w:sz w:val="20"/>
                <w:szCs w:val="20"/>
              </w:rPr>
              <w:t>Grindų plovimo mašinos 2 vnt</w:t>
            </w:r>
            <w:r>
              <w:rPr>
                <w:rFonts w:ascii="Times New Roman" w:hAnsi="Times New Roman" w:cs="Times New Roman"/>
                <w:i/>
                <w:sz w:val="20"/>
                <w:szCs w:val="20"/>
              </w:rPr>
              <w:t xml:space="preserve"> </w:t>
            </w:r>
            <w:bookmarkEnd w:id="0"/>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30E474F5" w:rsidR="00660DC6" w:rsidRPr="00CE608A" w:rsidRDefault="00CA3E8D"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 xml:space="preserve">Nuo sutarties pasirašymo dienos </w:t>
            </w:r>
            <w:bookmarkStart w:id="1" w:name="_Hlk222392052"/>
            <w:r>
              <w:rPr>
                <w:rFonts w:ascii="Times New Roman" w:hAnsi="Times New Roman" w:cs="Times New Roman"/>
                <w:bCs/>
                <w:sz w:val="20"/>
                <w:szCs w:val="20"/>
              </w:rPr>
              <w:t>4 savaitės</w:t>
            </w:r>
            <w:bookmarkEnd w:id="1"/>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A90D273" w:rsidR="0069699C" w:rsidRPr="00CE608A" w:rsidRDefault="00ED5740"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 xml:space="preserve">Nurodyti pratęsimo terminą arba </w:t>
            </w:r>
            <w:r w:rsidR="006B728A" w:rsidRPr="00CE608A">
              <w:rPr>
                <w:rFonts w:ascii="Times New Roman" w:hAnsi="Times New Roman" w:cs="Times New Roman"/>
                <w:bCs/>
                <w:sz w:val="20"/>
                <w:szCs w:val="20"/>
              </w:rPr>
              <w:t xml:space="preserve"> 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5FCECACC" w:rsidR="00FB42BE" w:rsidRPr="00B02194" w:rsidRDefault="00750041" w:rsidP="00D55766">
            <w:pPr>
              <w:spacing w:after="0" w:line="240" w:lineRule="auto"/>
              <w:ind w:right="-68"/>
              <w:rPr>
                <w:rFonts w:ascii="Times New Roman" w:hAnsi="Times New Roman" w:cs="Times New Roman"/>
                <w:bCs/>
                <w:sz w:val="20"/>
                <w:szCs w:val="20"/>
              </w:rPr>
            </w:pPr>
            <w:r w:rsidRPr="00750041">
              <w:rPr>
                <w:rFonts w:ascii="Times New Roman" w:hAnsi="Times New Roman" w:cs="Times New Roman"/>
                <w:bCs/>
                <w:sz w:val="20"/>
                <w:szCs w:val="20"/>
              </w:rPr>
              <w:t>Priedas Nr. 1 – Techninė specifikacija</w:t>
            </w:r>
            <w:r>
              <w:rPr>
                <w:rFonts w:ascii="Times New Roman" w:hAnsi="Times New Roman" w:cs="Times New Roman"/>
                <w:bCs/>
                <w:sz w:val="20"/>
                <w:szCs w:val="20"/>
              </w:rPr>
              <w:t>.</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32734ED4" w:rsidR="00553EC6" w:rsidRPr="00B02194" w:rsidRDefault="00553EC6" w:rsidP="00750041">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5C317E7E" w:rsidR="005F4414" w:rsidRPr="00CE608A" w:rsidRDefault="00AA08A7"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07A93F30" w:rsidR="005F4414" w:rsidRPr="00B02194" w:rsidRDefault="00BA3259"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AA08A7">
                  <w:rPr>
                    <w:rFonts w:ascii="Times New Roman" w:hAnsi="Times New Roman" w:cs="Times New Roman"/>
                    <w:bCs/>
                    <w:sz w:val="20"/>
                    <w:szCs w:val="20"/>
                  </w:rPr>
                  <w:t>Sutarties kaina</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4944EF93" w:rsidR="005F4414" w:rsidRPr="00CE608A" w:rsidRDefault="00750041" w:rsidP="003863B2">
            <w:pPr>
              <w:spacing w:after="0" w:line="240" w:lineRule="auto"/>
              <w:ind w:right="-68"/>
              <w:rPr>
                <w:rFonts w:ascii="Times New Roman" w:hAnsi="Times New Roman" w:cs="Times New Roman"/>
                <w:sz w:val="20"/>
                <w:szCs w:val="20"/>
              </w:rPr>
            </w:pPr>
            <w:r w:rsidRPr="00750041">
              <w:rPr>
                <w:rFonts w:ascii="Times New Roman" w:hAnsi="Times New Roman" w:cs="Times New Roman"/>
                <w:sz w:val="20"/>
                <w:szCs w:val="20"/>
              </w:rPr>
              <w:t>Priedas Nr. 2 – Tiekėjo pasiūlymas</w:t>
            </w:r>
            <w:r>
              <w:rPr>
                <w:rFonts w:ascii="Times New Roman" w:hAnsi="Times New Roman" w:cs="Times New Roman"/>
                <w:sz w:val="20"/>
                <w:szCs w:val="20"/>
              </w:rPr>
              <w:t>.</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1B46EC86"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2DFE6B0F"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750041">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145DEC14"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26760E44" w:rsidR="00C27901" w:rsidRPr="00B02194" w:rsidRDefault="00750041" w:rsidP="000E7A44">
            <w:pPr>
              <w:spacing w:after="0" w:line="240" w:lineRule="auto"/>
              <w:ind w:right="-68"/>
              <w:jc w:val="both"/>
              <w:rPr>
                <w:rFonts w:ascii="Times New Roman" w:hAnsi="Times New Roman" w:cs="Times New Roman"/>
                <w:bCs/>
                <w:sz w:val="20"/>
                <w:szCs w:val="20"/>
              </w:rPr>
            </w:pPr>
            <w:bookmarkStart w:id="2" w:name="_Hlk222392070"/>
            <w:r w:rsidRPr="00750041">
              <w:rPr>
                <w:rFonts w:ascii="Times New Roman" w:hAnsi="Times New Roman" w:cs="Times New Roman"/>
                <w:sz w:val="20"/>
                <w:szCs w:val="20"/>
              </w:rPr>
              <w:t>Taikos pr.67, Klaipėda</w:t>
            </w:r>
            <w:bookmarkEnd w:id="2"/>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5F903981" w:rsidR="00C27901" w:rsidRPr="00B02194" w:rsidRDefault="00BA3259"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750041">
                  <w:rPr>
                    <w:rFonts w:ascii="Times New Roman" w:hAnsi="Times New Roman" w:cs="Times New Roman"/>
                    <w:sz w:val="20"/>
                    <w:szCs w:val="20"/>
                  </w:rPr>
                  <w:t xml:space="preserve">24 (dvidešimt keturi)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288802C0" w:rsidR="001A5940" w:rsidRDefault="00750041"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151B75CE" w:rsidR="00D33378" w:rsidRPr="00B02194" w:rsidRDefault="00750041"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0,2% (dvi dešimtosios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5DC98A61" w:rsidR="00C27901" w:rsidRPr="00B02194" w:rsidRDefault="00BA3259" w:rsidP="00EE3A7D">
            <w:pPr>
              <w:spacing w:after="0" w:line="240" w:lineRule="auto"/>
              <w:ind w:right="-68"/>
              <w:jc w:val="both"/>
              <w:rPr>
                <w:rFonts w:ascii="Times New Roman" w:hAnsi="Times New Roman" w:cs="Times New Roman"/>
                <w:sz w:val="20"/>
                <w:szCs w:val="20"/>
              </w:rPr>
            </w:pPr>
            <w:r w:rsidRPr="00BA3259">
              <w:rPr>
                <w:rFonts w:ascii="Times New Roman" w:hAnsi="Times New Roman" w:cs="Times New Roman"/>
                <w:sz w:val="20"/>
                <w:szCs w:val="20"/>
              </w:rPr>
              <w:t>Energijos efektyvumas: Mašinos turi veikti nuo akumuliatorinių baterijų, todėl, kad naudojami šie energijos šaltiniai yra efektyvūs ir mažiau kenksmingi aplinkai</w:t>
            </w:r>
            <w:r>
              <w:rPr>
                <w:rFonts w:ascii="Times New Roman" w:hAnsi="Times New Roman" w:cs="Times New Roman"/>
                <w:sz w:val="20"/>
                <w:szCs w:val="20"/>
              </w:rPr>
              <w:t>.</w:t>
            </w:r>
            <w:bookmarkStart w:id="3" w:name="_GoBack"/>
            <w:bookmarkEnd w:id="3"/>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4" w:name="part_8f4dadbdf27c4882b72f57a56c9631ad"/>
      <w:bookmarkStart w:id="5" w:name="part_9fd9687904354f69bb532178a7959ebe"/>
      <w:bookmarkEnd w:id="4"/>
      <w:bookmarkEnd w:id="5"/>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lastRenderedPageBreak/>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6"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6"/>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8"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7" w:name="_Toc438559489"/>
      <w:bookmarkStart w:id="8"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7"/>
      <w:bookmarkEnd w:id="8"/>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9" w:name="_Toc438559500"/>
      <w:bookmarkStart w:id="10"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9"/>
    <w:bookmarkEnd w:id="10"/>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BA3259">
        <w:rPr>
          <w:rFonts w:ascii="Times New Roman" w:eastAsia="Times New Roman" w:hAnsi="Times New Roman" w:cs="Times New Roman"/>
          <w:sz w:val="20"/>
          <w:szCs w:val="20"/>
        </w:rPr>
      </w:r>
      <w:r w:rsidR="00BA325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BA3259">
        <w:rPr>
          <w:rFonts w:ascii="Times New Roman" w:eastAsia="Times New Roman" w:hAnsi="Times New Roman" w:cs="Times New Roman"/>
          <w:sz w:val="20"/>
          <w:szCs w:val="20"/>
        </w:rPr>
      </w:r>
      <w:r w:rsidR="00BA325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BA3259">
        <w:rPr>
          <w:rFonts w:ascii="Times New Roman" w:eastAsia="Times New Roman" w:hAnsi="Times New Roman" w:cs="Times New Roman"/>
          <w:sz w:val="20"/>
          <w:szCs w:val="20"/>
        </w:rPr>
      </w:r>
      <w:r w:rsidR="00BA325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4E6D"/>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0041"/>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33BC"/>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8A7"/>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3259"/>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0519"/>
    <w:rsid w:val="00CA10C3"/>
    <w:rsid w:val="00CA1A49"/>
    <w:rsid w:val="00CA1D12"/>
    <w:rsid w:val="00CA3DBB"/>
    <w:rsid w:val="00CA3E8D"/>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14CF"/>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15019</Words>
  <Characters>8561</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2026-02-19T06:59:00Z</dcterms:created>
  <dcterms:modified xsi:type="dcterms:W3CDTF">2026-02-20T09:16:00Z</dcterms:modified>
  <cp:category/>
  <cp:contentStatus/>
</cp:coreProperties>
</file>