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2E4" w:rsidRDefault="00A342E4">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792670" w:rsidP="0001089C">
            <w:pPr>
              <w:jc w:val="both"/>
              <w:rPr>
                <w:rFonts w:ascii="Cambria" w:hAnsi="Cambria"/>
                <w:kern w:val="2"/>
                <w:sz w:val="22"/>
                <w:szCs w:val="22"/>
              </w:rPr>
            </w:pPr>
            <w:r>
              <w:rPr>
                <w:rFonts w:ascii="Cambria" w:hAnsi="Cambria"/>
                <w:kern w:val="2"/>
                <w:sz w:val="22"/>
                <w:szCs w:val="22"/>
              </w:rPr>
              <w:t>Medikamentas</w:t>
            </w:r>
            <w:r w:rsidR="00F918BE">
              <w:rPr>
                <w:rFonts w:ascii="Cambria" w:hAnsi="Cambria"/>
                <w:kern w:val="2"/>
                <w:sz w:val="22"/>
                <w:szCs w:val="22"/>
              </w:rPr>
              <w:t xml:space="preserve"> </w:t>
            </w:r>
            <w:proofErr w:type="spellStart"/>
            <w:r w:rsidR="0001089C">
              <w:rPr>
                <w:rFonts w:ascii="Cambria" w:hAnsi="Cambria"/>
                <w:kern w:val="2"/>
                <w:sz w:val="22"/>
                <w:szCs w:val="22"/>
              </w:rPr>
              <w:t>Alteplazė</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color w:val="FF0000"/>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F918BE">
              <w:rPr>
                <w:rFonts w:ascii="Cambria" w:hAnsi="Cambria"/>
                <w:kern w:val="2"/>
                <w:sz w:val="22"/>
                <w:szCs w:val="22"/>
              </w:rPr>
              <w:t xml:space="preserve">medikamentą </w:t>
            </w:r>
            <w:proofErr w:type="spellStart"/>
            <w:r w:rsidR="0001089C">
              <w:rPr>
                <w:rFonts w:ascii="Cambria" w:hAnsi="Cambria"/>
                <w:kern w:val="2"/>
                <w:sz w:val="22"/>
                <w:szCs w:val="22"/>
              </w:rPr>
              <w:t>Alteplazė</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p w:rsidR="00FA728D" w:rsidRPr="00A90257" w:rsidRDefault="00FA728D" w:rsidP="005557A2">
            <w:pPr>
              <w:jc w:val="both"/>
              <w:rPr>
                <w:rFonts w:ascii="Cambria" w:hAnsi="Cambria"/>
                <w:color w:val="000000"/>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918BE" w:rsidP="0001089C">
            <w:pPr>
              <w:rPr>
                <w:rFonts w:ascii="Cambria" w:hAnsi="Cambria"/>
                <w:kern w:val="2"/>
                <w:sz w:val="22"/>
                <w:szCs w:val="22"/>
              </w:rPr>
            </w:pPr>
            <w:r>
              <w:rPr>
                <w:rFonts w:ascii="Cambria" w:hAnsi="Cambria"/>
                <w:kern w:val="2"/>
                <w:sz w:val="22"/>
                <w:szCs w:val="22"/>
              </w:rPr>
              <w:t xml:space="preserve">Medikamentas </w:t>
            </w:r>
            <w:proofErr w:type="spellStart"/>
            <w:r w:rsidR="0001089C">
              <w:rPr>
                <w:rFonts w:ascii="Cambria" w:hAnsi="Cambria"/>
                <w:kern w:val="2"/>
                <w:sz w:val="22"/>
                <w:szCs w:val="22"/>
              </w:rPr>
              <w:t>Alteplazė</w:t>
            </w:r>
            <w:proofErr w:type="spellEnd"/>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A342E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A342E4" w:rsidRPr="00A342E4">
              <w:rPr>
                <w:rFonts w:ascii="Cambria" w:hAnsi="Cambria"/>
                <w:b/>
                <w:kern w:val="2"/>
                <w:sz w:val="22"/>
                <w:szCs w:val="22"/>
              </w:rPr>
              <w:t>10</w:t>
            </w:r>
            <w:r w:rsidR="00742FD9">
              <w:rPr>
                <w:rFonts w:ascii="Cambria" w:hAnsi="Cambria"/>
                <w:b/>
                <w:kern w:val="2"/>
                <w:sz w:val="22"/>
                <w:szCs w:val="22"/>
              </w:rPr>
              <w:t xml:space="preserve"> (</w:t>
            </w:r>
            <w:r w:rsidR="00A342E4">
              <w:rPr>
                <w:rFonts w:ascii="Cambria" w:hAnsi="Cambria"/>
                <w:b/>
                <w:kern w:val="2"/>
                <w:sz w:val="22"/>
                <w:szCs w:val="22"/>
              </w:rPr>
              <w:t>dešimt</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A342E4">
              <w:rPr>
                <w:rFonts w:ascii="Cambria" w:hAnsi="Cambria"/>
                <w:b/>
                <w:kern w:val="2"/>
                <w:sz w:val="22"/>
                <w:szCs w:val="22"/>
              </w:rPr>
              <w:t>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0855C2" w:rsidRPr="00894F82" w:rsidRDefault="000855C2" w:rsidP="000855C2">
            <w:pPr>
              <w:pStyle w:val="NormalWeb"/>
              <w:shd w:val="clear" w:color="auto" w:fill="FFFFFF"/>
              <w:spacing w:before="0" w:beforeAutospacing="0" w:after="0" w:afterAutospacing="0"/>
              <w:jc w:val="both"/>
              <w:rPr>
                <w:rFonts w:ascii="Cambria" w:hAnsi="Cambria" w:cs="Calibri"/>
              </w:rPr>
            </w:pPr>
            <w:r w:rsidRPr="00894F82">
              <w:rPr>
                <w:rFonts w:ascii="Cambria" w:hAnsi="Cambria" w:cs="Calibri"/>
                <w:sz w:val="22"/>
                <w:szCs w:val="22"/>
              </w:rPr>
              <w:t>Kartu su Prekėmis pateikiami šie dokumentai: (i) Sąskaita, kuri bus laikoma Prekių perdavimo-priėmimo aktu; (ii) Tiekėjas, tiekiantis registruotus vaistinius preparatus pakuotėmis kitos EEE valstybės kalba, vartojant lotynišką raidyną, kartu su Prekių siunta privalo pateikti Lietuvos Respublikos sveikatos apsaugos ministro 2017 m. lapkričio 7 d. įsakymu Nr. V-1274 patvirtinto </w:t>
            </w:r>
            <w:r w:rsidRPr="00894F82">
              <w:rPr>
                <w:rFonts w:ascii="Cambria" w:hAnsi="Cambria" w:cs="Arial"/>
                <w:sz w:val="22"/>
                <w:szCs w:val="22"/>
              </w:rPr>
              <w:t>Būtinų visuomenės sveikatai apsaugoti priemonių taikymo tiekiant registruotus vaistinius preparatus pakuotėmis Europos ekonominės erdvės valstybės kalba lotyniškuoju raidynu asmens sveikatos priežiūros įstaigoms ir duomenų (informacijos) apie tokius vaistinius preparatus pateikimo Valstybinei vaistų kontrolės tarnybai prie Lietuvos Respublikos sveikatos apsaugos ministerijos tvarkos aprašo </w:t>
            </w:r>
            <w:r w:rsidRPr="00894F82">
              <w:rPr>
                <w:rFonts w:ascii="Cambria" w:hAnsi="Cambria" w:cs="Calibri"/>
                <w:sz w:val="22"/>
                <w:szCs w:val="22"/>
              </w:rPr>
              <w:t>3 punkte nurodytą informaciją; (iii) Pirkėjui pareikalavus, Tiekėjas pateikia kokybės sertifikatus arba jų kopijas, Prekių registravimo dokumentus arba jų kopijas.</w:t>
            </w:r>
          </w:p>
          <w:p w:rsidR="001E17C2" w:rsidRDefault="000855C2" w:rsidP="000855C2">
            <w:pPr>
              <w:pStyle w:val="NormalWeb"/>
              <w:shd w:val="clear" w:color="auto" w:fill="FFFFFF"/>
              <w:spacing w:before="0" w:beforeAutospacing="0" w:after="0" w:afterAutospacing="0"/>
              <w:jc w:val="both"/>
              <w:rPr>
                <w:rFonts w:ascii="Cambria" w:hAnsi="Cambria" w:cs="Calibri"/>
                <w:sz w:val="22"/>
                <w:szCs w:val="22"/>
              </w:rPr>
            </w:pPr>
            <w:r w:rsidRPr="00894F82">
              <w:rPr>
                <w:rFonts w:ascii="Cambria" w:hAnsi="Cambria" w:cs="Calibri"/>
                <w:sz w:val="22"/>
                <w:szCs w:val="22"/>
              </w:rPr>
              <w:t>Tiekėjui nepateikus nurodytų dokumentų, laikoma, kad Prekės neatitinka Sutartyje nustatytų reikalavimų.</w:t>
            </w:r>
          </w:p>
          <w:p w:rsidR="00FA728D" w:rsidRPr="00A90257" w:rsidRDefault="00FA728D" w:rsidP="000855C2">
            <w:pPr>
              <w:pStyle w:val="NormalWeb"/>
              <w:shd w:val="clear" w:color="auto" w:fill="FFFFFF"/>
              <w:spacing w:before="0" w:beforeAutospacing="0" w:after="0" w:afterAutospacing="0"/>
              <w:jc w:val="both"/>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 xml:space="preserve">5.3.3.5. Šalys privalo Susitarime nurodyti vartojimo prekių ir paslaugų indekso reikšmę laikotarpio pradžioje ir jo nustatymo datą, indekso </w:t>
            </w:r>
            <w:r w:rsidRPr="005557A2">
              <w:rPr>
                <w:rFonts w:ascii="Cambria" w:hAnsi="Cambria"/>
                <w:kern w:val="2"/>
                <w:sz w:val="22"/>
                <w:szCs w:val="22"/>
                <w:shd w:val="clear" w:color="auto" w:fill="FFFFFF"/>
              </w:rPr>
              <w:lastRenderedPageBreak/>
              <w:t>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731C0B"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342E4" w:rsidRPr="00A90257" w:rsidRDefault="00F102D8" w:rsidP="00FA728D">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342E4" w:rsidRPr="00A90257" w:rsidRDefault="00F102D8" w:rsidP="00FA728D">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p w:rsidR="008A2AF3" w:rsidRPr="00A90257" w:rsidRDefault="008A2AF3">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22A78" w:rsidP="005557A2">
            <w:pPr>
              <w:jc w:val="both"/>
              <w:rPr>
                <w:rFonts w:ascii="Cambria" w:hAnsi="Cambria"/>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p w:rsidR="008A2AF3" w:rsidRPr="00A90257" w:rsidRDefault="008A2AF3" w:rsidP="005557A2">
            <w:pPr>
              <w:jc w:val="both"/>
              <w:rPr>
                <w:rFonts w:ascii="Cambria" w:hAnsi="Cambria"/>
                <w:color w:val="4472C4"/>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Default="00F102D8" w:rsidP="00A342E4">
            <w:pPr>
              <w:jc w:val="both"/>
              <w:rPr>
                <w:rFonts w:ascii="Cambria" w:hAnsi="Cambria"/>
                <w:color w:val="000000"/>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A342E4">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A342E4">
              <w:rPr>
                <w:rFonts w:ascii="Cambria" w:hAnsi="Cambria"/>
                <w:color w:val="000000"/>
                <w:kern w:val="2"/>
                <w:sz w:val="22"/>
                <w:szCs w:val="22"/>
              </w:rPr>
              <w:t>dvylika</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mėnesių.</w:t>
            </w:r>
          </w:p>
          <w:p w:rsidR="008A2AF3" w:rsidRPr="00A90257" w:rsidRDefault="008A2AF3" w:rsidP="00A342E4">
            <w:pPr>
              <w:jc w:val="both"/>
              <w:rPr>
                <w:rFonts w:ascii="Cambria" w:hAnsi="Cambria"/>
                <w:color w:val="4472C4"/>
                <w:kern w:val="2"/>
                <w:sz w:val="22"/>
                <w:szCs w:val="22"/>
              </w:rPr>
            </w:pPr>
          </w:p>
        </w:tc>
      </w:tr>
      <w:tr w:rsidR="00AC0EFB"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C0EFB" w:rsidRDefault="00FE7079" w:rsidP="00AC0EFB">
            <w:pPr>
              <w:jc w:val="both"/>
              <w:rPr>
                <w:rFonts w:ascii="Cambria" w:hAnsi="Cambria"/>
                <w:kern w:val="2"/>
                <w:sz w:val="22"/>
                <w:szCs w:val="22"/>
              </w:rPr>
            </w:pPr>
            <w:r>
              <w:rPr>
                <w:rFonts w:ascii="Cambria" w:hAnsi="Cambria"/>
                <w:kern w:val="2"/>
                <w:sz w:val="22"/>
                <w:szCs w:val="22"/>
              </w:rPr>
              <w:t>Netaikoma</w:t>
            </w:r>
            <w:bookmarkStart w:id="0" w:name="_GoBack"/>
            <w:bookmarkEnd w:id="0"/>
          </w:p>
          <w:p w:rsidR="008A2AF3" w:rsidRPr="00A90257" w:rsidRDefault="008A2AF3" w:rsidP="00AC0EFB">
            <w:pPr>
              <w:jc w:val="both"/>
              <w:rPr>
                <w:rFonts w:ascii="Cambria" w:hAnsi="Cambria"/>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AC0EFB" w:rsidRPr="00A90257">
        <w:trPr>
          <w:trHeight w:val="300"/>
        </w:trPr>
        <w:tc>
          <w:tcPr>
            <w:tcW w:w="2532" w:type="dxa"/>
          </w:tcPr>
          <w:p w:rsidR="00AC0EFB" w:rsidRPr="005557A2" w:rsidRDefault="00AC0EFB" w:rsidP="00AC0EFB">
            <w:pPr>
              <w:rPr>
                <w:rFonts w:ascii="Cambria" w:hAnsi="Cambria"/>
                <w:b/>
                <w:bCs/>
                <w:kern w:val="2"/>
                <w:sz w:val="22"/>
                <w:szCs w:val="22"/>
              </w:rPr>
            </w:pPr>
            <w:r w:rsidRPr="005557A2">
              <w:rPr>
                <w:rFonts w:ascii="Cambria" w:hAnsi="Cambria"/>
                <w:b/>
                <w:bCs/>
                <w:kern w:val="2"/>
                <w:sz w:val="22"/>
                <w:szCs w:val="22"/>
              </w:rPr>
              <w:t>12.2. Esminiai Sutarties pažeidimai</w:t>
            </w:r>
          </w:p>
          <w:p w:rsidR="00AC0EFB" w:rsidRPr="005557A2" w:rsidRDefault="00AC0EFB" w:rsidP="00AC0EFB">
            <w:pPr>
              <w:rPr>
                <w:rFonts w:ascii="Cambria" w:hAnsi="Cambria"/>
                <w:b/>
                <w:bCs/>
                <w:kern w:val="2"/>
                <w:sz w:val="22"/>
                <w:szCs w:val="22"/>
              </w:rPr>
            </w:pPr>
          </w:p>
        </w:tc>
        <w:tc>
          <w:tcPr>
            <w:tcW w:w="7003" w:type="dxa"/>
            <w:gridSpan w:val="4"/>
          </w:tcPr>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12.2.2. jeigu Tiekėjas nesilaiko Sutartyje nustatytų Prekių tiekimo terminų 2 (du) kartus iš eilės arba vėluoja pristatyti Prekes daugiau nei 30 (trisdešimt) kalendorinių dienų Sutartyje nustatytas Prekių pristatymo terminas;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12.2.3. jeigu Tiekėjas pažeidžia Prekių pristatymo terminus ir priskaičiuotų netesybų už vėlavimą suma viršija 20 (dvidešimt) proc. Pradinės sutarties vertės;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12.2.4. Tiekėjas pažeidžia Prekių pristatymo terminus ir dėl Prekių pristatymo vėlavimo Prekės tampa nebereikalingos;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12.2.5. Tiekėjas daugiau kaip 2 (du) kartus pristato Prekes, kurios neatitinka Sutartyje ir (ar) Įstatymuose nustatytų reikalavimų Prekėms;</w:t>
            </w:r>
          </w:p>
          <w:p w:rsidR="00AC0EFB" w:rsidRPr="005557A2" w:rsidRDefault="00AC0EFB" w:rsidP="00AC0EFB">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AC0EFB" w:rsidRPr="005557A2" w:rsidRDefault="00AC0EFB" w:rsidP="00AC0EFB">
            <w:pPr>
              <w:pStyle w:val="CommentText"/>
              <w:jc w:val="both"/>
              <w:rPr>
                <w:rFonts w:ascii="Cambria" w:eastAsia="Arial" w:hAnsi="Cambria"/>
                <w:strike/>
                <w:kern w:val="2"/>
                <w:sz w:val="22"/>
                <w:szCs w:val="22"/>
              </w:rPr>
            </w:pPr>
            <w:r w:rsidRPr="005557A2">
              <w:rPr>
                <w:rFonts w:ascii="Cambria" w:hAnsi="Cambria"/>
                <w:sz w:val="22"/>
                <w:szCs w:val="22"/>
              </w:rPr>
              <w:t>12.2.7. Tiekėjas pažeidžia šios Sutarties nuostatas, reglamentuojančias konkurenciją, intelektinės nuosavybės ar konfidencialios informacijos valdymą.</w:t>
            </w:r>
          </w:p>
        </w:tc>
      </w:tr>
      <w:tr w:rsidR="00AC0EFB" w:rsidRPr="00A90257">
        <w:trPr>
          <w:trHeight w:val="300"/>
        </w:trPr>
        <w:tc>
          <w:tcPr>
            <w:tcW w:w="9535" w:type="dxa"/>
            <w:gridSpan w:val="5"/>
          </w:tcPr>
          <w:p w:rsidR="00AC0EFB" w:rsidRPr="00A90257" w:rsidRDefault="00AC0EFB" w:rsidP="00AC0EFB">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AC0EFB" w:rsidRPr="00A90257" w:rsidRDefault="00AC0EFB" w:rsidP="00AC0EFB">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 xml:space="preserve">Aplinkos apsaugos kriterijų taikymo, vykdant žaliuosius pirkimus, tvarkos aprašo, patvirtinto Lietuvos Respublikos aplinkos ministro 2011 m. birželio 28 d. </w:t>
            </w:r>
            <w:r w:rsidRPr="00A90257">
              <w:rPr>
                <w:rFonts w:ascii="Cambria" w:hAnsi="Cambria"/>
                <w:color w:val="000000"/>
                <w:kern w:val="2"/>
                <w:sz w:val="22"/>
                <w:szCs w:val="22"/>
              </w:rPr>
              <w:lastRenderedPageBreak/>
              <w:t>įsakymu Nr. D1-508</w:t>
            </w:r>
            <w:r w:rsidRPr="00A90257">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 (savarankiškai nustatomi aplinkos apsaugos kriterijai).</w:t>
            </w:r>
          </w:p>
          <w:p w:rsidR="00AC0EFB" w:rsidRPr="00A90257" w:rsidRDefault="00AC0EFB" w:rsidP="00AC0EFB">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AC0EFB" w:rsidRPr="00A90257" w:rsidRDefault="00AC0EFB" w:rsidP="00AC0EFB">
            <w:pPr>
              <w:jc w:val="both"/>
              <w:rPr>
                <w:rFonts w:ascii="Cambria" w:hAnsi="Cambria"/>
                <w:b/>
                <w:bCs/>
                <w:kern w:val="2"/>
                <w:sz w:val="22"/>
                <w:szCs w:val="22"/>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AC0EFB" w:rsidRPr="00A90257" w:rsidRDefault="00AC0EFB" w:rsidP="00AC0EFB">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AC0EFB" w:rsidRPr="00A90257" w:rsidRDefault="00AC0EFB" w:rsidP="00AC0EFB">
            <w:pPr>
              <w:rPr>
                <w:rFonts w:ascii="Cambria" w:hAnsi="Cambria"/>
                <w:color w:val="0070C0"/>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AC0EFB" w:rsidRPr="00A90257" w:rsidRDefault="00AC0EFB" w:rsidP="00AC0EFB">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AC0EFB" w:rsidRPr="00A90257" w:rsidRDefault="00AC0EFB" w:rsidP="00AC0EFB">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 SUTARTIES PRIEDAI</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AC0EFB" w:rsidRPr="00A90257" w:rsidRDefault="00AC0EFB" w:rsidP="00AC0EFB">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Prekių žiniaraštis;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AC0EFB" w:rsidRPr="00A90257" w:rsidRDefault="00AC0EFB" w:rsidP="00AC0EFB">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AC0EFB" w:rsidRPr="00A90257" w:rsidRDefault="00AC0EFB" w:rsidP="00AC0EFB">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Kiti dokumentai (jei tokių yra).</w:t>
            </w:r>
          </w:p>
        </w:tc>
      </w:tr>
      <w:tr w:rsidR="00AC0EFB" w:rsidRPr="00A90257">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TIEKĖJAS</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C0B" w:rsidRDefault="00731C0B">
      <w:r>
        <w:separator/>
      </w:r>
    </w:p>
  </w:endnote>
  <w:endnote w:type="continuationSeparator" w:id="0">
    <w:p w:rsidR="00731C0B" w:rsidRDefault="0073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C0B" w:rsidRDefault="00731C0B">
      <w:r>
        <w:separator/>
      </w:r>
    </w:p>
  </w:footnote>
  <w:footnote w:type="continuationSeparator" w:id="0">
    <w:p w:rsidR="00731C0B" w:rsidRDefault="00731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089C"/>
    <w:rsid w:val="00014A40"/>
    <w:rsid w:val="00061F0D"/>
    <w:rsid w:val="000702E6"/>
    <w:rsid w:val="0007249E"/>
    <w:rsid w:val="000800AD"/>
    <w:rsid w:val="00082683"/>
    <w:rsid w:val="000855C2"/>
    <w:rsid w:val="000B2EB2"/>
    <w:rsid w:val="000C5CF5"/>
    <w:rsid w:val="000E42DA"/>
    <w:rsid w:val="000E68FA"/>
    <w:rsid w:val="000F6AB7"/>
    <w:rsid w:val="0012736B"/>
    <w:rsid w:val="00130F71"/>
    <w:rsid w:val="00162F35"/>
    <w:rsid w:val="001E17C2"/>
    <w:rsid w:val="001E37D8"/>
    <w:rsid w:val="001F28B8"/>
    <w:rsid w:val="00211738"/>
    <w:rsid w:val="0021339F"/>
    <w:rsid w:val="002178C5"/>
    <w:rsid w:val="00286A57"/>
    <w:rsid w:val="002C07CC"/>
    <w:rsid w:val="002C4BE8"/>
    <w:rsid w:val="002E21E2"/>
    <w:rsid w:val="002E4207"/>
    <w:rsid w:val="002F0B5F"/>
    <w:rsid w:val="00372A1E"/>
    <w:rsid w:val="00383F8A"/>
    <w:rsid w:val="00391A20"/>
    <w:rsid w:val="003947BA"/>
    <w:rsid w:val="00395BD6"/>
    <w:rsid w:val="00396A55"/>
    <w:rsid w:val="003A2759"/>
    <w:rsid w:val="003C5D14"/>
    <w:rsid w:val="00453B93"/>
    <w:rsid w:val="00455C0B"/>
    <w:rsid w:val="004967BE"/>
    <w:rsid w:val="004C767F"/>
    <w:rsid w:val="004E7192"/>
    <w:rsid w:val="004F5924"/>
    <w:rsid w:val="00505881"/>
    <w:rsid w:val="00533AF3"/>
    <w:rsid w:val="005454F2"/>
    <w:rsid w:val="00551715"/>
    <w:rsid w:val="005557A2"/>
    <w:rsid w:val="0056707B"/>
    <w:rsid w:val="00577C2F"/>
    <w:rsid w:val="00583E49"/>
    <w:rsid w:val="00595AF8"/>
    <w:rsid w:val="005B0F6D"/>
    <w:rsid w:val="005D1D96"/>
    <w:rsid w:val="005F7BD5"/>
    <w:rsid w:val="0063169D"/>
    <w:rsid w:val="00656E17"/>
    <w:rsid w:val="00672859"/>
    <w:rsid w:val="0069104D"/>
    <w:rsid w:val="006A17EF"/>
    <w:rsid w:val="006E4843"/>
    <w:rsid w:val="00731C0B"/>
    <w:rsid w:val="00742FD9"/>
    <w:rsid w:val="00746631"/>
    <w:rsid w:val="0075637B"/>
    <w:rsid w:val="00782C33"/>
    <w:rsid w:val="00784F5D"/>
    <w:rsid w:val="00792670"/>
    <w:rsid w:val="007A2AE3"/>
    <w:rsid w:val="007A2CD8"/>
    <w:rsid w:val="007B514F"/>
    <w:rsid w:val="007C268A"/>
    <w:rsid w:val="007D5FB8"/>
    <w:rsid w:val="007F0D31"/>
    <w:rsid w:val="00866DEC"/>
    <w:rsid w:val="00867DBB"/>
    <w:rsid w:val="00897B45"/>
    <w:rsid w:val="008A2AF3"/>
    <w:rsid w:val="008C09A7"/>
    <w:rsid w:val="00915729"/>
    <w:rsid w:val="00916B0A"/>
    <w:rsid w:val="00941C4B"/>
    <w:rsid w:val="00974D89"/>
    <w:rsid w:val="00987201"/>
    <w:rsid w:val="009A24CA"/>
    <w:rsid w:val="009A5118"/>
    <w:rsid w:val="009B1269"/>
    <w:rsid w:val="009C3008"/>
    <w:rsid w:val="009C54F1"/>
    <w:rsid w:val="009D5BCC"/>
    <w:rsid w:val="009E4DA5"/>
    <w:rsid w:val="009F58C1"/>
    <w:rsid w:val="00A22A78"/>
    <w:rsid w:val="00A26EFE"/>
    <w:rsid w:val="00A342E4"/>
    <w:rsid w:val="00A3609C"/>
    <w:rsid w:val="00A46534"/>
    <w:rsid w:val="00A539FF"/>
    <w:rsid w:val="00A55761"/>
    <w:rsid w:val="00A57A4D"/>
    <w:rsid w:val="00A90257"/>
    <w:rsid w:val="00AA3AB5"/>
    <w:rsid w:val="00AC0EFB"/>
    <w:rsid w:val="00AD3DAF"/>
    <w:rsid w:val="00B04B9D"/>
    <w:rsid w:val="00B1157E"/>
    <w:rsid w:val="00B62647"/>
    <w:rsid w:val="00BC1ADD"/>
    <w:rsid w:val="00C0628B"/>
    <w:rsid w:val="00C919CA"/>
    <w:rsid w:val="00C92815"/>
    <w:rsid w:val="00CA4DBB"/>
    <w:rsid w:val="00CB075D"/>
    <w:rsid w:val="00CC2C4A"/>
    <w:rsid w:val="00CD04A5"/>
    <w:rsid w:val="00CE04FF"/>
    <w:rsid w:val="00CF5F8E"/>
    <w:rsid w:val="00D036BB"/>
    <w:rsid w:val="00D41144"/>
    <w:rsid w:val="00D61B73"/>
    <w:rsid w:val="00DA39F9"/>
    <w:rsid w:val="00DB7CBB"/>
    <w:rsid w:val="00DC54CB"/>
    <w:rsid w:val="00DF73D7"/>
    <w:rsid w:val="00E07451"/>
    <w:rsid w:val="00E54EBD"/>
    <w:rsid w:val="00E75657"/>
    <w:rsid w:val="00E92639"/>
    <w:rsid w:val="00EA6873"/>
    <w:rsid w:val="00EA77A4"/>
    <w:rsid w:val="00EB4272"/>
    <w:rsid w:val="00EB495D"/>
    <w:rsid w:val="00EB63C6"/>
    <w:rsid w:val="00EE421E"/>
    <w:rsid w:val="00EF06A8"/>
    <w:rsid w:val="00EF716B"/>
    <w:rsid w:val="00F05849"/>
    <w:rsid w:val="00F102D8"/>
    <w:rsid w:val="00F1500A"/>
    <w:rsid w:val="00F37D04"/>
    <w:rsid w:val="00F918BE"/>
    <w:rsid w:val="00F97C7B"/>
    <w:rsid w:val="00FA728D"/>
    <w:rsid w:val="00FD05CF"/>
    <w:rsid w:val="00FD303D"/>
    <w:rsid w:val="00FD307E"/>
    <w:rsid w:val="00FE1F9E"/>
    <w:rsid w:val="00FE70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11691</Words>
  <Characters>6665</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3</cp:revision>
  <cp:lastPrinted>2025-05-28T06:43:00Z</cp:lastPrinted>
  <dcterms:created xsi:type="dcterms:W3CDTF">2026-02-20T08:37:00Z</dcterms:created>
  <dcterms:modified xsi:type="dcterms:W3CDTF">2026-02-20T08:38:00Z</dcterms:modified>
</cp:coreProperties>
</file>