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800F" w14:textId="5E9886FF"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sz w:val="20"/>
          <w:szCs w:val="20"/>
          <w:lang w:val="lt-LT"/>
        </w:rPr>
        <w:t>PATVIRTINTA </w:t>
      </w:r>
      <w:r w:rsidRPr="009A1863">
        <w:rPr>
          <w:rStyle w:val="eop"/>
          <w:sz w:val="20"/>
          <w:szCs w:val="20"/>
        </w:rPr>
        <w:t> </w:t>
      </w:r>
    </w:p>
    <w:p w14:paraId="0CB2A2CF"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sz w:val="20"/>
          <w:szCs w:val="20"/>
          <w:lang w:val="lt-LT"/>
        </w:rPr>
        <w:t>Viešųjų pirkimų tarnybos direktoriaus </w:t>
      </w:r>
      <w:r w:rsidRPr="009A1863">
        <w:rPr>
          <w:rStyle w:val="eop"/>
          <w:sz w:val="20"/>
          <w:szCs w:val="20"/>
        </w:rPr>
        <w:t> </w:t>
      </w:r>
    </w:p>
    <w:p w14:paraId="3C1C8D21"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sz w:val="20"/>
          <w:szCs w:val="20"/>
          <w:lang w:val="lt-LT"/>
        </w:rPr>
        <w:t>2024 m. gruodžio 30 d. įsakymu Nr. 1S-209 </w:t>
      </w:r>
      <w:r w:rsidRPr="009A1863">
        <w:rPr>
          <w:rStyle w:val="eop"/>
          <w:sz w:val="20"/>
          <w:szCs w:val="20"/>
        </w:rPr>
        <w:t> </w:t>
      </w:r>
    </w:p>
    <w:p w14:paraId="2E5F1217"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color w:val="000000"/>
          <w:sz w:val="20"/>
          <w:szCs w:val="20"/>
          <w:lang w:val="lt-LT"/>
        </w:rPr>
        <w:t>(Viešųjų pirkimų tarnybos direktoriaus</w:t>
      </w:r>
      <w:r w:rsidRPr="009A1863">
        <w:rPr>
          <w:rStyle w:val="eop"/>
          <w:color w:val="000000"/>
          <w:sz w:val="20"/>
          <w:szCs w:val="20"/>
        </w:rPr>
        <w:t> </w:t>
      </w:r>
    </w:p>
    <w:p w14:paraId="1045D3CD"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color w:val="000000"/>
          <w:sz w:val="20"/>
          <w:szCs w:val="20"/>
          <w:lang w:val="lt-LT"/>
        </w:rPr>
        <w:t>2025 m. balandžio 17 d. įsakymo Nr. 1S-52 </w:t>
      </w:r>
      <w:r w:rsidRPr="009A1863">
        <w:rPr>
          <w:rStyle w:val="eop"/>
          <w:color w:val="000000"/>
          <w:sz w:val="20"/>
          <w:szCs w:val="20"/>
        </w:rPr>
        <w:t> </w:t>
      </w:r>
    </w:p>
    <w:p w14:paraId="5F9F24C0" w14:textId="0F1DD50B"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color w:val="000000"/>
          <w:sz w:val="20"/>
          <w:szCs w:val="20"/>
          <w:lang w:val="lt-LT"/>
        </w:rPr>
        <w:t>redakcija)</w:t>
      </w:r>
      <w:r w:rsidRPr="009A1863">
        <w:rPr>
          <w:rStyle w:val="eop"/>
          <w:color w:val="000000"/>
          <w:sz w:val="20"/>
          <w:szCs w:val="20"/>
        </w:rPr>
        <w:t> </w:t>
      </w:r>
    </w:p>
    <w:p w14:paraId="1623E55B" w14:textId="77777777" w:rsidR="00C74FA2" w:rsidRDefault="00C74FA2">
      <w:pPr>
        <w:tabs>
          <w:tab w:val="left" w:pos="5400"/>
        </w:tabs>
        <w:textAlignment w:val="center"/>
        <w:rPr>
          <w:szCs w:val="24"/>
        </w:rPr>
      </w:pPr>
    </w:p>
    <w:p w14:paraId="1D970AEC" w14:textId="7D7C3650" w:rsidR="00027B83" w:rsidRDefault="000B0897" w:rsidP="00AA7CF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06BD45D9" w14:textId="77777777" w:rsidTr="00965CDD">
        <w:trPr>
          <w:trHeight w:val="622"/>
        </w:trPr>
        <w:tc>
          <w:tcPr>
            <w:tcW w:w="2448" w:type="dxa"/>
          </w:tcPr>
          <w:p w14:paraId="40177F4F" w14:textId="77777777" w:rsidR="00027B83" w:rsidRDefault="000B0897">
            <w:pPr>
              <w:jc w:val="both"/>
              <w:rPr>
                <w:b/>
                <w:kern w:val="2"/>
                <w:szCs w:val="24"/>
              </w:rPr>
            </w:pPr>
            <w:r>
              <w:rPr>
                <w:b/>
                <w:kern w:val="2"/>
                <w:szCs w:val="24"/>
              </w:rPr>
              <w:t>Sutarties pavadinimas</w:t>
            </w:r>
          </w:p>
        </w:tc>
        <w:tc>
          <w:tcPr>
            <w:tcW w:w="7612" w:type="dxa"/>
            <w:gridSpan w:val="3"/>
          </w:tcPr>
          <w:p w14:paraId="607BC18E" w14:textId="1800809A" w:rsidR="00027B83" w:rsidRDefault="00AA7CF6" w:rsidP="00AA7CF6">
            <w:pPr>
              <w:rPr>
                <w:kern w:val="2"/>
                <w:szCs w:val="24"/>
              </w:rPr>
            </w:pPr>
            <w:r w:rsidRPr="00AA7CF6">
              <w:rPr>
                <w:kern w:val="2"/>
                <w:szCs w:val="24"/>
              </w:rPr>
              <w:t>METADUOMENŲ ĮRANKIŲ DIEGIMO, DUOMENŲ MODELIAVIMO</w:t>
            </w:r>
            <w:r>
              <w:rPr>
                <w:kern w:val="2"/>
                <w:szCs w:val="24"/>
              </w:rPr>
              <w:t xml:space="preserve"> </w:t>
            </w:r>
            <w:r w:rsidRPr="00AA7CF6">
              <w:rPr>
                <w:kern w:val="2"/>
                <w:szCs w:val="24"/>
              </w:rPr>
              <w:t>IR TEIKIMO PASLAUGOS</w:t>
            </w:r>
          </w:p>
        </w:tc>
      </w:tr>
      <w:tr w:rsidR="00027B83" w14:paraId="2F08ABA7" w14:textId="77777777" w:rsidTr="00965CDD">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3073"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2A8CDD09" w14:textId="77777777" w:rsidTr="00965CDD">
        <w:tc>
          <w:tcPr>
            <w:tcW w:w="10060" w:type="dxa"/>
            <w:gridSpan w:val="3"/>
          </w:tcPr>
          <w:p w14:paraId="0049CEBD" w14:textId="77777777" w:rsidR="00027B83" w:rsidRDefault="000B0897">
            <w:pPr>
              <w:jc w:val="center"/>
              <w:rPr>
                <w:b/>
                <w:kern w:val="2"/>
                <w:szCs w:val="24"/>
              </w:rPr>
            </w:pPr>
            <w:r>
              <w:rPr>
                <w:b/>
                <w:kern w:val="2"/>
                <w:szCs w:val="24"/>
              </w:rPr>
              <w:t>1. SUTARTIES ŠALYS</w:t>
            </w:r>
          </w:p>
        </w:tc>
      </w:tr>
      <w:tr w:rsidR="00AA7CF6" w14:paraId="7A216576" w14:textId="77777777" w:rsidTr="00965CDD">
        <w:tc>
          <w:tcPr>
            <w:tcW w:w="2808" w:type="dxa"/>
            <w:vMerge w:val="restart"/>
          </w:tcPr>
          <w:p w14:paraId="79087AD5" w14:textId="77777777" w:rsidR="00AA7CF6" w:rsidRDefault="00AA7CF6" w:rsidP="00AA7CF6">
            <w:pPr>
              <w:jc w:val="center"/>
              <w:rPr>
                <w:b/>
                <w:kern w:val="2"/>
                <w:szCs w:val="24"/>
              </w:rPr>
            </w:pPr>
          </w:p>
          <w:p w14:paraId="555D406D" w14:textId="77777777" w:rsidR="00AA7CF6" w:rsidRDefault="00AA7CF6" w:rsidP="00AA7CF6">
            <w:pPr>
              <w:jc w:val="center"/>
              <w:rPr>
                <w:b/>
                <w:kern w:val="2"/>
                <w:szCs w:val="24"/>
              </w:rPr>
            </w:pPr>
          </w:p>
          <w:p w14:paraId="757D89F5" w14:textId="77777777" w:rsidR="00AA7CF6" w:rsidRDefault="00AA7CF6" w:rsidP="00AA7CF6">
            <w:pPr>
              <w:jc w:val="center"/>
              <w:rPr>
                <w:b/>
                <w:kern w:val="2"/>
                <w:szCs w:val="24"/>
              </w:rPr>
            </w:pPr>
          </w:p>
          <w:p w14:paraId="6C227F93" w14:textId="77777777" w:rsidR="00AA7CF6" w:rsidRDefault="00AA7CF6" w:rsidP="00AA7CF6">
            <w:pPr>
              <w:rPr>
                <w:b/>
                <w:kern w:val="2"/>
                <w:szCs w:val="24"/>
              </w:rPr>
            </w:pPr>
          </w:p>
          <w:p w14:paraId="0285291C" w14:textId="77777777" w:rsidR="00AA7CF6" w:rsidRDefault="00AA7CF6" w:rsidP="00AA7CF6">
            <w:pPr>
              <w:rPr>
                <w:b/>
                <w:kern w:val="2"/>
                <w:szCs w:val="24"/>
              </w:rPr>
            </w:pPr>
            <w:r>
              <w:rPr>
                <w:b/>
                <w:kern w:val="2"/>
                <w:szCs w:val="24"/>
              </w:rPr>
              <w:t>1.1. Pirkėjas</w:t>
            </w:r>
          </w:p>
        </w:tc>
        <w:tc>
          <w:tcPr>
            <w:tcW w:w="3240" w:type="dxa"/>
          </w:tcPr>
          <w:p w14:paraId="4986D0A4" w14:textId="77777777" w:rsidR="00AA7CF6" w:rsidRDefault="00AA7CF6" w:rsidP="00AA7CF6">
            <w:pPr>
              <w:rPr>
                <w:kern w:val="2"/>
                <w:szCs w:val="24"/>
              </w:rPr>
            </w:pPr>
            <w:r>
              <w:rPr>
                <w:kern w:val="2"/>
                <w:szCs w:val="24"/>
              </w:rPr>
              <w:t>1.1.1. Pavadinimas</w:t>
            </w:r>
          </w:p>
        </w:tc>
        <w:tc>
          <w:tcPr>
            <w:tcW w:w="4012" w:type="dxa"/>
          </w:tcPr>
          <w:p w14:paraId="53FF09A2" w14:textId="766796D0" w:rsidR="00AA7CF6" w:rsidRPr="00E67B45" w:rsidRDefault="00AA7CF6" w:rsidP="00AA7CF6">
            <w:pPr>
              <w:jc w:val="center"/>
              <w:rPr>
                <w:kern w:val="2"/>
                <w:szCs w:val="24"/>
              </w:rPr>
            </w:pPr>
            <w:r w:rsidRPr="00E67B45">
              <w:rPr>
                <w:rFonts w:asciiTheme="minorHAnsi" w:hAnsiTheme="minorHAnsi" w:cstheme="minorHAnsi"/>
                <w:kern w:val="2"/>
                <w:szCs w:val="24"/>
              </w:rPr>
              <w:t>Lietuvos medicinos biblioteka</w:t>
            </w:r>
          </w:p>
        </w:tc>
      </w:tr>
      <w:tr w:rsidR="00AA7CF6" w14:paraId="46894EEE" w14:textId="77777777" w:rsidTr="00965CDD">
        <w:tc>
          <w:tcPr>
            <w:tcW w:w="2808" w:type="dxa"/>
            <w:vMerge/>
          </w:tcPr>
          <w:p w14:paraId="6E3E695C" w14:textId="77777777" w:rsidR="00AA7CF6" w:rsidRDefault="00AA7CF6" w:rsidP="00AA7CF6">
            <w:pPr>
              <w:rPr>
                <w:kern w:val="2"/>
                <w:szCs w:val="24"/>
              </w:rPr>
            </w:pPr>
          </w:p>
        </w:tc>
        <w:tc>
          <w:tcPr>
            <w:tcW w:w="3240" w:type="dxa"/>
          </w:tcPr>
          <w:p w14:paraId="6B5CD43F" w14:textId="77777777" w:rsidR="00AA7CF6" w:rsidRDefault="00AA7CF6" w:rsidP="00AA7CF6">
            <w:pPr>
              <w:rPr>
                <w:kern w:val="2"/>
                <w:szCs w:val="24"/>
              </w:rPr>
            </w:pPr>
            <w:r>
              <w:rPr>
                <w:kern w:val="2"/>
                <w:szCs w:val="24"/>
              </w:rPr>
              <w:t>1.1.2. Juridinio asmens kodas</w:t>
            </w:r>
          </w:p>
        </w:tc>
        <w:tc>
          <w:tcPr>
            <w:tcW w:w="4012" w:type="dxa"/>
          </w:tcPr>
          <w:p w14:paraId="63476F65" w14:textId="7381A854" w:rsidR="00AA7CF6" w:rsidRPr="00E67B45" w:rsidRDefault="00AA7CF6" w:rsidP="00AA7CF6">
            <w:pPr>
              <w:jc w:val="center"/>
              <w:rPr>
                <w:kern w:val="2"/>
                <w:szCs w:val="24"/>
              </w:rPr>
            </w:pPr>
            <w:r w:rsidRPr="00E67B45">
              <w:rPr>
                <w:rFonts w:asciiTheme="minorHAnsi" w:hAnsiTheme="minorHAnsi" w:cstheme="minorHAnsi"/>
                <w:kern w:val="2"/>
                <w:szCs w:val="24"/>
              </w:rPr>
              <w:t>191351145</w:t>
            </w:r>
          </w:p>
        </w:tc>
      </w:tr>
      <w:tr w:rsidR="00AA7CF6" w14:paraId="356739C7" w14:textId="77777777" w:rsidTr="00965CDD">
        <w:tc>
          <w:tcPr>
            <w:tcW w:w="2808" w:type="dxa"/>
            <w:vMerge/>
          </w:tcPr>
          <w:p w14:paraId="1CA5E71D" w14:textId="77777777" w:rsidR="00AA7CF6" w:rsidRDefault="00AA7CF6" w:rsidP="00AA7CF6">
            <w:pPr>
              <w:rPr>
                <w:kern w:val="2"/>
                <w:szCs w:val="24"/>
              </w:rPr>
            </w:pPr>
          </w:p>
        </w:tc>
        <w:tc>
          <w:tcPr>
            <w:tcW w:w="3240" w:type="dxa"/>
          </w:tcPr>
          <w:p w14:paraId="23A01788" w14:textId="77777777" w:rsidR="00AA7CF6" w:rsidRDefault="00AA7CF6" w:rsidP="00AA7CF6">
            <w:pPr>
              <w:rPr>
                <w:kern w:val="2"/>
                <w:szCs w:val="24"/>
              </w:rPr>
            </w:pPr>
            <w:r>
              <w:rPr>
                <w:kern w:val="2"/>
                <w:szCs w:val="24"/>
              </w:rPr>
              <w:t>1.1.3. Adresas</w:t>
            </w:r>
          </w:p>
        </w:tc>
        <w:tc>
          <w:tcPr>
            <w:tcW w:w="4012" w:type="dxa"/>
          </w:tcPr>
          <w:p w14:paraId="4FB387A2" w14:textId="62FB494D" w:rsidR="00AA7CF6" w:rsidRPr="00E67B45" w:rsidRDefault="00AA7CF6" w:rsidP="00AA7CF6">
            <w:pPr>
              <w:jc w:val="center"/>
              <w:rPr>
                <w:kern w:val="2"/>
                <w:szCs w:val="24"/>
              </w:rPr>
            </w:pPr>
            <w:r w:rsidRPr="00E67B45">
              <w:rPr>
                <w:rFonts w:asciiTheme="minorHAnsi" w:hAnsiTheme="minorHAnsi" w:cstheme="minorHAnsi"/>
                <w:kern w:val="2"/>
                <w:szCs w:val="24"/>
              </w:rPr>
              <w:t>Kaštonų g. 7, 01107 Vilnius</w:t>
            </w:r>
          </w:p>
        </w:tc>
      </w:tr>
      <w:tr w:rsidR="00AA7CF6" w14:paraId="00E15A94" w14:textId="77777777" w:rsidTr="00965CDD">
        <w:tc>
          <w:tcPr>
            <w:tcW w:w="2808" w:type="dxa"/>
            <w:vMerge/>
          </w:tcPr>
          <w:p w14:paraId="54205EA9" w14:textId="77777777" w:rsidR="00AA7CF6" w:rsidRDefault="00AA7CF6" w:rsidP="00AA7CF6">
            <w:pPr>
              <w:rPr>
                <w:kern w:val="2"/>
                <w:szCs w:val="24"/>
              </w:rPr>
            </w:pPr>
          </w:p>
        </w:tc>
        <w:tc>
          <w:tcPr>
            <w:tcW w:w="3240" w:type="dxa"/>
          </w:tcPr>
          <w:p w14:paraId="78DC4B4A" w14:textId="77777777" w:rsidR="00AA7CF6" w:rsidRDefault="00AA7CF6" w:rsidP="00AA7CF6">
            <w:pPr>
              <w:rPr>
                <w:kern w:val="2"/>
                <w:szCs w:val="24"/>
              </w:rPr>
            </w:pPr>
            <w:r>
              <w:rPr>
                <w:kern w:val="2"/>
                <w:szCs w:val="24"/>
              </w:rPr>
              <w:t>1.1.4. PVM mokėtojo kodas</w:t>
            </w:r>
          </w:p>
        </w:tc>
        <w:tc>
          <w:tcPr>
            <w:tcW w:w="4012" w:type="dxa"/>
          </w:tcPr>
          <w:p w14:paraId="3641442E" w14:textId="5D37FC97" w:rsidR="00AA7CF6" w:rsidRPr="00E67B45" w:rsidRDefault="00AA7CF6" w:rsidP="00AA7CF6">
            <w:pPr>
              <w:jc w:val="center"/>
              <w:rPr>
                <w:kern w:val="2"/>
                <w:szCs w:val="24"/>
              </w:rPr>
            </w:pPr>
            <w:r w:rsidRPr="00E67B45">
              <w:rPr>
                <w:rFonts w:asciiTheme="minorHAnsi" w:hAnsiTheme="minorHAnsi" w:cstheme="minorHAnsi"/>
                <w:kern w:val="2"/>
                <w:szCs w:val="24"/>
              </w:rPr>
              <w:t>Ne PVM mokėtoja</w:t>
            </w:r>
          </w:p>
        </w:tc>
      </w:tr>
      <w:tr w:rsidR="00AA7CF6" w14:paraId="164424F3" w14:textId="77777777" w:rsidTr="00965CDD">
        <w:tc>
          <w:tcPr>
            <w:tcW w:w="2808" w:type="dxa"/>
            <w:vMerge/>
          </w:tcPr>
          <w:p w14:paraId="605C8647" w14:textId="77777777" w:rsidR="00AA7CF6" w:rsidRDefault="00AA7CF6" w:rsidP="00AA7CF6">
            <w:pPr>
              <w:rPr>
                <w:kern w:val="2"/>
                <w:szCs w:val="24"/>
              </w:rPr>
            </w:pPr>
          </w:p>
        </w:tc>
        <w:tc>
          <w:tcPr>
            <w:tcW w:w="3240" w:type="dxa"/>
          </w:tcPr>
          <w:p w14:paraId="58983992" w14:textId="77777777" w:rsidR="00AA7CF6" w:rsidRDefault="00AA7CF6" w:rsidP="00AA7CF6">
            <w:pPr>
              <w:rPr>
                <w:kern w:val="2"/>
                <w:szCs w:val="24"/>
              </w:rPr>
            </w:pPr>
            <w:r>
              <w:rPr>
                <w:kern w:val="2"/>
                <w:szCs w:val="24"/>
              </w:rPr>
              <w:t>1.1.5. Atsiskaitomoji sąskaita</w:t>
            </w:r>
          </w:p>
        </w:tc>
        <w:tc>
          <w:tcPr>
            <w:tcW w:w="4012" w:type="dxa"/>
          </w:tcPr>
          <w:p w14:paraId="62E56AEE" w14:textId="47E22318" w:rsidR="00AA7CF6" w:rsidRPr="00E67B45" w:rsidRDefault="00AA7CF6" w:rsidP="00AA7CF6">
            <w:pPr>
              <w:jc w:val="center"/>
              <w:rPr>
                <w:kern w:val="2"/>
                <w:szCs w:val="24"/>
              </w:rPr>
            </w:pPr>
            <w:r w:rsidRPr="00E67B45">
              <w:rPr>
                <w:rFonts w:asciiTheme="minorHAnsi" w:hAnsiTheme="minorHAnsi" w:cstheme="minorHAnsi"/>
                <w:szCs w:val="24"/>
              </w:rPr>
              <w:t>LT567044060000269235</w:t>
            </w:r>
          </w:p>
        </w:tc>
      </w:tr>
      <w:tr w:rsidR="00AA7CF6" w14:paraId="6B7E848E" w14:textId="77777777" w:rsidTr="00965CDD">
        <w:tc>
          <w:tcPr>
            <w:tcW w:w="2808" w:type="dxa"/>
            <w:vMerge/>
          </w:tcPr>
          <w:p w14:paraId="4F4A34C0" w14:textId="77777777" w:rsidR="00AA7CF6" w:rsidRDefault="00AA7CF6" w:rsidP="00AA7CF6">
            <w:pPr>
              <w:rPr>
                <w:kern w:val="2"/>
                <w:szCs w:val="24"/>
              </w:rPr>
            </w:pPr>
          </w:p>
        </w:tc>
        <w:tc>
          <w:tcPr>
            <w:tcW w:w="3240" w:type="dxa"/>
          </w:tcPr>
          <w:p w14:paraId="6CD6859C" w14:textId="77777777" w:rsidR="00AA7CF6" w:rsidRDefault="00AA7CF6" w:rsidP="00AA7CF6">
            <w:pPr>
              <w:rPr>
                <w:kern w:val="2"/>
                <w:szCs w:val="24"/>
              </w:rPr>
            </w:pPr>
            <w:r>
              <w:rPr>
                <w:kern w:val="2"/>
                <w:szCs w:val="24"/>
              </w:rPr>
              <w:t>1.1.6. Bankas, banko kodas</w:t>
            </w:r>
          </w:p>
        </w:tc>
        <w:tc>
          <w:tcPr>
            <w:tcW w:w="4012" w:type="dxa"/>
          </w:tcPr>
          <w:p w14:paraId="7CD0A608" w14:textId="49691B52" w:rsidR="00AA7CF6" w:rsidRPr="00E67B45" w:rsidRDefault="00AA7CF6" w:rsidP="00AA7CF6">
            <w:pPr>
              <w:jc w:val="center"/>
              <w:rPr>
                <w:kern w:val="2"/>
                <w:szCs w:val="24"/>
              </w:rPr>
            </w:pPr>
            <w:r w:rsidRPr="00E67B45">
              <w:rPr>
                <w:rFonts w:asciiTheme="minorHAnsi" w:hAnsiTheme="minorHAnsi" w:cstheme="minorHAnsi"/>
                <w:szCs w:val="24"/>
              </w:rPr>
              <w:t xml:space="preserve">AB SEB bankas, </w:t>
            </w:r>
            <w:r w:rsidRPr="00E67B45">
              <w:rPr>
                <w:rStyle w:val="hgkelc"/>
                <w:rFonts w:asciiTheme="minorHAnsi" w:eastAsia="Arial" w:hAnsiTheme="minorHAnsi" w:cstheme="minorHAnsi"/>
              </w:rPr>
              <w:t>70440</w:t>
            </w:r>
          </w:p>
        </w:tc>
      </w:tr>
      <w:tr w:rsidR="00AA7CF6" w14:paraId="3C8A477F" w14:textId="77777777" w:rsidTr="00965CDD">
        <w:tc>
          <w:tcPr>
            <w:tcW w:w="2808" w:type="dxa"/>
            <w:vMerge/>
          </w:tcPr>
          <w:p w14:paraId="6FB01AF8" w14:textId="77777777" w:rsidR="00AA7CF6" w:rsidRDefault="00AA7CF6" w:rsidP="00AA7CF6">
            <w:pPr>
              <w:rPr>
                <w:kern w:val="2"/>
                <w:szCs w:val="24"/>
              </w:rPr>
            </w:pPr>
          </w:p>
        </w:tc>
        <w:tc>
          <w:tcPr>
            <w:tcW w:w="3240" w:type="dxa"/>
          </w:tcPr>
          <w:p w14:paraId="52077EC6" w14:textId="77777777" w:rsidR="00AA7CF6" w:rsidRDefault="00AA7CF6" w:rsidP="00AA7CF6">
            <w:pPr>
              <w:rPr>
                <w:kern w:val="2"/>
                <w:szCs w:val="24"/>
              </w:rPr>
            </w:pPr>
            <w:r>
              <w:rPr>
                <w:kern w:val="2"/>
                <w:szCs w:val="24"/>
              </w:rPr>
              <w:t>1.1.7. Telefonas</w:t>
            </w:r>
          </w:p>
        </w:tc>
        <w:tc>
          <w:tcPr>
            <w:tcW w:w="4012" w:type="dxa"/>
          </w:tcPr>
          <w:p w14:paraId="04975451" w14:textId="6049FD31" w:rsidR="00AA7CF6" w:rsidRPr="00E67B45" w:rsidRDefault="00AA7CF6" w:rsidP="00AA7CF6">
            <w:pPr>
              <w:jc w:val="center"/>
              <w:rPr>
                <w:kern w:val="2"/>
                <w:szCs w:val="24"/>
              </w:rPr>
            </w:pPr>
            <w:r w:rsidRPr="00E67B45">
              <w:rPr>
                <w:rFonts w:asciiTheme="minorHAnsi" w:hAnsiTheme="minorHAnsi" w:cstheme="minorHAnsi"/>
                <w:szCs w:val="24"/>
              </w:rPr>
              <w:t>+370 52 619041</w:t>
            </w:r>
          </w:p>
        </w:tc>
      </w:tr>
      <w:tr w:rsidR="00AA7CF6" w14:paraId="7B8191B7" w14:textId="77777777" w:rsidTr="00965CDD">
        <w:tc>
          <w:tcPr>
            <w:tcW w:w="2808" w:type="dxa"/>
            <w:vMerge/>
          </w:tcPr>
          <w:p w14:paraId="1FE5A316" w14:textId="77777777" w:rsidR="00AA7CF6" w:rsidRDefault="00AA7CF6" w:rsidP="00AA7CF6">
            <w:pPr>
              <w:rPr>
                <w:kern w:val="2"/>
                <w:szCs w:val="24"/>
              </w:rPr>
            </w:pPr>
          </w:p>
        </w:tc>
        <w:tc>
          <w:tcPr>
            <w:tcW w:w="3240" w:type="dxa"/>
          </w:tcPr>
          <w:p w14:paraId="47AE5590" w14:textId="77777777" w:rsidR="00AA7CF6" w:rsidRDefault="00AA7CF6" w:rsidP="00AA7CF6">
            <w:pPr>
              <w:rPr>
                <w:kern w:val="2"/>
                <w:szCs w:val="24"/>
              </w:rPr>
            </w:pPr>
            <w:r>
              <w:rPr>
                <w:kern w:val="2"/>
                <w:szCs w:val="24"/>
              </w:rPr>
              <w:t>1.1.8. El. paštas</w:t>
            </w:r>
          </w:p>
        </w:tc>
        <w:tc>
          <w:tcPr>
            <w:tcW w:w="4012" w:type="dxa"/>
          </w:tcPr>
          <w:p w14:paraId="06155599" w14:textId="118329EE" w:rsidR="00AA7CF6" w:rsidRPr="00E67B45" w:rsidRDefault="00AA7CF6" w:rsidP="00AA7CF6">
            <w:pPr>
              <w:jc w:val="center"/>
              <w:rPr>
                <w:kern w:val="2"/>
                <w:szCs w:val="24"/>
              </w:rPr>
            </w:pPr>
            <w:r w:rsidRPr="00E67B45">
              <w:rPr>
                <w:rFonts w:asciiTheme="minorHAnsi" w:hAnsiTheme="minorHAnsi" w:cstheme="minorHAnsi"/>
                <w:kern w:val="2"/>
                <w:szCs w:val="24"/>
              </w:rPr>
              <w:t>lmb@lmb.lt</w:t>
            </w:r>
          </w:p>
        </w:tc>
      </w:tr>
      <w:tr w:rsidR="00027B83" w14:paraId="1959C3F5" w14:textId="77777777" w:rsidTr="00965CDD">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4012" w:type="dxa"/>
          </w:tcPr>
          <w:p w14:paraId="04FDD825" w14:textId="77777777" w:rsidR="00027B83" w:rsidRDefault="00027B83">
            <w:pPr>
              <w:jc w:val="center"/>
              <w:rPr>
                <w:kern w:val="2"/>
                <w:szCs w:val="24"/>
              </w:rPr>
            </w:pPr>
          </w:p>
        </w:tc>
      </w:tr>
      <w:tr w:rsidR="00027B83" w14:paraId="475D93E9" w14:textId="77777777" w:rsidTr="00965CDD">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4012" w:type="dxa"/>
          </w:tcPr>
          <w:p w14:paraId="7164E978" w14:textId="77777777" w:rsidR="00027B83" w:rsidRDefault="00027B83">
            <w:pPr>
              <w:jc w:val="center"/>
              <w:rPr>
                <w:kern w:val="2"/>
                <w:szCs w:val="24"/>
              </w:rPr>
            </w:pPr>
          </w:p>
        </w:tc>
      </w:tr>
      <w:tr w:rsidR="00027B83" w14:paraId="208DA5AB" w14:textId="77777777" w:rsidTr="00965CDD">
        <w:tc>
          <w:tcPr>
            <w:tcW w:w="2808" w:type="dxa"/>
            <w:vMerge w:val="restart"/>
          </w:tcPr>
          <w:p w14:paraId="6C001A19"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4012" w:type="dxa"/>
          </w:tcPr>
          <w:p w14:paraId="02EEDC7F" w14:textId="77777777" w:rsidR="00027B83" w:rsidRDefault="00027B83">
            <w:pPr>
              <w:jc w:val="center"/>
              <w:rPr>
                <w:kern w:val="2"/>
                <w:szCs w:val="24"/>
              </w:rPr>
            </w:pPr>
          </w:p>
        </w:tc>
      </w:tr>
      <w:tr w:rsidR="00027B83" w14:paraId="3EAB2D74" w14:textId="77777777" w:rsidTr="00965CDD">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4012" w:type="dxa"/>
          </w:tcPr>
          <w:p w14:paraId="53FD7CD7" w14:textId="77777777" w:rsidR="00027B83" w:rsidRDefault="00027B83">
            <w:pPr>
              <w:jc w:val="center"/>
              <w:rPr>
                <w:kern w:val="2"/>
                <w:szCs w:val="24"/>
              </w:rPr>
            </w:pPr>
          </w:p>
        </w:tc>
      </w:tr>
      <w:tr w:rsidR="00027B83" w14:paraId="666244A6" w14:textId="77777777" w:rsidTr="00965CDD">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4012" w:type="dxa"/>
          </w:tcPr>
          <w:p w14:paraId="7014BB4C" w14:textId="77777777" w:rsidR="00027B83" w:rsidRDefault="00027B83">
            <w:pPr>
              <w:jc w:val="center"/>
              <w:rPr>
                <w:kern w:val="2"/>
                <w:szCs w:val="24"/>
              </w:rPr>
            </w:pPr>
          </w:p>
        </w:tc>
      </w:tr>
      <w:tr w:rsidR="00027B83" w14:paraId="29C53A2D" w14:textId="77777777" w:rsidTr="00965CDD">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4012" w:type="dxa"/>
          </w:tcPr>
          <w:p w14:paraId="1570F720" w14:textId="77777777" w:rsidR="00027B83" w:rsidRDefault="00027B83">
            <w:pPr>
              <w:jc w:val="center"/>
              <w:rPr>
                <w:kern w:val="2"/>
                <w:szCs w:val="24"/>
              </w:rPr>
            </w:pPr>
          </w:p>
        </w:tc>
      </w:tr>
      <w:tr w:rsidR="00027B83" w14:paraId="5B9A0B4B" w14:textId="77777777" w:rsidTr="00965CDD">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4012" w:type="dxa"/>
          </w:tcPr>
          <w:p w14:paraId="5B25FE4F" w14:textId="77777777" w:rsidR="00027B83" w:rsidRDefault="00027B83">
            <w:pPr>
              <w:jc w:val="center"/>
              <w:rPr>
                <w:kern w:val="2"/>
                <w:szCs w:val="24"/>
              </w:rPr>
            </w:pPr>
          </w:p>
        </w:tc>
      </w:tr>
      <w:tr w:rsidR="00027B83" w14:paraId="0D812494" w14:textId="77777777" w:rsidTr="00965CDD">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4012" w:type="dxa"/>
          </w:tcPr>
          <w:p w14:paraId="261BA477" w14:textId="77777777" w:rsidR="00027B83" w:rsidRDefault="00027B83">
            <w:pPr>
              <w:jc w:val="center"/>
              <w:rPr>
                <w:kern w:val="2"/>
                <w:szCs w:val="24"/>
              </w:rPr>
            </w:pPr>
          </w:p>
        </w:tc>
      </w:tr>
      <w:tr w:rsidR="00027B83" w14:paraId="3A61E74A" w14:textId="77777777" w:rsidTr="00965CDD">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4012" w:type="dxa"/>
          </w:tcPr>
          <w:p w14:paraId="779C186C" w14:textId="77777777" w:rsidR="00027B83" w:rsidRDefault="00027B83">
            <w:pPr>
              <w:jc w:val="center"/>
              <w:rPr>
                <w:kern w:val="2"/>
                <w:szCs w:val="24"/>
              </w:rPr>
            </w:pPr>
          </w:p>
        </w:tc>
      </w:tr>
      <w:tr w:rsidR="00027B83" w14:paraId="4A6AF2AD" w14:textId="77777777" w:rsidTr="00965CDD">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4012" w:type="dxa"/>
          </w:tcPr>
          <w:p w14:paraId="5FE40A45" w14:textId="77777777" w:rsidR="00027B83" w:rsidRDefault="00027B83">
            <w:pPr>
              <w:jc w:val="center"/>
              <w:rPr>
                <w:kern w:val="2"/>
                <w:szCs w:val="24"/>
              </w:rPr>
            </w:pPr>
          </w:p>
        </w:tc>
      </w:tr>
      <w:tr w:rsidR="00027B83" w14:paraId="67CA8A8E" w14:textId="77777777" w:rsidTr="00965CDD">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4012" w:type="dxa"/>
          </w:tcPr>
          <w:p w14:paraId="6AA5701A" w14:textId="77777777" w:rsidR="00027B83" w:rsidRDefault="00027B83">
            <w:pPr>
              <w:jc w:val="center"/>
              <w:rPr>
                <w:kern w:val="2"/>
                <w:szCs w:val="24"/>
              </w:rPr>
            </w:pPr>
          </w:p>
        </w:tc>
      </w:tr>
      <w:tr w:rsidR="00027B83" w14:paraId="21B1C29D" w14:textId="77777777" w:rsidTr="0000619D">
        <w:trPr>
          <w:trHeight w:val="362"/>
        </w:trPr>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4012"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5103"/>
      </w:tblGrid>
      <w:tr w:rsidR="00027B83" w14:paraId="65ACB567" w14:textId="77777777" w:rsidTr="00965CDD">
        <w:trPr>
          <w:trHeight w:val="300"/>
        </w:trPr>
        <w:tc>
          <w:tcPr>
            <w:tcW w:w="10060"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965CDD">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965CDD">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966"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965CDD">
        <w:trPr>
          <w:trHeight w:val="300"/>
        </w:trPr>
        <w:tc>
          <w:tcPr>
            <w:tcW w:w="10060"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965CDD">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966" w:type="dxa"/>
            <w:gridSpan w:val="2"/>
          </w:tcPr>
          <w:p w14:paraId="27730B38" w14:textId="01302CE8" w:rsidR="00027B83" w:rsidRDefault="000B0897">
            <w:pPr>
              <w:rPr>
                <w:color w:val="000000"/>
                <w:kern w:val="2"/>
                <w:szCs w:val="24"/>
              </w:rPr>
            </w:pPr>
            <w:r>
              <w:rPr>
                <w:kern w:val="2"/>
                <w:szCs w:val="24"/>
              </w:rPr>
              <w:t xml:space="preserve">Tiekėjas įsipareigoja Sutartyje numatytomis sąlygomis suteikti Pirkėjui </w:t>
            </w:r>
            <w:r w:rsidR="00AA7CF6" w:rsidRPr="00AA7CF6">
              <w:rPr>
                <w:kern w:val="2"/>
                <w:szCs w:val="24"/>
              </w:rPr>
              <w:t>metaduomenų įrankių diegimo, duomenų modeliavimo</w:t>
            </w:r>
            <w:r w:rsidR="00AA7CF6">
              <w:rPr>
                <w:kern w:val="2"/>
                <w:szCs w:val="24"/>
              </w:rPr>
              <w:t xml:space="preserve"> </w:t>
            </w:r>
            <w:r w:rsidR="00AA7CF6" w:rsidRPr="00AA7CF6">
              <w:rPr>
                <w:kern w:val="2"/>
                <w:szCs w:val="24"/>
              </w:rPr>
              <w:t>ir teikimo</w:t>
            </w:r>
            <w:r w:rsidR="00AA7CF6">
              <w:rPr>
                <w:kern w:val="2"/>
                <w:szCs w:val="24"/>
              </w:rPr>
              <w:t xml:space="preserve"> paslaugas</w:t>
            </w:r>
            <w:r w:rsidR="00AA7CF6" w:rsidRPr="00AA7CF6">
              <w:rPr>
                <w:kern w:val="2"/>
                <w:szCs w:val="24"/>
              </w:rPr>
              <w:t xml:space="preserve"> </w:t>
            </w:r>
            <w:r>
              <w:rPr>
                <w:color w:val="000000"/>
                <w:kern w:val="2"/>
                <w:szCs w:val="24"/>
              </w:rPr>
              <w:t>(toliau – Paslaugos).</w:t>
            </w:r>
            <w:r w:rsidR="009A1863">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B6DDD">
              <w:rPr>
                <w:color w:val="000000"/>
                <w:kern w:val="2"/>
                <w:szCs w:val="24"/>
              </w:rPr>
              <w:t xml:space="preserve">1 </w:t>
            </w:r>
            <w:r>
              <w:rPr>
                <w:color w:val="000000"/>
                <w:kern w:val="2"/>
                <w:szCs w:val="24"/>
              </w:rPr>
              <w:t>„Techninė specifikacija“ (toliau – Techninė specifi</w:t>
            </w:r>
            <w:r w:rsidR="008B6DDD">
              <w:rPr>
                <w:color w:val="000000"/>
                <w:kern w:val="2"/>
                <w:szCs w:val="24"/>
              </w:rPr>
              <w:t>kacija) ir Sutarties priede Nr. 2</w:t>
            </w:r>
            <w:r>
              <w:rPr>
                <w:color w:val="000000"/>
                <w:kern w:val="2"/>
                <w:szCs w:val="24"/>
              </w:rPr>
              <w:t xml:space="preserve"> „Pasiūlymas“.</w:t>
            </w:r>
          </w:p>
        </w:tc>
      </w:tr>
      <w:tr w:rsidR="00027B83" w14:paraId="20C46499" w14:textId="77777777" w:rsidTr="00965CDD">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966" w:type="dxa"/>
            <w:gridSpan w:val="2"/>
          </w:tcPr>
          <w:p w14:paraId="67D99209" w14:textId="795DE42A" w:rsidR="00027B83" w:rsidRDefault="004E0C9B">
            <w:pPr>
              <w:rPr>
                <w:kern w:val="2"/>
                <w:szCs w:val="24"/>
              </w:rPr>
            </w:pPr>
            <w:r w:rsidRPr="00AA7CF6">
              <w:rPr>
                <w:kern w:val="2"/>
                <w:szCs w:val="24"/>
              </w:rPr>
              <w:t>Metaduomenų įrankių diegimo, duomenų modeliavimo</w:t>
            </w:r>
            <w:r>
              <w:rPr>
                <w:kern w:val="2"/>
                <w:szCs w:val="24"/>
              </w:rPr>
              <w:t xml:space="preserve"> ir teikimo paslaugų pirkimas </w:t>
            </w:r>
          </w:p>
        </w:tc>
      </w:tr>
      <w:tr w:rsidR="00027B83" w14:paraId="5A252299" w14:textId="77777777" w:rsidTr="00965CDD">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2"/>
          </w:tcPr>
          <w:p w14:paraId="3FE75161" w14:textId="7FA2FA5B" w:rsidR="00027B83" w:rsidRDefault="000B0897" w:rsidP="006630E7">
            <w:pPr>
              <w:rPr>
                <w:kern w:val="2"/>
                <w:szCs w:val="24"/>
              </w:rPr>
            </w:pPr>
            <w:r>
              <w:rPr>
                <w:kern w:val="2"/>
                <w:szCs w:val="24"/>
              </w:rPr>
              <w:t>Europos Sąjun</w:t>
            </w:r>
            <w:r w:rsidR="001071E3">
              <w:rPr>
                <w:kern w:val="2"/>
                <w:szCs w:val="24"/>
              </w:rPr>
              <w:t>gos lėšomis bendrai finansuojamas projektas</w:t>
            </w:r>
            <w:r>
              <w:rPr>
                <w:kern w:val="2"/>
                <w:szCs w:val="24"/>
              </w:rPr>
              <w:t xml:space="preserve"> Nr. </w:t>
            </w:r>
            <w:r w:rsidR="006630E7" w:rsidRPr="006630E7">
              <w:rPr>
                <w:kern w:val="2"/>
                <w:szCs w:val="24"/>
              </w:rPr>
              <w:t>02-009-P-0001</w:t>
            </w:r>
            <w:r>
              <w:rPr>
                <w:kern w:val="2"/>
                <w:szCs w:val="24"/>
              </w:rPr>
              <w:t>,</w:t>
            </w:r>
            <w:r>
              <w:rPr>
                <w:color w:val="4472C4"/>
                <w:kern w:val="2"/>
                <w:szCs w:val="24"/>
              </w:rPr>
              <w:t xml:space="preserve"> </w:t>
            </w:r>
            <w:r>
              <w:rPr>
                <w:kern w:val="2"/>
                <w:szCs w:val="24"/>
              </w:rPr>
              <w:t xml:space="preserve">pavadinimas </w:t>
            </w:r>
            <w:r w:rsidR="006630E7" w:rsidRPr="006630E7">
              <w:rPr>
                <w:kern w:val="2"/>
                <w:szCs w:val="24"/>
              </w:rPr>
              <w:t>„Duomenų valdymo modelio</w:t>
            </w:r>
            <w:r w:rsidR="002D67C7">
              <w:rPr>
                <w:kern w:val="2"/>
                <w:szCs w:val="24"/>
              </w:rPr>
              <w:t xml:space="preserve"> </w:t>
            </w:r>
            <w:r w:rsidR="006630E7" w:rsidRPr="006630E7">
              <w:rPr>
                <w:kern w:val="2"/>
                <w:szCs w:val="24"/>
              </w:rPr>
              <w:t>sukūrimas“</w:t>
            </w:r>
            <w:r>
              <w:rPr>
                <w:kern w:val="2"/>
                <w:szCs w:val="24"/>
              </w:rPr>
              <w:t>.</w:t>
            </w:r>
          </w:p>
          <w:p w14:paraId="12762990" w14:textId="7B1212D2" w:rsidR="00027B83" w:rsidRDefault="00027B83">
            <w:pPr>
              <w:rPr>
                <w:kern w:val="2"/>
                <w:szCs w:val="24"/>
              </w:rPr>
            </w:pPr>
          </w:p>
        </w:tc>
      </w:tr>
      <w:tr w:rsidR="00027B83" w14:paraId="56639858" w14:textId="77777777" w:rsidTr="00965CDD">
        <w:trPr>
          <w:trHeight w:val="300"/>
        </w:trPr>
        <w:tc>
          <w:tcPr>
            <w:tcW w:w="10060"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965CDD">
        <w:trPr>
          <w:trHeight w:val="300"/>
        </w:trPr>
        <w:tc>
          <w:tcPr>
            <w:tcW w:w="3094" w:type="dxa"/>
            <w:gridSpan w:val="2"/>
          </w:tcPr>
          <w:p w14:paraId="6BC959D5" w14:textId="49BA610E" w:rsidR="00027B83" w:rsidRPr="00B67D35" w:rsidRDefault="000B0897" w:rsidP="00BA1B5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14:paraId="6A0A9BFD" w14:textId="0DE5FA95" w:rsidR="00273C52" w:rsidRDefault="000B0897">
            <w:pPr>
              <w:rPr>
                <w:szCs w:val="24"/>
              </w:rPr>
            </w:pPr>
            <w:r>
              <w:rPr>
                <w:szCs w:val="24"/>
              </w:rPr>
              <w:t>Tiekėjas Pasla</w:t>
            </w:r>
            <w:r w:rsidRPr="009B640B">
              <w:rPr>
                <w:szCs w:val="24"/>
              </w:rPr>
              <w:t xml:space="preserve">ugas įsipareigoja </w:t>
            </w:r>
            <w:r w:rsidR="009E6FE0">
              <w:rPr>
                <w:szCs w:val="24"/>
              </w:rPr>
              <w:t>su</w:t>
            </w:r>
            <w:r w:rsidRPr="009B640B">
              <w:rPr>
                <w:szCs w:val="24"/>
              </w:rPr>
              <w:t xml:space="preserve">teikti </w:t>
            </w:r>
            <w:r w:rsidR="00DD53C6">
              <w:rPr>
                <w:szCs w:val="24"/>
              </w:rPr>
              <w:t xml:space="preserve">per periodą </w:t>
            </w:r>
            <w:r w:rsidRPr="009E1A84">
              <w:rPr>
                <w:bCs/>
                <w:szCs w:val="24"/>
              </w:rPr>
              <w:t>nuo</w:t>
            </w:r>
            <w:r w:rsidRPr="009E6FE0">
              <w:rPr>
                <w:szCs w:val="24"/>
              </w:rPr>
              <w:t xml:space="preserve"> </w:t>
            </w:r>
            <w:r w:rsidR="009B640B" w:rsidRPr="009E6FE0">
              <w:rPr>
                <w:szCs w:val="24"/>
              </w:rPr>
              <w:t>Sutarties įsigaliojimo dienos</w:t>
            </w:r>
            <w:r w:rsidR="009B640B" w:rsidRPr="009E1A84">
              <w:rPr>
                <w:szCs w:val="24"/>
              </w:rPr>
              <w:t xml:space="preserve"> </w:t>
            </w:r>
            <w:r w:rsidRPr="009E1A84">
              <w:rPr>
                <w:szCs w:val="24"/>
              </w:rPr>
              <w:t>iki</w:t>
            </w:r>
            <w:r w:rsidRPr="009E6FE0">
              <w:rPr>
                <w:b/>
                <w:szCs w:val="24"/>
              </w:rPr>
              <w:t xml:space="preserve"> </w:t>
            </w:r>
            <w:r w:rsidR="00933243" w:rsidRPr="009E6FE0">
              <w:rPr>
                <w:szCs w:val="24"/>
              </w:rPr>
              <w:t>2026 m. gegužės 15</w:t>
            </w:r>
            <w:r w:rsidR="009B640B" w:rsidRPr="009E6FE0">
              <w:rPr>
                <w:szCs w:val="24"/>
              </w:rPr>
              <w:t xml:space="preserve"> d.</w:t>
            </w:r>
          </w:p>
          <w:p w14:paraId="36B51A80" w14:textId="747F5E6D" w:rsidR="00273C52" w:rsidRPr="009E6FE0" w:rsidRDefault="00273C52" w:rsidP="00273C52">
            <w:pPr>
              <w:rPr>
                <w:szCs w:val="24"/>
              </w:rPr>
            </w:pPr>
            <w:r>
              <w:rPr>
                <w:szCs w:val="24"/>
              </w:rPr>
              <w:t>Tiekėjas įsipareigoj</w:t>
            </w:r>
            <w:r w:rsidR="00887F8A">
              <w:rPr>
                <w:szCs w:val="24"/>
              </w:rPr>
              <w:t>a</w:t>
            </w:r>
            <w:r>
              <w:rPr>
                <w:szCs w:val="24"/>
              </w:rPr>
              <w:t xml:space="preserve"> teikti paslaugas pagal Paslaugų teikimo grafiką, kurį suderina su Pirkėju per 5 d.d. nuo Sutarties įsigaliojimo dienos</w:t>
            </w:r>
            <w:r w:rsidR="008935B7">
              <w:rPr>
                <w:szCs w:val="24"/>
              </w:rPr>
              <w:t>, ir kuris tampa neatskiriama Sutarties dalimi</w:t>
            </w:r>
            <w:r>
              <w:rPr>
                <w:szCs w:val="24"/>
              </w:rPr>
              <w:t>.</w:t>
            </w:r>
          </w:p>
        </w:tc>
      </w:tr>
      <w:tr w:rsidR="007A75C6" w14:paraId="445BEF51" w14:textId="77777777" w:rsidTr="00965CDD">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966" w:type="dxa"/>
            <w:gridSpan w:val="2"/>
          </w:tcPr>
          <w:p w14:paraId="0750ECCF" w14:textId="77777777" w:rsidR="007A75C6" w:rsidRDefault="007A75C6" w:rsidP="007A75C6">
            <w:pPr>
              <w:jc w:val="both"/>
              <w:rPr>
                <w:kern w:val="2"/>
                <w:szCs w:val="24"/>
              </w:rPr>
            </w:pPr>
            <w:r>
              <w:rPr>
                <w:kern w:val="2"/>
                <w:szCs w:val="24"/>
              </w:rPr>
              <w:t>Netaikoma</w:t>
            </w:r>
          </w:p>
          <w:p w14:paraId="6DCF4A22" w14:textId="53F3732E" w:rsidR="007A75C6" w:rsidRDefault="007A75C6" w:rsidP="00212EA8">
            <w:pPr>
              <w:jc w:val="both"/>
              <w:rPr>
                <w:szCs w:val="24"/>
              </w:rPr>
            </w:pPr>
          </w:p>
        </w:tc>
      </w:tr>
      <w:tr w:rsidR="00027B83" w14:paraId="1B23F72E" w14:textId="77777777" w:rsidTr="00ED4BFE">
        <w:trPr>
          <w:trHeight w:val="661"/>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966" w:type="dxa"/>
            <w:gridSpan w:val="2"/>
          </w:tcPr>
          <w:p w14:paraId="32517BDA" w14:textId="1FD28E87" w:rsidR="00027B83" w:rsidRDefault="000B0897">
            <w:pPr>
              <w:rPr>
                <w:szCs w:val="24"/>
              </w:rPr>
            </w:pPr>
            <w:r>
              <w:rPr>
                <w:szCs w:val="24"/>
              </w:rPr>
              <w:t>Netaikoma</w:t>
            </w:r>
          </w:p>
          <w:p w14:paraId="15D80427" w14:textId="282E8E78" w:rsidR="00027B83" w:rsidRDefault="00027B83" w:rsidP="00DD6EAA">
            <w:pPr>
              <w:rPr>
                <w:szCs w:val="24"/>
              </w:rPr>
            </w:pPr>
          </w:p>
        </w:tc>
      </w:tr>
      <w:tr w:rsidR="00027B83" w14:paraId="63190814" w14:textId="77777777" w:rsidTr="00965CDD">
        <w:trPr>
          <w:trHeight w:val="92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16B456B6" w14:textId="525E6119" w:rsidR="00BA1B56" w:rsidRDefault="00BA1B56" w:rsidP="00BA1B56">
            <w:pPr>
              <w:rPr>
                <w:szCs w:val="24"/>
              </w:rPr>
            </w:pPr>
          </w:p>
          <w:p w14:paraId="26E2BA7D" w14:textId="4D612A35" w:rsidR="00027B83" w:rsidRDefault="00027B83">
            <w:pPr>
              <w:rPr>
                <w:szCs w:val="24"/>
              </w:rPr>
            </w:pPr>
          </w:p>
        </w:tc>
      </w:tr>
      <w:tr w:rsidR="00027B83" w14:paraId="6A12AB7F" w14:textId="77777777" w:rsidTr="00ED4BFE">
        <w:trPr>
          <w:trHeight w:val="1478"/>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966" w:type="dxa"/>
            <w:gridSpan w:val="2"/>
          </w:tcPr>
          <w:p w14:paraId="58D30B98" w14:textId="201BD13F" w:rsidR="00BA1B56" w:rsidRDefault="00926E6E">
            <w:pPr>
              <w:rPr>
                <w:kern w:val="2"/>
                <w:szCs w:val="24"/>
              </w:rPr>
            </w:pPr>
            <w:r w:rsidRPr="002E3A21">
              <w:rPr>
                <w:kern w:val="2"/>
                <w:szCs w:val="24"/>
              </w:rPr>
              <w:t xml:space="preserve">Suteikus Paslaugas arba jų dalį, arba jų etapą, arba jų periodą, </w:t>
            </w:r>
            <w:r>
              <w:rPr>
                <w:kern w:val="2"/>
                <w:szCs w:val="24"/>
              </w:rPr>
              <w:t>t</w:t>
            </w:r>
            <w:r w:rsidR="000B0897">
              <w:rPr>
                <w:kern w:val="2"/>
                <w:szCs w:val="24"/>
              </w:rPr>
              <w:t xml:space="preserve">uri būti pateikiami šie dokumentai: </w:t>
            </w:r>
            <w:r w:rsidR="00BA1B56" w:rsidRPr="00BA1B56">
              <w:rPr>
                <w:kern w:val="2"/>
                <w:szCs w:val="24"/>
              </w:rPr>
              <w:t>Paslaugų perdavimo-priėmimo aktas(-ai) ir Sąskaita(-os).</w:t>
            </w:r>
          </w:p>
          <w:p w14:paraId="0CE28B9D" w14:textId="1A235726"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rsidTr="00965CDD">
        <w:trPr>
          <w:trHeight w:val="300"/>
        </w:trPr>
        <w:tc>
          <w:tcPr>
            <w:tcW w:w="10060"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965CDD">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966" w:type="dxa"/>
            <w:gridSpan w:val="2"/>
          </w:tcPr>
          <w:p w14:paraId="1199C3A4" w14:textId="7DBBAFCB" w:rsidR="00027B83" w:rsidRPr="00B67D35" w:rsidRDefault="000B0897">
            <w:pPr>
              <w:rPr>
                <w:kern w:val="2"/>
                <w:szCs w:val="24"/>
              </w:rPr>
            </w:pPr>
            <w:r>
              <w:rPr>
                <w:kern w:val="2"/>
                <w:szCs w:val="24"/>
              </w:rPr>
              <w:t>Fiksuotos kainos kainodara</w:t>
            </w:r>
            <w:r w:rsidR="00C853BB">
              <w:rPr>
                <w:kern w:val="2"/>
                <w:szCs w:val="24"/>
              </w:rPr>
              <w:t>.</w:t>
            </w:r>
          </w:p>
        </w:tc>
      </w:tr>
      <w:tr w:rsidR="00027B83" w14:paraId="3843FD4C" w14:textId="77777777" w:rsidTr="00965CDD">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11763152" w:rsidR="00027B83" w:rsidRDefault="00027B83" w:rsidP="00DD6EAA">
            <w:pPr>
              <w:jc w:val="both"/>
              <w:rPr>
                <w:b/>
                <w:kern w:val="2"/>
                <w:szCs w:val="24"/>
              </w:rPr>
            </w:pPr>
          </w:p>
        </w:tc>
        <w:tc>
          <w:tcPr>
            <w:tcW w:w="6966"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965CDD">
        <w:trPr>
          <w:trHeight w:val="300"/>
        </w:trPr>
        <w:tc>
          <w:tcPr>
            <w:tcW w:w="3094" w:type="dxa"/>
            <w:gridSpan w:val="2"/>
          </w:tcPr>
          <w:p w14:paraId="5E5DEA20" w14:textId="4B02FA3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966" w:type="dxa"/>
            <w:gridSpan w:val="2"/>
          </w:tcPr>
          <w:p w14:paraId="35A9E16C" w14:textId="5F1E6168" w:rsidR="00027B83" w:rsidRDefault="000B0897">
            <w:pPr>
              <w:rPr>
                <w:szCs w:val="24"/>
              </w:rPr>
            </w:pPr>
            <w:r>
              <w:rPr>
                <w:kern w:val="2"/>
                <w:szCs w:val="24"/>
              </w:rPr>
              <w:t xml:space="preserve">Sutarties </w:t>
            </w:r>
            <w:r w:rsidRPr="007D21B8">
              <w:rPr>
                <w:kern w:val="2"/>
                <w:szCs w:val="24"/>
              </w:rPr>
              <w:t xml:space="preserve">kaina </w:t>
            </w:r>
            <w:r w:rsidR="007D21B8">
              <w:rPr>
                <w:kern w:val="2"/>
                <w:szCs w:val="24"/>
              </w:rPr>
              <w:t>bus perskaičiuojama</w:t>
            </w:r>
            <w:r>
              <w:rPr>
                <w:kern w:val="2"/>
                <w:szCs w:val="24"/>
              </w:rPr>
              <w:t>:</w:t>
            </w:r>
          </w:p>
          <w:p w14:paraId="309BB6A3" w14:textId="1DD7BC71" w:rsidR="007D21B8" w:rsidRDefault="000B0897" w:rsidP="007D21B8">
            <w:pPr>
              <w:rPr>
                <w:color w:val="FF0000"/>
                <w:kern w:val="2"/>
                <w:szCs w:val="24"/>
              </w:rPr>
            </w:pPr>
            <w:r>
              <w:rPr>
                <w:kern w:val="2"/>
                <w:szCs w:val="24"/>
              </w:rPr>
              <w:t>dėl</w:t>
            </w:r>
            <w:r w:rsidR="007D21B8">
              <w:rPr>
                <w:kern w:val="2"/>
                <w:szCs w:val="24"/>
              </w:rPr>
              <w:t xml:space="preserve"> PVM tarifo pasikeitimo.</w:t>
            </w:r>
          </w:p>
          <w:p w14:paraId="662EA503" w14:textId="17742946" w:rsidR="00027B83" w:rsidRDefault="00027B83">
            <w:pPr>
              <w:rPr>
                <w:color w:val="FF0000"/>
                <w:kern w:val="2"/>
                <w:szCs w:val="24"/>
              </w:rPr>
            </w:pPr>
          </w:p>
        </w:tc>
      </w:tr>
      <w:tr w:rsidR="00027B83" w14:paraId="493E8FAB" w14:textId="77777777" w:rsidTr="00965CDD">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966" w:type="dxa"/>
            <w:gridSpan w:val="2"/>
          </w:tcPr>
          <w:p w14:paraId="265830DC" w14:textId="2D3ACC1E" w:rsidR="00027B83" w:rsidRPr="00B67D35"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sidRPr="00C64301">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965CDD">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0F646B7E" w14:textId="77777777" w:rsidR="00027B83" w:rsidRDefault="000B0897">
            <w:pPr>
              <w:rPr>
                <w:kern w:val="2"/>
                <w:szCs w:val="24"/>
              </w:rPr>
            </w:pPr>
            <w:r>
              <w:rPr>
                <w:kern w:val="2"/>
                <w:szCs w:val="24"/>
              </w:rPr>
              <w:t>Netaikoma</w:t>
            </w:r>
          </w:p>
          <w:p w14:paraId="5772B308" w14:textId="0A2BF2CA" w:rsidR="00027B83" w:rsidRDefault="00027B83">
            <w:pPr>
              <w:rPr>
                <w:szCs w:val="24"/>
              </w:rPr>
            </w:pPr>
          </w:p>
        </w:tc>
      </w:tr>
      <w:tr w:rsidR="006F0803" w14:paraId="022882B0" w14:textId="77777777" w:rsidTr="00965CDD">
        <w:trPr>
          <w:trHeight w:val="300"/>
        </w:trPr>
        <w:tc>
          <w:tcPr>
            <w:tcW w:w="3094" w:type="dxa"/>
            <w:gridSpan w:val="2"/>
          </w:tcPr>
          <w:p w14:paraId="34D2BE09" w14:textId="518920BF" w:rsidR="006F0803" w:rsidRPr="00DD6EAA" w:rsidRDefault="006F0803" w:rsidP="006F0803">
            <w:pPr>
              <w:rPr>
                <w:kern w:val="2"/>
                <w:szCs w:val="24"/>
              </w:rPr>
            </w:pPr>
            <w:r>
              <w:rPr>
                <w:b/>
                <w:kern w:val="2"/>
                <w:szCs w:val="24"/>
              </w:rPr>
              <w:t>5.3.3. Sutarties kainos / įkainių peržiūra dėl kainų lygio pokyčio</w:t>
            </w:r>
          </w:p>
        </w:tc>
        <w:tc>
          <w:tcPr>
            <w:tcW w:w="6966"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62864933" w:rsidR="006F0803" w:rsidRDefault="006F0803" w:rsidP="006F0803">
            <w:pPr>
              <w:rPr>
                <w:color w:val="4472C4"/>
                <w:kern w:val="2"/>
                <w:szCs w:val="24"/>
              </w:rPr>
            </w:pPr>
          </w:p>
        </w:tc>
      </w:tr>
      <w:tr w:rsidR="00027B83" w14:paraId="6D143C7C" w14:textId="77777777" w:rsidTr="00965CDD">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D17F28C" w:rsidR="00027B83" w:rsidRDefault="00027B83">
            <w:pPr>
              <w:rPr>
                <w:szCs w:val="24"/>
              </w:rPr>
            </w:pPr>
          </w:p>
        </w:tc>
      </w:tr>
      <w:tr w:rsidR="00027B83" w14:paraId="22049506" w14:textId="77777777" w:rsidTr="00965CDD">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7F5A3189" w14:textId="77777777" w:rsidR="00B51CBF" w:rsidRDefault="00B51CBF" w:rsidP="00B51CBF">
            <w:pPr>
              <w:rPr>
                <w:kern w:val="2"/>
                <w:szCs w:val="24"/>
              </w:rPr>
            </w:pPr>
            <w:r>
              <w:rPr>
                <w:kern w:val="2"/>
                <w:szCs w:val="24"/>
              </w:rPr>
              <w:t>Netaikoma</w:t>
            </w:r>
          </w:p>
          <w:p w14:paraId="327A89C8" w14:textId="60E01889" w:rsidR="00027B83" w:rsidRDefault="00027B83">
            <w:pPr>
              <w:rPr>
                <w:szCs w:val="24"/>
              </w:rPr>
            </w:pPr>
          </w:p>
        </w:tc>
      </w:tr>
      <w:tr w:rsidR="00027B83" w14:paraId="64F75697" w14:textId="77777777" w:rsidTr="00965CDD">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966" w:type="dxa"/>
            <w:gridSpan w:val="2"/>
          </w:tcPr>
          <w:p w14:paraId="7BAC5334" w14:textId="4D96069A" w:rsidR="00027B83" w:rsidRPr="00B67D35" w:rsidRDefault="000B0897">
            <w:pPr>
              <w:rPr>
                <w:kern w:val="2"/>
                <w:szCs w:val="24"/>
              </w:rPr>
            </w:pPr>
            <w:r>
              <w:rPr>
                <w:kern w:val="2"/>
                <w:szCs w:val="24"/>
              </w:rPr>
              <w:t xml:space="preserve">Pirkėjas atsiskaito su Tiekėju ne vėliau kaip per </w:t>
            </w:r>
            <w:r w:rsidR="00B51CBF">
              <w:rPr>
                <w:kern w:val="2"/>
                <w:szCs w:val="24"/>
              </w:rPr>
              <w:t>14</w:t>
            </w:r>
            <w:r w:rsidR="00C87EFC" w:rsidRPr="002F0049">
              <w:rPr>
                <w:kern w:val="2"/>
                <w:szCs w:val="24"/>
              </w:rPr>
              <w:t xml:space="preserve"> (</w:t>
            </w:r>
            <w:r w:rsidR="00B51CBF">
              <w:rPr>
                <w:kern w:val="2"/>
                <w:szCs w:val="24"/>
              </w:rPr>
              <w:t>keturiolika</w:t>
            </w:r>
            <w:r w:rsidR="00C87EFC" w:rsidRPr="002F0049">
              <w:rPr>
                <w:kern w:val="2"/>
                <w:szCs w:val="24"/>
              </w:rPr>
              <w:t>) kalendorinių dienų</w:t>
            </w:r>
            <w:r w:rsidRPr="002F0049">
              <w:rPr>
                <w:kern w:val="2"/>
                <w:szCs w:val="24"/>
              </w:rPr>
              <w:t xml:space="preserve"> </w:t>
            </w:r>
            <w:r>
              <w:rPr>
                <w:kern w:val="2"/>
                <w:szCs w:val="24"/>
              </w:rPr>
              <w:t>nuo Sąskaitos gavimo dienos.</w:t>
            </w:r>
          </w:p>
          <w:p w14:paraId="2E393D74" w14:textId="33E3D262" w:rsidR="00027B83" w:rsidRPr="00503083" w:rsidRDefault="000B0897" w:rsidP="00C35B5E">
            <w:pPr>
              <w:rPr>
                <w:color w:val="FF0000"/>
                <w:kern w:val="2"/>
                <w:szCs w:val="24"/>
                <w:shd w:val="clear" w:color="auto" w:fill="FFFFFF"/>
              </w:rPr>
            </w:pPr>
            <w:r>
              <w:rPr>
                <w:color w:val="000000"/>
                <w:kern w:val="2"/>
                <w:szCs w:val="24"/>
                <w:shd w:val="clear" w:color="auto" w:fill="FFFFFF"/>
              </w:rPr>
              <w:t>Apmokėjimo sąlygos</w:t>
            </w:r>
            <w:r w:rsidR="00C87EFC">
              <w:rPr>
                <w:color w:val="4472C4"/>
                <w:kern w:val="2"/>
                <w:szCs w:val="24"/>
                <w:shd w:val="clear" w:color="auto" w:fill="FFFFFF"/>
              </w:rPr>
              <w:t>:</w:t>
            </w:r>
            <w:r w:rsidR="009B40A5">
              <w:rPr>
                <w:color w:val="4472C4"/>
                <w:kern w:val="2"/>
                <w:szCs w:val="24"/>
                <w:shd w:val="clear" w:color="auto" w:fill="FFFFFF"/>
              </w:rPr>
              <w:t xml:space="preserve"> </w:t>
            </w:r>
            <w:r w:rsidR="00C87EFC" w:rsidRPr="00C35B5E">
              <w:rPr>
                <w:kern w:val="2"/>
                <w:szCs w:val="24"/>
                <w:shd w:val="clear" w:color="auto" w:fill="FFFFFF"/>
              </w:rPr>
              <w:t xml:space="preserve">Tiekėjui </w:t>
            </w:r>
            <w:r w:rsidRPr="00C35B5E">
              <w:rPr>
                <w:kern w:val="2"/>
                <w:szCs w:val="24"/>
                <w:shd w:val="clear" w:color="auto" w:fill="FFFFFF"/>
              </w:rPr>
              <w:t>įvykdžius visus sutartinius įsipareigojimus</w:t>
            </w:r>
            <w:r w:rsidR="00C87EFC" w:rsidRPr="00C35B5E">
              <w:rPr>
                <w:kern w:val="2"/>
                <w:szCs w:val="24"/>
                <w:shd w:val="clear" w:color="auto" w:fill="FFFFFF"/>
              </w:rPr>
              <w:t xml:space="preserve">, kai Šalys pasirašo </w:t>
            </w:r>
            <w:r w:rsidR="00C35B5E" w:rsidRPr="00C35B5E">
              <w:rPr>
                <w:kern w:val="2"/>
                <w:szCs w:val="24"/>
                <w:shd w:val="clear" w:color="auto" w:fill="FFFFFF"/>
              </w:rPr>
              <w:t xml:space="preserve">galutinį </w:t>
            </w:r>
            <w:r w:rsidR="00C87EFC" w:rsidRPr="00C35B5E">
              <w:rPr>
                <w:kern w:val="2"/>
                <w:szCs w:val="24"/>
                <w:shd w:val="clear" w:color="auto" w:fill="FFFFFF"/>
              </w:rPr>
              <w:t>paslaugų perdavimo-priėmimo</w:t>
            </w:r>
            <w:r w:rsidR="00C35B5E">
              <w:rPr>
                <w:kern w:val="2"/>
                <w:szCs w:val="24"/>
                <w:shd w:val="clear" w:color="auto" w:fill="FFFFFF"/>
              </w:rPr>
              <w:t xml:space="preserve"> </w:t>
            </w:r>
            <w:r w:rsidR="00C87EFC" w:rsidRPr="00C35B5E">
              <w:rPr>
                <w:kern w:val="2"/>
                <w:szCs w:val="24"/>
                <w:shd w:val="clear" w:color="auto" w:fill="FFFFFF"/>
              </w:rPr>
              <w:t>aktą, ir Tiekėjas elektroniniu būdu, naudodamasis</w:t>
            </w:r>
            <w:r w:rsidR="00C35B5E">
              <w:rPr>
                <w:kern w:val="2"/>
                <w:szCs w:val="24"/>
                <w:shd w:val="clear" w:color="auto" w:fill="FFFFFF"/>
              </w:rPr>
              <w:t xml:space="preserve"> </w:t>
            </w:r>
            <w:r w:rsidR="00C87EFC" w:rsidRPr="00C35B5E">
              <w:rPr>
                <w:kern w:val="2"/>
                <w:szCs w:val="24"/>
                <w:shd w:val="clear" w:color="auto" w:fill="FFFFFF"/>
              </w:rPr>
              <w:t>informacinės sistemos SABIS priemonėmis, pateikia PVM</w:t>
            </w:r>
            <w:r w:rsidR="008935B7">
              <w:rPr>
                <w:kern w:val="2"/>
                <w:szCs w:val="24"/>
                <w:shd w:val="clear" w:color="auto" w:fill="FFFFFF"/>
              </w:rPr>
              <w:t xml:space="preserve"> </w:t>
            </w:r>
            <w:r w:rsidR="00C87EFC" w:rsidRPr="00C35B5E">
              <w:rPr>
                <w:kern w:val="2"/>
                <w:szCs w:val="24"/>
                <w:shd w:val="clear" w:color="auto" w:fill="FFFFFF"/>
              </w:rPr>
              <w:t>sąskaitą faktūrą už suteiktas paslaugas, sumokama visa Sutarties kaina</w:t>
            </w:r>
          </w:p>
        </w:tc>
      </w:tr>
      <w:tr w:rsidR="006F0803" w14:paraId="65C41120" w14:textId="77777777" w:rsidTr="00965CDD">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966" w:type="dxa"/>
            <w:gridSpan w:val="2"/>
          </w:tcPr>
          <w:p w14:paraId="382B074E" w14:textId="0B15293D" w:rsidR="006F0803" w:rsidRPr="00503083" w:rsidRDefault="006F0803" w:rsidP="00503083">
            <w:pPr>
              <w:rPr>
                <w:kern w:val="2"/>
                <w:szCs w:val="24"/>
              </w:rPr>
            </w:pPr>
            <w:r w:rsidRPr="00DD6EAA">
              <w:rPr>
                <w:kern w:val="2"/>
                <w:szCs w:val="24"/>
              </w:rPr>
              <w:t>Netaikoma</w:t>
            </w:r>
          </w:p>
        </w:tc>
      </w:tr>
      <w:tr w:rsidR="006F0803" w14:paraId="19884362" w14:textId="77777777" w:rsidTr="00965CDD">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966" w:type="dxa"/>
            <w:gridSpan w:val="2"/>
          </w:tcPr>
          <w:p w14:paraId="3258F3A8" w14:textId="5160C4D8" w:rsidR="006F0803" w:rsidRDefault="006F0803" w:rsidP="006F0803">
            <w:pPr>
              <w:rPr>
                <w:kern w:val="2"/>
                <w:szCs w:val="24"/>
              </w:rPr>
            </w:pPr>
            <w:r>
              <w:rPr>
                <w:kern w:val="2"/>
                <w:szCs w:val="24"/>
              </w:rPr>
              <w:t>Netaiko</w:t>
            </w:r>
            <w:r w:rsidR="00503083">
              <w:rPr>
                <w:kern w:val="2"/>
                <w:szCs w:val="24"/>
              </w:rPr>
              <w:t>ma</w:t>
            </w:r>
          </w:p>
        </w:tc>
      </w:tr>
      <w:tr w:rsidR="00027B83" w14:paraId="29366B46" w14:textId="77777777" w:rsidTr="00965CDD">
        <w:trPr>
          <w:trHeight w:val="300"/>
        </w:trPr>
        <w:tc>
          <w:tcPr>
            <w:tcW w:w="10060"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965CDD">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966" w:type="dxa"/>
            <w:gridSpan w:val="2"/>
          </w:tcPr>
          <w:p w14:paraId="56CB118C" w14:textId="01B20BD4" w:rsidR="006F0803" w:rsidRPr="00B67D35" w:rsidRDefault="006F0803" w:rsidP="006F0803">
            <w:r w:rsidRPr="00B67D35">
              <w:rPr>
                <w:bCs/>
              </w:rPr>
              <w:t>Paslaugoms</w:t>
            </w:r>
            <w:r>
              <w:rPr>
                <w:szCs w:val="24"/>
              </w:rPr>
              <w:t xml:space="preserve"> </w:t>
            </w:r>
            <w:r w:rsidRPr="009B40A5">
              <w:rPr>
                <w:kern w:val="2"/>
              </w:rPr>
              <w:t>taikomas</w:t>
            </w:r>
            <w:r w:rsidRPr="009B40A5">
              <w:rPr>
                <w:kern w:val="2"/>
                <w:szCs w:val="24"/>
              </w:rPr>
              <w:t xml:space="preserve"> </w:t>
            </w:r>
            <w:r w:rsidR="00DD6EAA" w:rsidRPr="009B40A5">
              <w:rPr>
                <w:kern w:val="2"/>
                <w:szCs w:val="24"/>
              </w:rPr>
              <w:t xml:space="preserve">Techninėje </w:t>
            </w:r>
            <w:r w:rsidRPr="009B40A5">
              <w:rPr>
                <w:kern w:val="2"/>
              </w:rPr>
              <w:t>specifikacijoje nustatytas</w:t>
            </w:r>
            <w:r w:rsidRPr="009B40A5">
              <w:t xml:space="preserve"> </w:t>
            </w:r>
            <w:r w:rsidRPr="009B40A5">
              <w:rPr>
                <w:kern w:val="2"/>
              </w:rPr>
              <w:t xml:space="preserve">garantinis terminas, kuris yra </w:t>
            </w:r>
            <w:r w:rsidR="00DD6EAA" w:rsidRPr="009B40A5">
              <w:rPr>
                <w:kern w:val="2"/>
              </w:rPr>
              <w:t>12 mėnesių</w:t>
            </w:r>
            <w:r w:rsidRPr="009B40A5">
              <w:rPr>
                <w:kern w:val="2"/>
              </w:rPr>
              <w:t xml:space="preserve">. </w:t>
            </w:r>
            <w:r w:rsidRPr="009B40A5">
              <w:rPr>
                <w:kern w:val="2"/>
                <w:szCs w:val="24"/>
              </w:rPr>
              <w:t xml:space="preserve"> </w:t>
            </w:r>
            <w:r w:rsidRPr="009B40A5">
              <w:rPr>
                <w:kern w:val="2"/>
              </w:rPr>
              <w:t xml:space="preserve">Garantinis </w:t>
            </w:r>
            <w:r>
              <w:rPr>
                <w:kern w:val="2"/>
              </w:rPr>
              <w:t xml:space="preserve">terminas skaičiuojamas nuo </w:t>
            </w:r>
            <w:r>
              <w:t>Paslaugų</w:t>
            </w:r>
            <w:r>
              <w:rPr>
                <w:kern w:val="2"/>
              </w:rPr>
              <w:t xml:space="preserve"> perdavimo–priėmimo akto pasirašymo dienos.</w:t>
            </w:r>
          </w:p>
          <w:p w14:paraId="606FD54D" w14:textId="70A50C3F" w:rsidR="006F0803" w:rsidRDefault="006F0803" w:rsidP="00182EAB">
            <w:pPr>
              <w:rPr>
                <w:szCs w:val="24"/>
              </w:rPr>
            </w:pPr>
            <w:r w:rsidRPr="00B67D35">
              <w:rPr>
                <w:bCs/>
              </w:rPr>
              <w:t>Su Paslaugomis susijusioms prekėms</w:t>
            </w:r>
            <w:r>
              <w:rPr>
                <w:szCs w:val="24"/>
              </w:rPr>
              <w:t xml:space="preserve"> </w:t>
            </w:r>
            <w:r w:rsidRPr="00D52DAA">
              <w:rPr>
                <w:kern w:val="2"/>
              </w:rPr>
              <w:t xml:space="preserve">nustatomas teisės aktuose nustatytas </w:t>
            </w:r>
            <w:r w:rsidR="00182EAB" w:rsidRPr="00D52DAA">
              <w:rPr>
                <w:kern w:val="2"/>
              </w:rPr>
              <w:t>ir</w:t>
            </w:r>
            <w:r w:rsidRPr="00D52DAA">
              <w:rPr>
                <w:kern w:val="2"/>
              </w:rPr>
              <w:t xml:space="preserve"> Techninėje specifikacijoje nustatytas</w:t>
            </w:r>
            <w:r w:rsidRPr="00D52DAA">
              <w:t xml:space="preserve"> </w:t>
            </w:r>
            <w:r w:rsidRPr="00D52DAA">
              <w:rPr>
                <w:kern w:val="2"/>
              </w:rPr>
              <w:t xml:space="preserve">garantinis </w:t>
            </w:r>
            <w:r w:rsidR="00182EAB">
              <w:rPr>
                <w:kern w:val="2"/>
              </w:rPr>
              <w:t>terminas</w:t>
            </w:r>
            <w:r>
              <w:rPr>
                <w:kern w:val="2"/>
              </w:rPr>
              <w:t xml:space="preserve">.  Garantinis terminas skaičiuojamas nuo </w:t>
            </w:r>
            <w:r>
              <w:t>Paslaugų</w:t>
            </w:r>
            <w:r>
              <w:rPr>
                <w:kern w:val="2"/>
                <w:szCs w:val="24"/>
              </w:rPr>
              <w:t xml:space="preserve"> </w:t>
            </w:r>
            <w:r>
              <w:rPr>
                <w:kern w:val="2"/>
              </w:rPr>
              <w:t>perdavimo–priėmimo akto pasirašymo dienos.</w:t>
            </w:r>
          </w:p>
        </w:tc>
      </w:tr>
      <w:tr w:rsidR="006F0803" w14:paraId="1619DC5D" w14:textId="77777777" w:rsidTr="00965CDD">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966" w:type="dxa"/>
            <w:gridSpan w:val="2"/>
          </w:tcPr>
          <w:p w14:paraId="4A64BFAB" w14:textId="7EC840E5" w:rsidR="006F0803" w:rsidRDefault="006F0803" w:rsidP="006F0803">
            <w:pPr>
              <w:rPr>
                <w:kern w:val="2"/>
                <w:szCs w:val="24"/>
              </w:rPr>
            </w:pPr>
            <w:r>
              <w:rPr>
                <w:kern w:val="2"/>
                <w:szCs w:val="24"/>
              </w:rPr>
              <w:t xml:space="preserve">Sutartyje nurodytu garantinio termino laikotarpiu nustačius Paslaugų trūkumų, </w:t>
            </w:r>
            <w:r w:rsidRPr="00A313BF">
              <w:rPr>
                <w:kern w:val="2"/>
                <w:szCs w:val="24"/>
              </w:rPr>
              <w:t xml:space="preserve">Tiekėjas turi </w:t>
            </w:r>
            <w:r w:rsidR="002F0049" w:rsidRPr="00A313BF">
              <w:rPr>
                <w:kern w:val="2"/>
                <w:szCs w:val="24"/>
              </w:rPr>
              <w:t xml:space="preserve">pašalinti Paslaugų trūkumus </w:t>
            </w:r>
            <w:r w:rsidRPr="00A313BF">
              <w:rPr>
                <w:kern w:val="2"/>
                <w:szCs w:val="24"/>
              </w:rPr>
              <w:t xml:space="preserve">ne vėliau kaip per </w:t>
            </w:r>
            <w:r w:rsidR="001E73CD" w:rsidRPr="00A313BF">
              <w:rPr>
                <w:kern w:val="2"/>
                <w:szCs w:val="24"/>
              </w:rPr>
              <w:t>Techninėje Specifikacijoje nurodytus terminus</w:t>
            </w:r>
            <w:r w:rsidRPr="00A313BF">
              <w:rPr>
                <w:kern w:val="2"/>
                <w:szCs w:val="24"/>
              </w:rPr>
              <w:t xml:space="preserve"> nuo rašytinės pr</w:t>
            </w:r>
            <w:r w:rsidR="00503083" w:rsidRPr="00A313BF">
              <w:rPr>
                <w:kern w:val="2"/>
                <w:szCs w:val="24"/>
              </w:rPr>
              <w:t>etenzijos gavimo dienos</w:t>
            </w:r>
            <w:r w:rsidR="00503083">
              <w:rPr>
                <w:kern w:val="2"/>
                <w:szCs w:val="24"/>
              </w:rPr>
              <w:t>.</w:t>
            </w:r>
          </w:p>
        </w:tc>
      </w:tr>
      <w:tr w:rsidR="006F0803" w14:paraId="37AEF7C6" w14:textId="77777777" w:rsidTr="00965CDD">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966" w:type="dxa"/>
            <w:gridSpan w:val="2"/>
          </w:tcPr>
          <w:p w14:paraId="07A1B23B" w14:textId="7977D16E" w:rsidR="00DD6EAA" w:rsidRDefault="00DD6EAA" w:rsidP="00DD6EAA">
            <w:pPr>
              <w:rPr>
                <w:kern w:val="2"/>
                <w:szCs w:val="24"/>
              </w:rPr>
            </w:pPr>
            <w:r>
              <w:rPr>
                <w:kern w:val="2"/>
                <w:szCs w:val="24"/>
              </w:rPr>
              <w:t>Netaikoma.</w:t>
            </w:r>
          </w:p>
          <w:p w14:paraId="449C3520" w14:textId="4698A04D" w:rsidR="006F0803" w:rsidRDefault="006F0803" w:rsidP="006F0803">
            <w:pPr>
              <w:rPr>
                <w:kern w:val="2"/>
                <w:szCs w:val="24"/>
              </w:rPr>
            </w:pPr>
          </w:p>
        </w:tc>
      </w:tr>
      <w:tr w:rsidR="00027B83" w14:paraId="759FE80C" w14:textId="77777777" w:rsidTr="00965CDD">
        <w:trPr>
          <w:trHeight w:val="300"/>
        </w:trPr>
        <w:tc>
          <w:tcPr>
            <w:tcW w:w="10060"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965CDD">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966" w:type="dxa"/>
            <w:gridSpan w:val="2"/>
          </w:tcPr>
          <w:p w14:paraId="0BB1F46F" w14:textId="20470046" w:rsidR="00027B83" w:rsidRDefault="000B0897">
            <w:pPr>
              <w:rPr>
                <w:kern w:val="2"/>
                <w:szCs w:val="24"/>
              </w:rPr>
            </w:pPr>
            <w:r>
              <w:rPr>
                <w:kern w:val="2"/>
                <w:szCs w:val="24"/>
              </w:rPr>
              <w:t>Sutarties vykdymui subtiekėjai ir (ar) specialistai nepasitelkiami.</w:t>
            </w:r>
          </w:p>
          <w:p w14:paraId="6D59279B" w14:textId="52C4995E" w:rsidR="00027B83" w:rsidRPr="005F7896" w:rsidRDefault="000B0897">
            <w:pPr>
              <w:rPr>
                <w:color w:val="FF0000"/>
                <w:kern w:val="2"/>
                <w:szCs w:val="24"/>
              </w:rPr>
            </w:pPr>
            <w:r>
              <w:rPr>
                <w:color w:val="FF0000"/>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sidRPr="00AC12EE">
              <w:rPr>
                <w:kern w:val="2"/>
                <w:szCs w:val="24"/>
              </w:rPr>
              <w:t>[...]</w:t>
            </w:r>
            <w:r>
              <w:rPr>
                <w:kern w:val="2"/>
                <w:szCs w:val="24"/>
              </w:rPr>
              <w:t xml:space="preserve"> „Sutarties vykdymui pasitelkiami subtiekėjai ir (ar) specialistai“</w:t>
            </w:r>
          </w:p>
        </w:tc>
      </w:tr>
      <w:tr w:rsidR="00027B83" w14:paraId="4677BEA7" w14:textId="77777777" w:rsidTr="00965CDD">
        <w:trPr>
          <w:trHeight w:val="300"/>
        </w:trPr>
        <w:tc>
          <w:tcPr>
            <w:tcW w:w="10060"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DD237D">
        <w:trPr>
          <w:trHeight w:val="726"/>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966" w:type="dxa"/>
            <w:gridSpan w:val="2"/>
          </w:tcPr>
          <w:p w14:paraId="14E59578" w14:textId="73457FA6" w:rsidR="00027B83" w:rsidRDefault="000B0897">
            <w:pPr>
              <w:rPr>
                <w:kern w:val="2"/>
                <w:szCs w:val="24"/>
              </w:rPr>
            </w:pPr>
            <w:r>
              <w:rPr>
                <w:kern w:val="2"/>
                <w:szCs w:val="24"/>
              </w:rPr>
              <w:t>Prievolių pagal Sutartį įvykdymas užtikrinamas</w:t>
            </w:r>
            <w:r w:rsidR="008263D5">
              <w:rPr>
                <w:color w:val="4472C4"/>
                <w:kern w:val="2"/>
                <w:szCs w:val="24"/>
              </w:rPr>
              <w:t>:</w:t>
            </w:r>
          </w:p>
          <w:p w14:paraId="2D80CD6E" w14:textId="0D556283" w:rsidR="00027B83" w:rsidRDefault="000B0897">
            <w:pPr>
              <w:rPr>
                <w:kern w:val="2"/>
                <w:szCs w:val="24"/>
              </w:rPr>
            </w:pPr>
            <w:r>
              <w:rPr>
                <w:kern w:val="2"/>
                <w:szCs w:val="24"/>
              </w:rPr>
              <w:t>Net</w:t>
            </w:r>
            <w:r w:rsidR="00DD237D">
              <w:rPr>
                <w:kern w:val="2"/>
                <w:szCs w:val="24"/>
              </w:rPr>
              <w:t>esybomis (delspinigiais, bauda).</w:t>
            </w:r>
          </w:p>
        </w:tc>
      </w:tr>
      <w:tr w:rsidR="006F0803" w14:paraId="25D80381" w14:textId="77777777" w:rsidTr="00965CDD">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966" w:type="dxa"/>
            <w:gridSpan w:val="2"/>
          </w:tcPr>
          <w:p w14:paraId="39D7C947" w14:textId="77777777" w:rsidR="006F0803" w:rsidRDefault="006F0803" w:rsidP="006F0803">
            <w:pPr>
              <w:rPr>
                <w:kern w:val="2"/>
                <w:szCs w:val="24"/>
              </w:rPr>
            </w:pPr>
            <w:r>
              <w:rPr>
                <w:kern w:val="2"/>
                <w:szCs w:val="24"/>
              </w:rPr>
              <w:t>Netaikoma</w:t>
            </w:r>
          </w:p>
          <w:p w14:paraId="6A3C4961" w14:textId="2AC94B63" w:rsidR="006F0803" w:rsidRDefault="006F0803" w:rsidP="006F0803">
            <w:pPr>
              <w:rPr>
                <w:kern w:val="2"/>
                <w:szCs w:val="24"/>
              </w:rPr>
            </w:pPr>
          </w:p>
        </w:tc>
      </w:tr>
      <w:tr w:rsidR="00027B83" w14:paraId="2A4E7446" w14:textId="77777777" w:rsidTr="00965CDD">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966" w:type="dxa"/>
            <w:gridSpan w:val="2"/>
          </w:tcPr>
          <w:p w14:paraId="2647EC90" w14:textId="77777777" w:rsidR="00027B83" w:rsidRDefault="000B0897">
            <w:pPr>
              <w:rPr>
                <w:kern w:val="2"/>
                <w:szCs w:val="24"/>
              </w:rPr>
            </w:pPr>
            <w:r>
              <w:rPr>
                <w:kern w:val="2"/>
                <w:szCs w:val="24"/>
              </w:rPr>
              <w:t>Netaikoma</w:t>
            </w:r>
          </w:p>
          <w:p w14:paraId="47D3FAEF" w14:textId="54B923FB" w:rsidR="00027B83" w:rsidRDefault="00027B83">
            <w:pPr>
              <w:rPr>
                <w:szCs w:val="24"/>
              </w:rPr>
            </w:pPr>
          </w:p>
        </w:tc>
      </w:tr>
      <w:tr w:rsidR="00027B83" w14:paraId="15859C99" w14:textId="77777777" w:rsidTr="00965CDD">
        <w:trPr>
          <w:trHeight w:val="300"/>
        </w:trPr>
        <w:tc>
          <w:tcPr>
            <w:tcW w:w="10060"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965CDD">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966" w:type="dxa"/>
            <w:gridSpan w:val="2"/>
          </w:tcPr>
          <w:p w14:paraId="070C11FC" w14:textId="24C856EE" w:rsidR="00402199" w:rsidRPr="00717B77" w:rsidRDefault="00402199" w:rsidP="00717B77">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07D92">
              <w:rPr>
                <w:bCs/>
                <w:kern w:val="2"/>
                <w:szCs w:val="24"/>
              </w:rPr>
              <w:t>0,02 (dvi šimtosios) procento dydžio delspinigius nuo neapmokėtos sumos be PVM už kiekvieną vėlavimo dieną.</w:t>
            </w:r>
          </w:p>
        </w:tc>
      </w:tr>
      <w:tr w:rsidR="00402199" w14:paraId="2C60DAC2" w14:textId="77777777" w:rsidTr="00965CDD">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966" w:type="dxa"/>
            <w:gridSpan w:val="2"/>
          </w:tcPr>
          <w:p w14:paraId="2A5DA7FD" w14:textId="150B59A9"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207D92">
              <w:rPr>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66025186" w14:textId="06DE6139"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07D92">
              <w:rPr>
                <w:szCs w:val="24"/>
                <w:lang w:val="lt"/>
              </w:rPr>
              <w:t xml:space="preserve">0,02 (dvi šimtosios) dydžio delspinigius už kiekvieną uždelstą dieną </w:t>
            </w:r>
            <w:r>
              <w:rPr>
                <w:color w:val="000000"/>
                <w:szCs w:val="24"/>
                <w:lang w:val="lt"/>
              </w:rPr>
              <w:t>nuo laiku negrąžintos permokos kainos be PVM.</w:t>
            </w:r>
          </w:p>
          <w:p w14:paraId="0E6DFBC8" w14:textId="143F36DB" w:rsidR="00402199" w:rsidRDefault="00402199" w:rsidP="00B23CCA">
            <w:pPr>
              <w:rPr>
                <w:b/>
                <w:kern w:val="2"/>
                <w:szCs w:val="24"/>
              </w:rPr>
            </w:pPr>
            <w:r>
              <w:rPr>
                <w:color w:val="000000"/>
                <w:kern w:val="2"/>
              </w:rPr>
              <w:t xml:space="preserve">9.2.3. Tiekėjas privalo sumokėti Pirkėjui netesybas </w:t>
            </w:r>
            <w:r w:rsidRPr="00207D92">
              <w:rPr>
                <w:kern w:val="2"/>
              </w:rPr>
              <w:t xml:space="preserve">per </w:t>
            </w:r>
            <w:r w:rsidR="00B23CCA">
              <w:rPr>
                <w:kern w:val="2"/>
              </w:rPr>
              <w:t>14</w:t>
            </w:r>
            <w:r w:rsidR="004E0C9B" w:rsidRPr="00207D92">
              <w:rPr>
                <w:kern w:val="2"/>
              </w:rPr>
              <w:t xml:space="preserve"> kalendorinių</w:t>
            </w:r>
            <w:r w:rsidRPr="00207D92">
              <w:rPr>
                <w:bCs/>
                <w:kern w:val="2"/>
                <w:szCs w:val="24"/>
              </w:rPr>
              <w:t xml:space="preserve"> </w:t>
            </w:r>
            <w:r w:rsidRPr="00207D92">
              <w:rPr>
                <w:kern w:val="2"/>
              </w:rPr>
              <w:t>die</w:t>
            </w:r>
            <w:r>
              <w:rPr>
                <w:color w:val="000000"/>
                <w:kern w:val="2"/>
              </w:rPr>
              <w:t xml:space="preserve">nų nuo Pirkėjo pareikalavimo, jeigu netesybų suma nėra </w:t>
            </w:r>
            <w:r>
              <w:t>išskaitoma iš Tiekėjui mokėtinos sumos.</w:t>
            </w:r>
          </w:p>
        </w:tc>
      </w:tr>
      <w:tr w:rsidR="00402199" w14:paraId="681F27EE" w14:textId="77777777" w:rsidTr="00965CDD">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5AEFFCDC" w14:textId="4E860D70" w:rsidR="00402199" w:rsidRPr="00F330C4" w:rsidRDefault="00402199" w:rsidP="00402199">
            <w:pPr>
              <w:rPr>
                <w:bCs/>
                <w:kern w:val="2"/>
                <w:szCs w:val="24"/>
              </w:rPr>
            </w:pPr>
            <w:r>
              <w:rPr>
                <w:bCs/>
                <w:kern w:val="2"/>
                <w:szCs w:val="24"/>
              </w:rPr>
              <w:t>9.3.1. Nutraukus Sutartį dėl esminio Sutarties pažeidimo</w:t>
            </w:r>
            <w:r w:rsidRPr="00F330C4">
              <w:rPr>
                <w:bCs/>
                <w:kern w:val="2"/>
                <w:szCs w:val="24"/>
              </w:rPr>
              <w:t xml:space="preserve">, mokama </w:t>
            </w:r>
            <w:r w:rsidR="00207D92" w:rsidRPr="00F330C4">
              <w:rPr>
                <w:bCs/>
                <w:kern w:val="2"/>
                <w:szCs w:val="24"/>
              </w:rPr>
              <w:t xml:space="preserve"> 10 </w:t>
            </w:r>
            <w:r w:rsidR="00933243" w:rsidRPr="00F330C4">
              <w:rPr>
                <w:bCs/>
                <w:kern w:val="2"/>
                <w:szCs w:val="24"/>
              </w:rPr>
              <w:t>proc.</w:t>
            </w:r>
            <w:r w:rsidRPr="00F330C4">
              <w:rPr>
                <w:bCs/>
                <w:kern w:val="2"/>
                <w:szCs w:val="24"/>
              </w:rPr>
              <w:t xml:space="preserve"> dydžio bauda.</w:t>
            </w:r>
          </w:p>
          <w:p w14:paraId="43C4591E" w14:textId="77777777" w:rsidR="00402199" w:rsidRDefault="00402199" w:rsidP="00402199">
            <w:pPr>
              <w:rPr>
                <w:bCs/>
                <w:szCs w:val="24"/>
              </w:rPr>
            </w:pPr>
          </w:p>
          <w:p w14:paraId="7CBFE0C7" w14:textId="7A7D3731" w:rsidR="00402199" w:rsidRPr="00503083" w:rsidRDefault="00402199" w:rsidP="00402199">
            <w:pPr>
              <w:rPr>
                <w:bCs/>
                <w:szCs w:val="24"/>
              </w:rPr>
            </w:pPr>
            <w:r>
              <w:rPr>
                <w:bCs/>
                <w:szCs w:val="24"/>
              </w:rPr>
              <w:t xml:space="preserve">9.3.2. Nepagrįstai nutraukus Sutarties vykdymą ne Sutartyje nustatyta tvarka, mokama </w:t>
            </w:r>
            <w:r w:rsidR="00207D92" w:rsidRPr="00207D92">
              <w:rPr>
                <w:bCs/>
                <w:kern w:val="2"/>
                <w:szCs w:val="24"/>
              </w:rPr>
              <w:t xml:space="preserve">10 </w:t>
            </w:r>
            <w:r>
              <w:rPr>
                <w:bCs/>
                <w:kern w:val="2"/>
                <w:szCs w:val="24"/>
              </w:rPr>
              <w:t>procentų dydžio bauda nuo Pradinės Sutarties vertės, nurodytos Specialiųjų sąlygų 5.2 punkte.</w:t>
            </w:r>
          </w:p>
        </w:tc>
      </w:tr>
      <w:tr w:rsidR="00402199" w14:paraId="3A1BC4FA" w14:textId="77777777" w:rsidTr="00965CDD">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966" w:type="dxa"/>
            <w:gridSpan w:val="2"/>
          </w:tcPr>
          <w:p w14:paraId="663FD6AE" w14:textId="375607D7" w:rsidR="00402199" w:rsidRDefault="00EB7F8B" w:rsidP="00402199">
            <w:pPr>
              <w:rPr>
                <w:kern w:val="2"/>
                <w:szCs w:val="24"/>
              </w:rPr>
            </w:pPr>
            <w:r w:rsidRPr="002E3A21">
              <w:rPr>
                <w:rFonts w:eastAsia="Tahoma"/>
                <w:szCs w:val="24"/>
              </w:rPr>
              <w:lastRenderedPageBreak/>
              <w:t xml:space="preserve">Tiekėjui, pakeitus esamus subtiekėjus ar specialistus / pasitelkus naujus subtiekėjus, nesilaikant Bendrosiose sąlygose nurodytos </w:t>
            </w:r>
            <w:r w:rsidRPr="002E3A21">
              <w:rPr>
                <w:rFonts w:eastAsia="Tahoma"/>
                <w:szCs w:val="24"/>
              </w:rPr>
              <w:lastRenderedPageBreak/>
              <w:t>subtiekėjų ir (ar) special</w:t>
            </w:r>
            <w:r w:rsidR="00933243">
              <w:rPr>
                <w:rFonts w:eastAsia="Tahoma"/>
                <w:szCs w:val="24"/>
              </w:rPr>
              <w:t>istų keitimo tvarkos, mokama 5</w:t>
            </w:r>
            <w:r w:rsidRPr="002E3A21">
              <w:rPr>
                <w:rFonts w:eastAsia="Tahoma"/>
                <w:szCs w:val="24"/>
              </w:rPr>
              <w:t>00,00 Eur bauda.</w:t>
            </w:r>
          </w:p>
        </w:tc>
      </w:tr>
      <w:tr w:rsidR="00402199" w14:paraId="02A0AD2F" w14:textId="77777777" w:rsidTr="00965CDD">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966"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5147BF04" w:rsidR="00402199" w:rsidRDefault="00402199" w:rsidP="00402199">
            <w:pPr>
              <w:rPr>
                <w:color w:val="4472C4"/>
                <w:kern w:val="2"/>
                <w:szCs w:val="24"/>
              </w:rPr>
            </w:pPr>
          </w:p>
        </w:tc>
      </w:tr>
      <w:tr w:rsidR="00402199" w14:paraId="7439E02A" w14:textId="77777777" w:rsidTr="00965CDD">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966" w:type="dxa"/>
            <w:gridSpan w:val="2"/>
          </w:tcPr>
          <w:p w14:paraId="30A99159" w14:textId="7D92862D" w:rsidR="00402199" w:rsidRDefault="00E105B3" w:rsidP="00402199">
            <w:pPr>
              <w:rPr>
                <w:color w:val="4472C4"/>
                <w:kern w:val="2"/>
                <w:szCs w:val="24"/>
              </w:rPr>
            </w:pPr>
            <w:r w:rsidRPr="002E3A21">
              <w:rPr>
                <w:kern w:val="2"/>
                <w:szCs w:val="24"/>
              </w:rPr>
              <w:t>Tiekėjui / Pirkėjui nesilaikant Bendrosiose sąlygose nurodytų konfid</w:t>
            </w:r>
            <w:r w:rsidR="00933243">
              <w:rPr>
                <w:kern w:val="2"/>
                <w:szCs w:val="24"/>
              </w:rPr>
              <w:t>encialumo reikalavimų, mokama 5</w:t>
            </w:r>
            <w:r w:rsidRPr="002E3A21">
              <w:rPr>
                <w:kern w:val="2"/>
                <w:szCs w:val="24"/>
              </w:rPr>
              <w:t xml:space="preserve"> 000,00 Eur bauda.</w:t>
            </w:r>
          </w:p>
        </w:tc>
      </w:tr>
      <w:tr w:rsidR="00402199" w14:paraId="1E6BA83A" w14:textId="77777777" w:rsidTr="00965CDD">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966" w:type="dxa"/>
            <w:gridSpan w:val="2"/>
          </w:tcPr>
          <w:p w14:paraId="12273A2F" w14:textId="49C2F624" w:rsidR="007E4F39" w:rsidRDefault="00402199" w:rsidP="007E4F39">
            <w:pPr>
              <w:rPr>
                <w:color w:val="4472C4"/>
                <w:kern w:val="2"/>
                <w:szCs w:val="24"/>
              </w:rPr>
            </w:pPr>
            <w:r>
              <w:rPr>
                <w:bCs/>
                <w:szCs w:val="24"/>
              </w:rPr>
              <w:t xml:space="preserve">Netaikoma </w:t>
            </w:r>
          </w:p>
          <w:p w14:paraId="31D0481F" w14:textId="59F7390B" w:rsidR="00402199" w:rsidRDefault="00402199" w:rsidP="00402199">
            <w:pPr>
              <w:rPr>
                <w:color w:val="4472C4"/>
                <w:kern w:val="2"/>
                <w:szCs w:val="24"/>
              </w:rPr>
            </w:pPr>
          </w:p>
        </w:tc>
      </w:tr>
      <w:tr w:rsidR="00402199" w14:paraId="2E410A63" w14:textId="77777777" w:rsidTr="00965CDD">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4EB97254" w:rsidR="00402199" w:rsidRDefault="00402199" w:rsidP="00402199">
            <w:pPr>
              <w:rPr>
                <w:color w:val="4472C4"/>
                <w:kern w:val="2"/>
                <w:szCs w:val="24"/>
              </w:rPr>
            </w:pPr>
          </w:p>
        </w:tc>
      </w:tr>
      <w:tr w:rsidR="00402199" w14:paraId="126A6D36" w14:textId="77777777" w:rsidTr="00965CDD">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66"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7E1679">
            <w:pPr>
              <w:rPr>
                <w:color w:val="4472C4"/>
                <w:kern w:val="2"/>
                <w:szCs w:val="24"/>
              </w:rPr>
            </w:pPr>
          </w:p>
        </w:tc>
      </w:tr>
      <w:tr w:rsidR="00402199" w14:paraId="77AEF0AE" w14:textId="77777777" w:rsidTr="00965CDD">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966" w:type="dxa"/>
            <w:gridSpan w:val="2"/>
          </w:tcPr>
          <w:p w14:paraId="61DD08FE" w14:textId="5D62BEA8" w:rsidR="00402199" w:rsidRDefault="007E1679" w:rsidP="00402199">
            <w:pPr>
              <w:rPr>
                <w:color w:val="4472C4"/>
                <w:kern w:val="2"/>
                <w:szCs w:val="24"/>
              </w:rPr>
            </w:pPr>
            <w:r w:rsidRPr="002E3A21">
              <w:rPr>
                <w:kern w:val="2"/>
                <w:szCs w:val="24"/>
              </w:rPr>
              <w:t>Netaikoma</w:t>
            </w:r>
          </w:p>
        </w:tc>
      </w:tr>
      <w:tr w:rsidR="00027B83" w14:paraId="7412B22E" w14:textId="77777777" w:rsidTr="00965CDD">
        <w:trPr>
          <w:trHeight w:val="300"/>
        </w:trPr>
        <w:tc>
          <w:tcPr>
            <w:tcW w:w="10060"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965CDD">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46FA966F" w14:textId="3D5C0306" w:rsidR="00402199" w:rsidRDefault="00402199" w:rsidP="00402199">
            <w:pPr>
              <w:rPr>
                <w:kern w:val="2"/>
                <w:szCs w:val="24"/>
              </w:rPr>
            </w:pPr>
            <w:r>
              <w:rPr>
                <w:kern w:val="2"/>
                <w:szCs w:val="24"/>
              </w:rPr>
              <w:t>N</w:t>
            </w:r>
            <w:r w:rsidR="009C7454">
              <w:rPr>
                <w:kern w:val="2"/>
                <w:szCs w:val="24"/>
              </w:rPr>
              <w:t>urodytos Sutarties p</w:t>
            </w:r>
            <w:r w:rsidR="00DD53C6">
              <w:rPr>
                <w:kern w:val="2"/>
                <w:szCs w:val="24"/>
              </w:rPr>
              <w:t>unktuose</w:t>
            </w:r>
            <w:r w:rsidR="009C7454">
              <w:rPr>
                <w:kern w:val="2"/>
                <w:szCs w:val="24"/>
              </w:rPr>
              <w:t xml:space="preserve"> 3.1. ir p. 4.1.</w:t>
            </w:r>
          </w:p>
          <w:p w14:paraId="1AD3CD3A" w14:textId="3E360C1F" w:rsidR="006635EA" w:rsidRDefault="006635EA" w:rsidP="005374E3">
            <w:pPr>
              <w:rPr>
                <w:color w:val="4472C4"/>
                <w:kern w:val="2"/>
                <w:szCs w:val="24"/>
              </w:rPr>
            </w:pPr>
          </w:p>
        </w:tc>
      </w:tr>
      <w:tr w:rsidR="00402199" w14:paraId="68A8F8F5" w14:textId="77777777" w:rsidTr="00965CDD">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966" w:type="dxa"/>
            <w:gridSpan w:val="2"/>
          </w:tcPr>
          <w:p w14:paraId="3371DE10" w14:textId="43692A3E" w:rsidR="005374E3" w:rsidRDefault="005374E3" w:rsidP="005374E3">
            <w:pPr>
              <w:spacing w:line="276" w:lineRule="auto"/>
              <w:jc w:val="both"/>
              <w:textAlignment w:val="baseline"/>
              <w:rPr>
                <w:kern w:val="2"/>
                <w:szCs w:val="24"/>
              </w:rPr>
            </w:pPr>
          </w:p>
          <w:p w14:paraId="2BC2BBBD" w14:textId="51C22747" w:rsidR="00402199" w:rsidRDefault="00402199" w:rsidP="006635EA">
            <w:pPr>
              <w:rPr>
                <w:kern w:val="2"/>
                <w:szCs w:val="24"/>
              </w:rPr>
            </w:pPr>
          </w:p>
        </w:tc>
      </w:tr>
      <w:tr w:rsidR="00027B83" w14:paraId="5D5614C8" w14:textId="77777777" w:rsidTr="00965CDD">
        <w:trPr>
          <w:trHeight w:val="300"/>
        </w:trPr>
        <w:tc>
          <w:tcPr>
            <w:tcW w:w="10060"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965CDD">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966"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4F0D2588" w:rsidR="00027B83" w:rsidRDefault="000B0897">
            <w:pPr>
              <w:rPr>
                <w:color w:val="4472C4"/>
                <w:kern w:val="2"/>
                <w:szCs w:val="24"/>
              </w:rPr>
            </w:pPr>
            <w:r>
              <w:rPr>
                <w:color w:val="000000"/>
                <w:kern w:val="2"/>
                <w:szCs w:val="24"/>
              </w:rPr>
              <w:t>Sutartis galioja iki visiško prievolių įvykdymo</w:t>
            </w:r>
            <w:r w:rsidR="00A80B67">
              <w:rPr>
                <w:color w:val="000000"/>
                <w:kern w:val="2"/>
                <w:szCs w:val="24"/>
              </w:rPr>
              <w:t>,</w:t>
            </w:r>
            <w:r>
              <w:rPr>
                <w:color w:val="000000"/>
                <w:kern w:val="2"/>
                <w:szCs w:val="24"/>
              </w:rPr>
              <w:t xml:space="preserve"> bet jos terminas negali būti </w:t>
            </w:r>
            <w:r w:rsidRPr="00ED7115">
              <w:rPr>
                <w:kern w:val="2"/>
                <w:szCs w:val="24"/>
              </w:rPr>
              <w:t xml:space="preserve">ilgesnis kaip </w:t>
            </w:r>
            <w:r w:rsidR="00A80B67" w:rsidRPr="00ED7115">
              <w:rPr>
                <w:kern w:val="2"/>
                <w:szCs w:val="24"/>
              </w:rPr>
              <w:t>iki 2026 m. gegužės 31 d.</w:t>
            </w:r>
          </w:p>
        </w:tc>
      </w:tr>
      <w:tr w:rsidR="00402199" w14:paraId="0D3292E1" w14:textId="77777777" w:rsidTr="00965CDD">
        <w:trPr>
          <w:trHeight w:val="300"/>
        </w:trPr>
        <w:tc>
          <w:tcPr>
            <w:tcW w:w="3094" w:type="dxa"/>
            <w:gridSpan w:val="2"/>
          </w:tcPr>
          <w:p w14:paraId="09BC2075" w14:textId="316E2550" w:rsidR="00402199" w:rsidRPr="00212EA8" w:rsidRDefault="00402199" w:rsidP="00402199">
            <w:pPr>
              <w:rPr>
                <w:b/>
                <w:kern w:val="2"/>
                <w:szCs w:val="24"/>
              </w:rPr>
            </w:pPr>
            <w:r w:rsidRPr="00212EA8">
              <w:rPr>
                <w:b/>
                <w:kern w:val="2"/>
                <w:szCs w:val="24"/>
              </w:rPr>
              <w:t>11.2. Sutarties galiojimo termino pratęsimas</w:t>
            </w:r>
          </w:p>
        </w:tc>
        <w:tc>
          <w:tcPr>
            <w:tcW w:w="6966" w:type="dxa"/>
            <w:gridSpan w:val="2"/>
          </w:tcPr>
          <w:p w14:paraId="7197E005" w14:textId="77777777" w:rsidR="00402199" w:rsidRPr="00212EA8" w:rsidRDefault="00402199" w:rsidP="00402199">
            <w:pPr>
              <w:rPr>
                <w:kern w:val="2"/>
                <w:szCs w:val="24"/>
              </w:rPr>
            </w:pPr>
            <w:r w:rsidRPr="00212EA8">
              <w:rPr>
                <w:kern w:val="2"/>
                <w:szCs w:val="24"/>
              </w:rPr>
              <w:t>Netaikoma</w:t>
            </w:r>
          </w:p>
          <w:p w14:paraId="782060E8" w14:textId="7B22A0EA" w:rsidR="00402199" w:rsidRPr="00212EA8" w:rsidRDefault="00402199" w:rsidP="00402199">
            <w:pPr>
              <w:rPr>
                <w:kern w:val="2"/>
                <w:szCs w:val="24"/>
              </w:rPr>
            </w:pPr>
          </w:p>
        </w:tc>
      </w:tr>
      <w:tr w:rsidR="008C5267" w14:paraId="1558D8FF" w14:textId="77777777" w:rsidTr="00965CDD">
        <w:trPr>
          <w:trHeight w:val="300"/>
        </w:trPr>
        <w:tc>
          <w:tcPr>
            <w:tcW w:w="3094" w:type="dxa"/>
            <w:gridSpan w:val="2"/>
          </w:tcPr>
          <w:p w14:paraId="33CDB5D0" w14:textId="711F61F6" w:rsidR="008C5267" w:rsidRDefault="00212EA8" w:rsidP="00402199">
            <w:pPr>
              <w:rPr>
                <w:b/>
                <w:kern w:val="2"/>
                <w:szCs w:val="24"/>
              </w:rPr>
            </w:pPr>
            <w:r>
              <w:rPr>
                <w:b/>
                <w:kern w:val="2"/>
                <w:szCs w:val="24"/>
              </w:rPr>
              <w:lastRenderedPageBreak/>
              <w:t>11.3. Sutarties stabdymas</w:t>
            </w:r>
          </w:p>
        </w:tc>
        <w:tc>
          <w:tcPr>
            <w:tcW w:w="6966" w:type="dxa"/>
            <w:gridSpan w:val="2"/>
          </w:tcPr>
          <w:p w14:paraId="4E09180C" w14:textId="18D6D449" w:rsidR="008C5267" w:rsidRPr="008B660B" w:rsidRDefault="008C5267" w:rsidP="00BD64EB">
            <w:pPr>
              <w:pStyle w:val="ListParagraph"/>
              <w:ind w:left="0"/>
              <w:rPr>
                <w:szCs w:val="24"/>
              </w:rPr>
            </w:pPr>
            <w:r w:rsidRPr="008B660B">
              <w:rPr>
                <w:szCs w:val="24"/>
              </w:rPr>
              <w:t>Sustabdytų sutartinių įsipareigojimų (ar jų dalies) vykdymas stabdomas ir atnaujinamas šios Sutarties Bendrosiose sąlygose nustatyta tvarka.</w:t>
            </w:r>
          </w:p>
          <w:p w14:paraId="75C4AE1F" w14:textId="4DEC7606" w:rsidR="008C5267" w:rsidRDefault="008C5267" w:rsidP="008C5267">
            <w:pPr>
              <w:rPr>
                <w:kern w:val="2"/>
                <w:szCs w:val="24"/>
              </w:rPr>
            </w:pPr>
            <w:r w:rsidRPr="008B660B">
              <w:rPr>
                <w:szCs w:val="24"/>
              </w:rPr>
              <w:t>Pirkėjas taip pat turi teisę sustabdyti sutartinių įsipareigojimų (ar jų dalies) vykdymą, jeigu jam pagrįstai kyla įtarimų dėl tiekiamų Paslaugų kokybės ir reikia laiko patikrinti bei įsitikinti tiekiamų Paslaugų kokybe. Tokiu atveju sutartinių įsipareigojimų (ar</w:t>
            </w:r>
            <w:r w:rsidRPr="0028179D">
              <w:rPr>
                <w:szCs w:val="24"/>
              </w:rPr>
              <w:t xml:space="preserve"> jų dalies) vykdymo stabdymas gali</w:t>
            </w:r>
            <w:r>
              <w:rPr>
                <w:szCs w:val="24"/>
              </w:rPr>
              <w:t>mas iki 5 (penkių) darbo dienų.</w:t>
            </w:r>
          </w:p>
        </w:tc>
      </w:tr>
      <w:tr w:rsidR="00027B83" w14:paraId="7FE809EC" w14:textId="77777777" w:rsidTr="00965CDD">
        <w:trPr>
          <w:trHeight w:val="300"/>
        </w:trPr>
        <w:tc>
          <w:tcPr>
            <w:tcW w:w="10060"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DD53C6">
        <w:trPr>
          <w:trHeight w:val="705"/>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51C8169" w14:textId="047AF5FF" w:rsidR="00027B83" w:rsidRPr="009A1863"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965CDD">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59D7E224" w14:textId="0E3DB6C9" w:rsidR="00402199" w:rsidRPr="008C5267" w:rsidRDefault="008C5267" w:rsidP="00402199">
            <w:pPr>
              <w:spacing w:line="257" w:lineRule="auto"/>
              <w:jc w:val="both"/>
              <w:rPr>
                <w:rFonts w:eastAsia="Arial"/>
                <w:kern w:val="2"/>
                <w:szCs w:val="24"/>
                <w:lang w:val="lt"/>
              </w:rPr>
            </w:pPr>
            <w:r w:rsidRPr="008C5267">
              <w:rPr>
                <w:rFonts w:eastAsia="Arial"/>
                <w:kern w:val="2"/>
                <w:szCs w:val="24"/>
                <w:lang w:val="lt"/>
              </w:rPr>
              <w:t>12.2.1</w:t>
            </w:r>
            <w:r w:rsidR="00402199" w:rsidRPr="008C5267">
              <w:rPr>
                <w:rFonts w:eastAsia="Arial"/>
                <w:kern w:val="2"/>
                <w:szCs w:val="24"/>
                <w:lang w:val="lt"/>
              </w:rPr>
              <w:t>. jeigu Tiekėjas nesilaiko Sutartyje</w:t>
            </w:r>
            <w:r w:rsidR="008935B7">
              <w:rPr>
                <w:rFonts w:eastAsia="Arial"/>
                <w:kern w:val="2"/>
                <w:szCs w:val="24"/>
                <w:lang w:val="lt"/>
              </w:rPr>
              <w:t xml:space="preserve"> ir (ar) jos prieduose</w:t>
            </w:r>
            <w:r w:rsidR="00402199" w:rsidRPr="008C5267">
              <w:rPr>
                <w:rFonts w:eastAsia="Arial"/>
                <w:kern w:val="2"/>
                <w:szCs w:val="24"/>
                <w:lang w:val="lt"/>
              </w:rPr>
              <w:t xml:space="preserve"> nustatytų Paslaugų teikimo terminų 2 (du) kartus iš eilės arba vėluoja suteikti Paslaugas</w:t>
            </w:r>
            <w:r w:rsidR="00BD64EB">
              <w:rPr>
                <w:rFonts w:eastAsia="Arial"/>
                <w:kern w:val="2"/>
                <w:szCs w:val="24"/>
                <w:lang w:val="lt"/>
              </w:rPr>
              <w:t xml:space="preserve"> arba jų etapą</w:t>
            </w:r>
            <w:r w:rsidR="00402199" w:rsidRPr="008C5267">
              <w:rPr>
                <w:rFonts w:eastAsia="Arial"/>
                <w:kern w:val="2"/>
                <w:szCs w:val="24"/>
                <w:lang w:val="lt"/>
              </w:rPr>
              <w:t xml:space="preserve"> daugiau nei </w:t>
            </w:r>
            <w:r w:rsidR="00BE0004">
              <w:rPr>
                <w:rFonts w:eastAsia="Arial"/>
                <w:kern w:val="2"/>
                <w:szCs w:val="24"/>
                <w:lang w:val="lt"/>
              </w:rPr>
              <w:t>8</w:t>
            </w:r>
            <w:r w:rsidR="008935B7">
              <w:rPr>
                <w:rFonts w:eastAsia="Arial"/>
                <w:kern w:val="2"/>
                <w:szCs w:val="24"/>
                <w:lang w:val="lt"/>
              </w:rPr>
              <w:t xml:space="preserve"> k. d. </w:t>
            </w:r>
            <w:r w:rsidR="00402199" w:rsidRPr="008C5267">
              <w:rPr>
                <w:rFonts w:eastAsia="Arial"/>
                <w:kern w:val="2"/>
                <w:szCs w:val="24"/>
                <w:lang w:val="lt"/>
              </w:rPr>
              <w:t>nuo nustatyto Paslaugų suteikimo termino;</w:t>
            </w:r>
          </w:p>
          <w:p w14:paraId="3466F29E" w14:textId="3096B497" w:rsidR="00402199" w:rsidRPr="008C5267" w:rsidRDefault="008C5267" w:rsidP="00402199">
            <w:pPr>
              <w:tabs>
                <w:tab w:val="left" w:pos="567"/>
                <w:tab w:val="left" w:pos="851"/>
                <w:tab w:val="left" w:pos="992"/>
                <w:tab w:val="left" w:pos="1134"/>
              </w:tabs>
              <w:spacing w:line="257" w:lineRule="auto"/>
              <w:jc w:val="both"/>
              <w:rPr>
                <w:rFonts w:eastAsia="Arial"/>
                <w:kern w:val="2"/>
                <w:szCs w:val="24"/>
                <w:lang w:val="lt"/>
              </w:rPr>
            </w:pPr>
            <w:r w:rsidRPr="008C5267">
              <w:rPr>
                <w:rFonts w:eastAsia="Arial"/>
                <w:kern w:val="2"/>
                <w:szCs w:val="24"/>
                <w:lang w:val="lt"/>
              </w:rPr>
              <w:t>12.2.2</w:t>
            </w:r>
            <w:r w:rsidR="00402199" w:rsidRPr="008C5267">
              <w:rPr>
                <w:rFonts w:eastAsia="Arial"/>
                <w:kern w:val="2"/>
                <w:szCs w:val="24"/>
                <w:lang w:val="lt"/>
              </w:rPr>
              <w:t>. Tiekėjas pažeidžia Paslaugų suteikimo terminus ir dėl Paslaugų suteikimo vėlavimo Paslaugos tampa nebereikalingos;</w:t>
            </w:r>
          </w:p>
          <w:p w14:paraId="6C765B22" w14:textId="746B4657" w:rsidR="00402199" w:rsidRPr="008C5267" w:rsidRDefault="008C5267" w:rsidP="00402199">
            <w:pPr>
              <w:tabs>
                <w:tab w:val="left" w:pos="567"/>
                <w:tab w:val="left" w:pos="851"/>
                <w:tab w:val="left" w:pos="992"/>
                <w:tab w:val="left" w:pos="1134"/>
              </w:tabs>
              <w:spacing w:line="257" w:lineRule="auto"/>
              <w:jc w:val="both"/>
              <w:rPr>
                <w:rFonts w:eastAsia="Arial"/>
                <w:kern w:val="2"/>
                <w:szCs w:val="24"/>
                <w:lang w:val="lt"/>
              </w:rPr>
            </w:pPr>
            <w:r w:rsidRPr="008C5267">
              <w:rPr>
                <w:rFonts w:eastAsia="Arial"/>
                <w:kern w:val="2"/>
                <w:szCs w:val="24"/>
                <w:lang w:val="lt"/>
              </w:rPr>
              <w:t>12.2.3</w:t>
            </w:r>
            <w:r w:rsidR="00402199" w:rsidRPr="008C5267">
              <w:rPr>
                <w:rFonts w:eastAsia="Arial"/>
                <w:kern w:val="2"/>
                <w:szCs w:val="24"/>
                <w:lang w:val="lt"/>
              </w:rPr>
              <w:t>. Tiekėjas daugiau kaip 2 (du) kartus suteikia Paslaugas, kurios neatitinka Sutartyje ir (ar) įstatymuose nustatytų reikalavimų Paslaugoms;</w:t>
            </w:r>
          </w:p>
          <w:p w14:paraId="0B019B64" w14:textId="3FF98E0B" w:rsidR="00402199" w:rsidRPr="009A1863" w:rsidRDefault="008C5267" w:rsidP="009A1863">
            <w:pPr>
              <w:tabs>
                <w:tab w:val="left" w:pos="567"/>
                <w:tab w:val="left" w:pos="851"/>
                <w:tab w:val="left" w:pos="992"/>
                <w:tab w:val="left" w:pos="1134"/>
              </w:tabs>
              <w:spacing w:line="257" w:lineRule="auto"/>
              <w:jc w:val="both"/>
              <w:rPr>
                <w:rFonts w:eastAsia="Arial"/>
                <w:kern w:val="2"/>
                <w:szCs w:val="24"/>
                <w:lang w:val="lt"/>
              </w:rPr>
            </w:pPr>
            <w:r w:rsidRPr="008C5267">
              <w:rPr>
                <w:rFonts w:eastAsia="Arial"/>
                <w:kern w:val="2"/>
                <w:szCs w:val="24"/>
                <w:lang w:val="lt"/>
              </w:rPr>
              <w:t>12.2.4</w:t>
            </w:r>
            <w:r w:rsidR="00402199" w:rsidRPr="008C526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w:t>
            </w:r>
            <w:r w:rsidR="009A1863">
              <w:rPr>
                <w:rFonts w:eastAsia="Arial"/>
                <w:kern w:val="2"/>
                <w:szCs w:val="24"/>
                <w:lang w:val="lt"/>
              </w:rPr>
              <w:t>s tapimo neatitinkančia dienos;</w:t>
            </w:r>
          </w:p>
        </w:tc>
      </w:tr>
      <w:tr w:rsidR="00027B83" w14:paraId="46270E91" w14:textId="77777777" w:rsidTr="00965CDD">
        <w:trPr>
          <w:trHeight w:val="300"/>
        </w:trPr>
        <w:tc>
          <w:tcPr>
            <w:tcW w:w="10060" w:type="dxa"/>
            <w:gridSpan w:val="4"/>
          </w:tcPr>
          <w:p w14:paraId="07E06248" w14:textId="15486A9F" w:rsidR="00027B83" w:rsidRDefault="000B0897" w:rsidP="007E4F39">
            <w:pPr>
              <w:jc w:val="center"/>
              <w:rPr>
                <w:kern w:val="2"/>
                <w:szCs w:val="24"/>
              </w:rPr>
            </w:pPr>
            <w:r>
              <w:rPr>
                <w:b/>
                <w:kern w:val="2"/>
                <w:szCs w:val="24"/>
              </w:rPr>
              <w:t xml:space="preserve">13. APLINKOS APSAUGOS IR SOCIALINIAI KRITERIJAI </w:t>
            </w:r>
          </w:p>
        </w:tc>
      </w:tr>
      <w:tr w:rsidR="00027B83" w14:paraId="18AE2F61" w14:textId="77777777" w:rsidTr="00965CDD">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7002" w:type="dxa"/>
            <w:gridSpan w:val="3"/>
          </w:tcPr>
          <w:p w14:paraId="1C9A6303" w14:textId="0EDFE85B" w:rsidR="00A32370" w:rsidRPr="00A32370" w:rsidRDefault="00A32370" w:rsidP="00A32370">
            <w:pPr>
              <w:autoSpaceDE w:val="0"/>
              <w:autoSpaceDN w:val="0"/>
              <w:adjustRightInd w:val="0"/>
              <w:rPr>
                <w:rFonts w:ascii="TimesNewRomanPSMT" w:hAnsi="TimesNewRomanPSMT" w:cs="TimesNewRomanPSMT"/>
                <w:szCs w:val="24"/>
              </w:rPr>
            </w:pPr>
            <w:r w:rsidRPr="00A32370">
              <w:rPr>
                <w:rFonts w:ascii="TimesNewRomanPSMT" w:hAnsi="TimesNewRomanPSMT" w:cs="TimesNewRomanPSMT"/>
                <w:szCs w:val="24"/>
              </w:rPr>
              <w:t>Sutartis vykdoma v</w:t>
            </w:r>
            <w:r w:rsidRPr="00A32370">
              <w:rPr>
                <w:rFonts w:ascii="TimesNewRomanPSMT" w:hAnsi="TimesNewRomanPSMT" w:cs="TimesNewRomanPSMT"/>
                <w:szCs w:val="24"/>
              </w:rPr>
              <w:t>adovaujantis Aplinkos apsaugos kriterijų taikymo, vykdant</w:t>
            </w:r>
            <w:r w:rsidRPr="00A32370">
              <w:rPr>
                <w:rFonts w:ascii="TimesNewRomanPSMT" w:hAnsi="TimesNewRomanPSMT" w:cs="TimesNewRomanPSMT"/>
                <w:szCs w:val="24"/>
              </w:rPr>
              <w:t xml:space="preserve"> </w:t>
            </w:r>
            <w:r w:rsidRPr="00A32370">
              <w:rPr>
                <w:rFonts w:ascii="TimesNewRomanPSMT" w:hAnsi="TimesNewRomanPSMT" w:cs="TimesNewRomanPSMT"/>
                <w:szCs w:val="24"/>
              </w:rPr>
              <w:t>žaliuosius pirkimus, tvarkos aprašo, patvirtinto Lietuvos</w:t>
            </w:r>
          </w:p>
          <w:p w14:paraId="69D52DBF" w14:textId="77777777" w:rsidR="00A32370" w:rsidRPr="00A32370" w:rsidRDefault="00A32370" w:rsidP="00A32370">
            <w:pPr>
              <w:autoSpaceDE w:val="0"/>
              <w:autoSpaceDN w:val="0"/>
              <w:adjustRightInd w:val="0"/>
              <w:rPr>
                <w:rFonts w:ascii="TimesNewRomanPSMT" w:hAnsi="TimesNewRomanPSMT" w:cs="TimesNewRomanPSMT"/>
                <w:szCs w:val="24"/>
              </w:rPr>
            </w:pPr>
            <w:r w:rsidRPr="00A32370">
              <w:rPr>
                <w:rFonts w:ascii="TimesNewRomanPSMT" w:hAnsi="TimesNewRomanPSMT" w:cs="TimesNewRomanPSMT"/>
                <w:szCs w:val="24"/>
              </w:rPr>
              <w:t>Respublikos aplinkos ministro 2011 m. birželio 28 d. įsakymu Nr.</w:t>
            </w:r>
          </w:p>
          <w:p w14:paraId="3248F96A" w14:textId="77777777" w:rsidR="00A32370" w:rsidRPr="00A32370" w:rsidRDefault="00A32370" w:rsidP="00A32370">
            <w:pPr>
              <w:autoSpaceDE w:val="0"/>
              <w:autoSpaceDN w:val="0"/>
              <w:adjustRightInd w:val="0"/>
              <w:rPr>
                <w:rFonts w:ascii="TimesNewRomanPSMT" w:hAnsi="TimesNewRomanPSMT" w:cs="TimesNewRomanPSMT"/>
                <w:szCs w:val="24"/>
              </w:rPr>
            </w:pPr>
            <w:r w:rsidRPr="00A32370">
              <w:rPr>
                <w:rFonts w:ascii="TimesNewRomanPSMT" w:hAnsi="TimesNewRomanPSMT" w:cs="TimesNewRomanPSMT"/>
                <w:szCs w:val="24"/>
              </w:rPr>
              <w:t>D1-508 ,,Dėl Aplinkos apsaugos kriterijų taikymo, vykdant</w:t>
            </w:r>
          </w:p>
          <w:p w14:paraId="3F14B69B" w14:textId="3495291B" w:rsidR="00027B83" w:rsidRDefault="00A32370" w:rsidP="00A32370">
            <w:pPr>
              <w:rPr>
                <w:kern w:val="2"/>
                <w:szCs w:val="24"/>
              </w:rPr>
            </w:pPr>
            <w:r w:rsidRPr="00A32370">
              <w:rPr>
                <w:rFonts w:ascii="TimesNewRomanPSMT" w:hAnsi="TimesNewRomanPSMT" w:cs="TimesNewRomanPSMT"/>
                <w:szCs w:val="24"/>
              </w:rPr>
              <w:t>žaliuosius pirkimus, tvarkos aprašo patvirtinimo“ 4.4.3. punktu</w:t>
            </w:r>
          </w:p>
        </w:tc>
      </w:tr>
      <w:tr w:rsidR="00027B83" w14:paraId="71B127CD" w14:textId="77777777" w:rsidTr="00965CDD">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7002"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3889D152" w:rsidR="00027B83" w:rsidRDefault="00027B83">
            <w:pPr>
              <w:rPr>
                <w:color w:val="0070C0"/>
                <w:kern w:val="2"/>
                <w:szCs w:val="24"/>
              </w:rPr>
            </w:pPr>
          </w:p>
        </w:tc>
      </w:tr>
      <w:tr w:rsidR="00027B83" w14:paraId="0E3437C2" w14:textId="77777777" w:rsidTr="00965CDD">
        <w:trPr>
          <w:trHeight w:val="300"/>
        </w:trPr>
        <w:tc>
          <w:tcPr>
            <w:tcW w:w="10060" w:type="dxa"/>
            <w:gridSpan w:val="4"/>
          </w:tcPr>
          <w:p w14:paraId="1BD9D104" w14:textId="11C60397" w:rsidR="00027B83" w:rsidRPr="007E4F39" w:rsidRDefault="000B0897" w:rsidP="007E4F39">
            <w:pPr>
              <w:jc w:val="center"/>
              <w:rPr>
                <w:b/>
                <w:kern w:val="2"/>
                <w:szCs w:val="24"/>
              </w:rPr>
            </w:pPr>
            <w:r>
              <w:rPr>
                <w:b/>
                <w:kern w:val="2"/>
                <w:szCs w:val="24"/>
              </w:rPr>
              <w:t xml:space="preserve">14. BENDRŲJŲ SĄLYGŲ PAKEITIMAI IR PAPILDYMAI </w:t>
            </w:r>
          </w:p>
        </w:tc>
      </w:tr>
      <w:tr w:rsidR="009A1863" w14:paraId="48D32DC8" w14:textId="77777777" w:rsidTr="000B057A">
        <w:trPr>
          <w:trHeight w:val="300"/>
        </w:trPr>
        <w:tc>
          <w:tcPr>
            <w:tcW w:w="10060" w:type="dxa"/>
            <w:gridSpan w:val="4"/>
          </w:tcPr>
          <w:p w14:paraId="71B506CF" w14:textId="117991ED" w:rsidR="009A1863" w:rsidRDefault="009A1863" w:rsidP="009A1863">
            <w:pPr>
              <w:rPr>
                <w:kern w:val="2"/>
                <w:szCs w:val="24"/>
              </w:rPr>
            </w:pPr>
            <w:r>
              <w:rPr>
                <w:b/>
                <w:kern w:val="2"/>
                <w:szCs w:val="24"/>
              </w:rPr>
              <w:t xml:space="preserve">14.1. </w:t>
            </w: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965CDD">
        <w:trPr>
          <w:trHeight w:val="300"/>
        </w:trPr>
        <w:tc>
          <w:tcPr>
            <w:tcW w:w="10060"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965CDD">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7002" w:type="dxa"/>
            <w:gridSpan w:val="3"/>
          </w:tcPr>
          <w:p w14:paraId="65B09E30" w14:textId="79B58F69" w:rsidR="00027B83" w:rsidRPr="007E4F39" w:rsidRDefault="007E4F39">
            <w:pPr>
              <w:jc w:val="center"/>
              <w:rPr>
                <w:kern w:val="2"/>
                <w:szCs w:val="24"/>
              </w:rPr>
            </w:pPr>
            <w:r w:rsidRPr="007E4F39">
              <w:rPr>
                <w:kern w:val="2"/>
                <w:szCs w:val="24"/>
              </w:rPr>
              <w:t>Techninė specifkacija</w:t>
            </w:r>
          </w:p>
        </w:tc>
      </w:tr>
      <w:tr w:rsidR="00027B83" w14:paraId="2CC1D4F0" w14:textId="77777777" w:rsidTr="00965CDD">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7002" w:type="dxa"/>
            <w:gridSpan w:val="3"/>
          </w:tcPr>
          <w:p w14:paraId="269B3EB8" w14:textId="14555ECA" w:rsidR="00027B83" w:rsidRPr="007E4F39" w:rsidRDefault="007E4F39">
            <w:pPr>
              <w:jc w:val="center"/>
              <w:rPr>
                <w:kern w:val="2"/>
                <w:szCs w:val="24"/>
              </w:rPr>
            </w:pPr>
            <w:r w:rsidRPr="007E4F39">
              <w:rPr>
                <w:kern w:val="2"/>
                <w:szCs w:val="24"/>
              </w:rPr>
              <w:t>Tiekėjo pasiūlymas</w:t>
            </w:r>
          </w:p>
        </w:tc>
      </w:tr>
      <w:tr w:rsidR="009002CE" w14:paraId="6E39ED84" w14:textId="77777777" w:rsidTr="00965CDD">
        <w:trPr>
          <w:trHeight w:val="300"/>
        </w:trPr>
        <w:tc>
          <w:tcPr>
            <w:tcW w:w="3058" w:type="dxa"/>
          </w:tcPr>
          <w:p w14:paraId="16D306AE" w14:textId="77777777" w:rsidR="009002CE" w:rsidRDefault="009002CE">
            <w:pPr>
              <w:jc w:val="center"/>
              <w:rPr>
                <w:b/>
                <w:kern w:val="2"/>
                <w:szCs w:val="24"/>
              </w:rPr>
            </w:pPr>
          </w:p>
        </w:tc>
        <w:tc>
          <w:tcPr>
            <w:tcW w:w="7002" w:type="dxa"/>
            <w:gridSpan w:val="3"/>
          </w:tcPr>
          <w:p w14:paraId="38B40BEA" w14:textId="77777777" w:rsidR="009002CE" w:rsidRPr="007E4F39" w:rsidRDefault="009002CE">
            <w:pPr>
              <w:jc w:val="center"/>
              <w:rPr>
                <w:kern w:val="2"/>
                <w:szCs w:val="24"/>
              </w:rPr>
            </w:pPr>
          </w:p>
        </w:tc>
      </w:tr>
      <w:tr w:rsidR="00027B83" w14:paraId="278F6726" w14:textId="77777777" w:rsidTr="00965CDD">
        <w:tc>
          <w:tcPr>
            <w:tcW w:w="10060"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965CDD">
        <w:tc>
          <w:tcPr>
            <w:tcW w:w="4957" w:type="dxa"/>
            <w:gridSpan w:val="3"/>
          </w:tcPr>
          <w:p w14:paraId="4374ECAE" w14:textId="77777777" w:rsidR="00027B83" w:rsidRDefault="000B0897">
            <w:pPr>
              <w:jc w:val="center"/>
              <w:rPr>
                <w:b/>
                <w:kern w:val="2"/>
                <w:szCs w:val="24"/>
              </w:rPr>
            </w:pPr>
            <w:r>
              <w:rPr>
                <w:b/>
                <w:kern w:val="2"/>
                <w:szCs w:val="24"/>
              </w:rPr>
              <w:t>PIRKĖJAS</w:t>
            </w:r>
          </w:p>
        </w:tc>
        <w:tc>
          <w:tcPr>
            <w:tcW w:w="5103"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965CDD">
        <w:tc>
          <w:tcPr>
            <w:tcW w:w="4957"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5103"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0F381C">
        <w:trPr>
          <w:trHeight w:val="70"/>
        </w:trPr>
        <w:tc>
          <w:tcPr>
            <w:tcW w:w="4957" w:type="dxa"/>
            <w:gridSpan w:val="3"/>
          </w:tcPr>
          <w:p w14:paraId="449ED037" w14:textId="30761824" w:rsidR="00CD78E9" w:rsidRDefault="000B0897" w:rsidP="009002CE">
            <w:pPr>
              <w:jc w:val="center"/>
              <w:rPr>
                <w:b/>
                <w:color w:val="4472C4"/>
                <w:kern w:val="2"/>
                <w:szCs w:val="24"/>
              </w:rPr>
            </w:pPr>
            <w:r>
              <w:rPr>
                <w:b/>
                <w:color w:val="4472C4"/>
                <w:kern w:val="2"/>
                <w:szCs w:val="24"/>
              </w:rPr>
              <w:t>(parašas)</w:t>
            </w:r>
          </w:p>
        </w:tc>
        <w:tc>
          <w:tcPr>
            <w:tcW w:w="5103" w:type="dxa"/>
          </w:tcPr>
          <w:p w14:paraId="644A2BE8" w14:textId="77777777" w:rsidR="00027B83" w:rsidRDefault="000B0897">
            <w:pPr>
              <w:jc w:val="center"/>
              <w:rPr>
                <w:b/>
                <w:color w:val="4472C4"/>
                <w:kern w:val="2"/>
                <w:szCs w:val="24"/>
              </w:rPr>
            </w:pPr>
            <w:bookmarkStart w:id="0" w:name="_GoBack"/>
            <w:bookmarkEnd w:id="0"/>
            <w:r>
              <w:rPr>
                <w:b/>
                <w:color w:val="4472C4"/>
                <w:kern w:val="2"/>
                <w:szCs w:val="24"/>
              </w:rPr>
              <w:t>(parašas)</w:t>
            </w:r>
          </w:p>
        </w:tc>
      </w:tr>
    </w:tbl>
    <w:p w14:paraId="0895D5E0" w14:textId="52B8EBF0" w:rsidR="00027B83" w:rsidRDefault="00027B83" w:rsidP="000F381C">
      <w:pPr>
        <w:tabs>
          <w:tab w:val="left" w:pos="5400"/>
        </w:tabs>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6B114" w14:textId="77777777" w:rsidR="002C1423" w:rsidRDefault="002C1423">
      <w:pPr>
        <w:rPr>
          <w:sz w:val="20"/>
        </w:rPr>
      </w:pPr>
      <w:r>
        <w:rPr>
          <w:sz w:val="20"/>
        </w:rPr>
        <w:separator/>
      </w:r>
    </w:p>
  </w:endnote>
  <w:endnote w:type="continuationSeparator" w:id="0">
    <w:p w14:paraId="3B41EEE6" w14:textId="77777777" w:rsidR="002C1423" w:rsidRDefault="002C1423">
      <w:pPr>
        <w:rPr>
          <w:sz w:val="20"/>
        </w:rPr>
      </w:pPr>
      <w:r>
        <w:rPr>
          <w:sz w:val="20"/>
        </w:rPr>
        <w:continuationSeparator/>
      </w:r>
    </w:p>
  </w:endnote>
  <w:endnote w:type="continuationNotice" w:id="1">
    <w:p w14:paraId="483C2ECF" w14:textId="77777777" w:rsidR="002C1423" w:rsidRDefault="002C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F0049" w:rsidRDefault="002F004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BD2A" w14:textId="77777777" w:rsidR="002C1423" w:rsidRDefault="002C1423">
      <w:pPr>
        <w:rPr>
          <w:sz w:val="20"/>
        </w:rPr>
      </w:pPr>
      <w:r>
        <w:rPr>
          <w:sz w:val="20"/>
        </w:rPr>
        <w:separator/>
      </w:r>
    </w:p>
  </w:footnote>
  <w:footnote w:type="continuationSeparator" w:id="0">
    <w:p w14:paraId="6D5C3603" w14:textId="77777777" w:rsidR="002C1423" w:rsidRDefault="002C1423">
      <w:pPr>
        <w:rPr>
          <w:sz w:val="20"/>
        </w:rPr>
      </w:pPr>
      <w:r>
        <w:rPr>
          <w:sz w:val="20"/>
        </w:rPr>
        <w:continuationSeparator/>
      </w:r>
    </w:p>
  </w:footnote>
  <w:footnote w:type="continuationNotice" w:id="1">
    <w:p w14:paraId="2762D23D" w14:textId="77777777" w:rsidR="002C1423" w:rsidRDefault="002C14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5DF1183A" w:rsidR="002F0049" w:rsidRDefault="002F004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12D75">
      <w:rPr>
        <w:rFonts w:ascii="Arial" w:eastAsia="Arial" w:hAnsi="Arial" w:cs="Arial"/>
        <w:noProof/>
        <w:sz w:val="18"/>
        <w:szCs w:val="18"/>
      </w:rPr>
      <w:t>5</w:t>
    </w:r>
    <w:r>
      <w:rPr>
        <w:rFonts w:ascii="Arial" w:eastAsia="Arial" w:hAnsi="Arial" w:cs="Arial"/>
        <w:sz w:val="18"/>
        <w:szCs w:val="18"/>
      </w:rPr>
      <w:fldChar w:fldCharType="end"/>
    </w:r>
  </w:p>
  <w:p w14:paraId="18CA756E" w14:textId="77777777" w:rsidR="002F0049" w:rsidRDefault="002F004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42E95"/>
    <w:multiLevelType w:val="hybridMultilevel"/>
    <w:tmpl w:val="5C76B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19D"/>
    <w:rsid w:val="00027B83"/>
    <w:rsid w:val="000632D1"/>
    <w:rsid w:val="000B0897"/>
    <w:rsid w:val="000F381C"/>
    <w:rsid w:val="001071E3"/>
    <w:rsid w:val="00113385"/>
    <w:rsid w:val="00182EAB"/>
    <w:rsid w:val="001E73CD"/>
    <w:rsid w:val="00207D92"/>
    <w:rsid w:val="00212EA8"/>
    <w:rsid w:val="00242D67"/>
    <w:rsid w:val="0025481C"/>
    <w:rsid w:val="00273C52"/>
    <w:rsid w:val="002B1201"/>
    <w:rsid w:val="002C1423"/>
    <w:rsid w:val="002C1AA9"/>
    <w:rsid w:val="002D67C7"/>
    <w:rsid w:val="002F0049"/>
    <w:rsid w:val="00372AE7"/>
    <w:rsid w:val="00380ADA"/>
    <w:rsid w:val="003A3535"/>
    <w:rsid w:val="003F638E"/>
    <w:rsid w:val="00402199"/>
    <w:rsid w:val="00405D71"/>
    <w:rsid w:val="00454959"/>
    <w:rsid w:val="004E0C9B"/>
    <w:rsid w:val="00503083"/>
    <w:rsid w:val="005317DA"/>
    <w:rsid w:val="005374E3"/>
    <w:rsid w:val="00545279"/>
    <w:rsid w:val="005F7896"/>
    <w:rsid w:val="00603B73"/>
    <w:rsid w:val="00612D75"/>
    <w:rsid w:val="00627404"/>
    <w:rsid w:val="00644C80"/>
    <w:rsid w:val="006630E7"/>
    <w:rsid w:val="006635EA"/>
    <w:rsid w:val="006C79AA"/>
    <w:rsid w:val="006F0803"/>
    <w:rsid w:val="006F5143"/>
    <w:rsid w:val="00717B77"/>
    <w:rsid w:val="007341CC"/>
    <w:rsid w:val="00745D97"/>
    <w:rsid w:val="007621BC"/>
    <w:rsid w:val="007A75C6"/>
    <w:rsid w:val="007D21B8"/>
    <w:rsid w:val="007E1679"/>
    <w:rsid w:val="007E4F39"/>
    <w:rsid w:val="007F138D"/>
    <w:rsid w:val="008263D5"/>
    <w:rsid w:val="0083118A"/>
    <w:rsid w:val="008446AC"/>
    <w:rsid w:val="00887F8A"/>
    <w:rsid w:val="008935B7"/>
    <w:rsid w:val="008B660B"/>
    <w:rsid w:val="008B6DDD"/>
    <w:rsid w:val="008C5267"/>
    <w:rsid w:val="009002CE"/>
    <w:rsid w:val="00926E6E"/>
    <w:rsid w:val="00933243"/>
    <w:rsid w:val="00951D02"/>
    <w:rsid w:val="00965CDD"/>
    <w:rsid w:val="009728BC"/>
    <w:rsid w:val="009A1863"/>
    <w:rsid w:val="009B40A5"/>
    <w:rsid w:val="009B640B"/>
    <w:rsid w:val="009C7454"/>
    <w:rsid w:val="009E1A84"/>
    <w:rsid w:val="009E6FE0"/>
    <w:rsid w:val="00A313BF"/>
    <w:rsid w:val="00A32370"/>
    <w:rsid w:val="00A80B67"/>
    <w:rsid w:val="00AA7CF6"/>
    <w:rsid w:val="00AC12EE"/>
    <w:rsid w:val="00AD4D38"/>
    <w:rsid w:val="00AD5AAB"/>
    <w:rsid w:val="00B20C96"/>
    <w:rsid w:val="00B23CCA"/>
    <w:rsid w:val="00B46F6F"/>
    <w:rsid w:val="00B51CBF"/>
    <w:rsid w:val="00B67D35"/>
    <w:rsid w:val="00BA1B56"/>
    <w:rsid w:val="00BD64EB"/>
    <w:rsid w:val="00BE0004"/>
    <w:rsid w:val="00C257EE"/>
    <w:rsid w:val="00C35B5E"/>
    <w:rsid w:val="00C64301"/>
    <w:rsid w:val="00C74FA2"/>
    <w:rsid w:val="00C8073E"/>
    <w:rsid w:val="00C853BB"/>
    <w:rsid w:val="00C87EFC"/>
    <w:rsid w:val="00CB4188"/>
    <w:rsid w:val="00CD78E9"/>
    <w:rsid w:val="00D52DAA"/>
    <w:rsid w:val="00D67A21"/>
    <w:rsid w:val="00DA4E0C"/>
    <w:rsid w:val="00DD237D"/>
    <w:rsid w:val="00DD2BD0"/>
    <w:rsid w:val="00DD53C6"/>
    <w:rsid w:val="00DD6EAA"/>
    <w:rsid w:val="00E105B3"/>
    <w:rsid w:val="00E67B45"/>
    <w:rsid w:val="00E95022"/>
    <w:rsid w:val="00EB32AC"/>
    <w:rsid w:val="00EB7F8B"/>
    <w:rsid w:val="00ED4BFE"/>
    <w:rsid w:val="00ED7115"/>
    <w:rsid w:val="00F330C4"/>
    <w:rsid w:val="00F44DA3"/>
    <w:rsid w:val="00F60BD9"/>
    <w:rsid w:val="00FE40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hgkelc">
    <w:name w:val="hgkelc"/>
    <w:basedOn w:val="DefaultParagraphFont"/>
    <w:rsid w:val="00AA7CF6"/>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C87EFC"/>
    <w:pPr>
      <w:ind w:left="720"/>
      <w:contextualSpacing/>
    </w:pPr>
  </w:style>
  <w:style w:type="character" w:styleId="CommentReference">
    <w:name w:val="annotation reference"/>
    <w:basedOn w:val="DefaultParagraphFont"/>
    <w:semiHidden/>
    <w:unhideWhenUsed/>
    <w:rsid w:val="00DD6EAA"/>
    <w:rPr>
      <w:sz w:val="16"/>
      <w:szCs w:val="16"/>
    </w:rPr>
  </w:style>
  <w:style w:type="paragraph" w:styleId="CommentText">
    <w:name w:val="annotation text"/>
    <w:basedOn w:val="Normal"/>
    <w:link w:val="CommentTextChar"/>
    <w:semiHidden/>
    <w:unhideWhenUsed/>
    <w:rsid w:val="00DD6EAA"/>
    <w:rPr>
      <w:sz w:val="20"/>
    </w:rPr>
  </w:style>
  <w:style w:type="character" w:customStyle="1" w:styleId="CommentTextChar">
    <w:name w:val="Comment Text Char"/>
    <w:basedOn w:val="DefaultParagraphFont"/>
    <w:link w:val="CommentText"/>
    <w:semiHidden/>
    <w:rsid w:val="00DD6EAA"/>
    <w:rPr>
      <w:sz w:val="20"/>
    </w:rPr>
  </w:style>
  <w:style w:type="paragraph" w:styleId="CommentSubject">
    <w:name w:val="annotation subject"/>
    <w:basedOn w:val="CommentText"/>
    <w:next w:val="CommentText"/>
    <w:link w:val="CommentSubjectChar"/>
    <w:semiHidden/>
    <w:unhideWhenUsed/>
    <w:rsid w:val="00DD6EAA"/>
    <w:rPr>
      <w:b/>
      <w:bCs/>
    </w:rPr>
  </w:style>
  <w:style w:type="character" w:customStyle="1" w:styleId="CommentSubjectChar">
    <w:name w:val="Comment Subject Char"/>
    <w:basedOn w:val="CommentTextChar"/>
    <w:link w:val="CommentSubject"/>
    <w:semiHidden/>
    <w:rsid w:val="00DD6EAA"/>
    <w:rPr>
      <w:b/>
      <w:bCs/>
      <w:sz w:val="20"/>
    </w:rPr>
  </w:style>
  <w:style w:type="paragraph" w:styleId="BalloonText">
    <w:name w:val="Balloon Text"/>
    <w:basedOn w:val="Normal"/>
    <w:link w:val="BalloonTextChar"/>
    <w:semiHidden/>
    <w:unhideWhenUsed/>
    <w:rsid w:val="00DD6EAA"/>
    <w:rPr>
      <w:rFonts w:ascii="Segoe UI" w:hAnsi="Segoe UI" w:cs="Segoe UI"/>
      <w:sz w:val="18"/>
      <w:szCs w:val="18"/>
    </w:rPr>
  </w:style>
  <w:style w:type="character" w:customStyle="1" w:styleId="BalloonTextChar">
    <w:name w:val="Balloon Text Char"/>
    <w:basedOn w:val="DefaultParagraphFont"/>
    <w:link w:val="BalloonText"/>
    <w:semiHidden/>
    <w:rsid w:val="00DD6EAA"/>
    <w:rPr>
      <w:rFonts w:ascii="Segoe UI" w:hAnsi="Segoe UI" w:cs="Segoe UI"/>
      <w:sz w:val="18"/>
      <w:szCs w:val="18"/>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8C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1E6BB-2689-4E91-887E-0492F054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