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9DB79" w14:textId="77777777" w:rsidR="00CB6628" w:rsidRPr="00F86833" w:rsidRDefault="00CB6628" w:rsidP="00CB6628">
      <w:pPr>
        <w:tabs>
          <w:tab w:val="left" w:pos="851"/>
        </w:tabs>
        <w:spacing w:after="0" w:line="240" w:lineRule="auto"/>
        <w:ind w:firstLine="567"/>
        <w:jc w:val="center"/>
        <w:rPr>
          <w:rFonts w:ascii="Arial" w:hAnsi="Arial" w:cs="Arial"/>
          <w:b/>
          <w:sz w:val="24"/>
          <w:szCs w:val="20"/>
          <w:lang w:eastAsia="en-US"/>
        </w:rPr>
      </w:pPr>
      <w:r w:rsidRPr="00F86833">
        <w:rPr>
          <w:rFonts w:ascii="Arial" w:hAnsi="Arial" w:cs="Arial"/>
          <w:b/>
          <w:sz w:val="24"/>
          <w:szCs w:val="20"/>
          <w:lang w:eastAsia="en-US"/>
        </w:rPr>
        <w:t>TECHNINĖ SPECIFIKACIJA</w:t>
      </w:r>
    </w:p>
    <w:p w14:paraId="224597FC" w14:textId="77777777" w:rsidR="00CB6628" w:rsidRPr="00F86833" w:rsidRDefault="00CB6628" w:rsidP="00CB6628">
      <w:pPr>
        <w:tabs>
          <w:tab w:val="left" w:pos="851"/>
        </w:tabs>
        <w:spacing w:after="0" w:line="240" w:lineRule="auto"/>
        <w:ind w:firstLine="567"/>
        <w:jc w:val="center"/>
        <w:rPr>
          <w:rFonts w:ascii="Arial" w:hAnsi="Arial" w:cs="Arial"/>
          <w:b/>
          <w:caps/>
          <w:sz w:val="24"/>
          <w:szCs w:val="20"/>
          <w:lang w:eastAsia="en-US"/>
        </w:rPr>
      </w:pPr>
    </w:p>
    <w:p w14:paraId="62E46F05" w14:textId="77777777" w:rsidR="00CB6628" w:rsidRPr="00F86833" w:rsidRDefault="00CB6628" w:rsidP="00CB6628">
      <w:pPr>
        <w:tabs>
          <w:tab w:val="left" w:pos="851"/>
        </w:tabs>
        <w:spacing w:after="0" w:line="240" w:lineRule="auto"/>
        <w:ind w:firstLine="567"/>
        <w:jc w:val="center"/>
        <w:rPr>
          <w:rFonts w:ascii="Arial" w:hAnsi="Arial" w:cs="Arial"/>
          <w:b/>
          <w:sz w:val="24"/>
          <w:szCs w:val="20"/>
          <w:lang w:eastAsia="en-US"/>
        </w:rPr>
      </w:pPr>
      <w:r w:rsidRPr="00F86833">
        <w:rPr>
          <w:rFonts w:ascii="Arial" w:hAnsi="Arial" w:cs="Arial"/>
          <w:b/>
          <w:sz w:val="24"/>
          <w:szCs w:val="20"/>
          <w:lang w:eastAsia="en-US"/>
        </w:rPr>
        <w:t>LIFTŲ IR KELTUVŲ POŽEMINĖSE PERĖJOSE PRIEŽIŪROS PASLAUGOS</w:t>
      </w:r>
    </w:p>
    <w:p w14:paraId="7083EFCD" w14:textId="77777777" w:rsidR="00CB6628" w:rsidRPr="00F86833" w:rsidRDefault="00CB6628" w:rsidP="00CB6628">
      <w:pPr>
        <w:tabs>
          <w:tab w:val="left" w:pos="851"/>
          <w:tab w:val="left" w:pos="3915"/>
        </w:tabs>
        <w:spacing w:after="0" w:line="240" w:lineRule="auto"/>
        <w:ind w:firstLine="567"/>
        <w:rPr>
          <w:rFonts w:ascii="Arial" w:hAnsi="Arial" w:cs="Arial"/>
          <w:sz w:val="24"/>
          <w:szCs w:val="20"/>
          <w:lang w:eastAsia="en-US"/>
        </w:rPr>
      </w:pPr>
    </w:p>
    <w:p w14:paraId="10937546" w14:textId="281CCC65" w:rsidR="00CB6628" w:rsidRPr="00F86833" w:rsidRDefault="00CB6628" w:rsidP="00CB6628">
      <w:pPr>
        <w:pStyle w:val="Sraopastraipa"/>
        <w:numPr>
          <w:ilvl w:val="0"/>
          <w:numId w:val="1"/>
        </w:numPr>
        <w:tabs>
          <w:tab w:val="left" w:pos="851"/>
        </w:tabs>
        <w:suppressAutoHyphens/>
        <w:autoSpaceDN w:val="0"/>
        <w:spacing w:after="0" w:line="240" w:lineRule="auto"/>
        <w:ind w:left="0" w:firstLine="567"/>
        <w:jc w:val="both"/>
        <w:rPr>
          <w:rFonts w:ascii="Arial" w:hAnsi="Arial" w:cs="Arial"/>
          <w:szCs w:val="24"/>
        </w:rPr>
      </w:pPr>
      <w:r w:rsidRPr="00F86833">
        <w:rPr>
          <w:rFonts w:ascii="Arial" w:hAnsi="Arial" w:cs="Arial"/>
          <w:szCs w:val="24"/>
        </w:rPr>
        <w:t xml:space="preserve">Paslaugų teikėjas, atlikdamas Vilniaus miesto savivaldybėje esančių požeminių pėsčiųjų perėjų keltuvų ir liftų (toliau – Įranga) </w:t>
      </w:r>
      <w:r w:rsidR="0041782C">
        <w:rPr>
          <w:rFonts w:ascii="Arial" w:hAnsi="Arial" w:cs="Arial"/>
          <w:szCs w:val="24"/>
        </w:rPr>
        <w:t>priežiūrą ir remontą</w:t>
      </w:r>
      <w:r w:rsidRPr="00F86833">
        <w:rPr>
          <w:rFonts w:ascii="Arial" w:hAnsi="Arial" w:cs="Arial"/>
          <w:szCs w:val="24"/>
        </w:rPr>
        <w:t>, privalo vadovautis:</w:t>
      </w:r>
    </w:p>
    <w:p w14:paraId="0406C431" w14:textId="77777777" w:rsidR="00CB6628" w:rsidRPr="00F86833" w:rsidRDefault="00CB6628" w:rsidP="00CB6628">
      <w:pPr>
        <w:pStyle w:val="Sraopastraipa"/>
        <w:numPr>
          <w:ilvl w:val="0"/>
          <w:numId w:val="2"/>
        </w:numPr>
        <w:tabs>
          <w:tab w:val="left" w:pos="851"/>
        </w:tabs>
        <w:suppressAutoHyphens/>
        <w:autoSpaceDN w:val="0"/>
        <w:spacing w:after="0" w:line="240" w:lineRule="auto"/>
        <w:ind w:left="0" w:firstLine="567"/>
        <w:jc w:val="both"/>
        <w:rPr>
          <w:rFonts w:ascii="Arial" w:hAnsi="Arial" w:cs="Arial"/>
          <w:szCs w:val="24"/>
        </w:rPr>
      </w:pPr>
      <w:r w:rsidRPr="00F86833">
        <w:rPr>
          <w:rFonts w:ascii="Arial" w:hAnsi="Arial" w:cs="Arial"/>
          <w:szCs w:val="24"/>
        </w:rPr>
        <w:t>Šia technine specifikacija;</w:t>
      </w:r>
    </w:p>
    <w:p w14:paraId="12A14367" w14:textId="77777777" w:rsidR="00CB6628" w:rsidRPr="00F86833" w:rsidRDefault="00CB6628" w:rsidP="00CB6628">
      <w:pPr>
        <w:pStyle w:val="Sraopastraipa"/>
        <w:numPr>
          <w:ilvl w:val="0"/>
          <w:numId w:val="2"/>
        </w:numPr>
        <w:tabs>
          <w:tab w:val="left" w:pos="851"/>
        </w:tabs>
        <w:suppressAutoHyphens/>
        <w:autoSpaceDN w:val="0"/>
        <w:spacing w:after="0" w:line="240" w:lineRule="auto"/>
        <w:ind w:left="0" w:firstLine="567"/>
        <w:jc w:val="both"/>
        <w:rPr>
          <w:rFonts w:ascii="Arial" w:hAnsi="Arial" w:cs="Arial"/>
          <w:szCs w:val="24"/>
        </w:rPr>
      </w:pPr>
      <w:r w:rsidRPr="00F86833">
        <w:rPr>
          <w:rFonts w:ascii="Arial" w:hAnsi="Arial" w:cs="Arial"/>
          <w:szCs w:val="24"/>
        </w:rPr>
        <w:t>Įrangos gamintojo instrukcija;</w:t>
      </w:r>
    </w:p>
    <w:p w14:paraId="4FA3715A" w14:textId="56779219" w:rsidR="00CB6628" w:rsidRPr="00F86833" w:rsidRDefault="00172E23" w:rsidP="00CB6628">
      <w:pPr>
        <w:pStyle w:val="Sraopastraipa"/>
        <w:numPr>
          <w:ilvl w:val="0"/>
          <w:numId w:val="2"/>
        </w:numPr>
        <w:tabs>
          <w:tab w:val="left" w:pos="851"/>
        </w:tabs>
        <w:suppressAutoHyphens/>
        <w:autoSpaceDN w:val="0"/>
        <w:spacing w:after="0" w:line="240" w:lineRule="auto"/>
        <w:ind w:left="0" w:firstLine="567"/>
        <w:jc w:val="both"/>
        <w:rPr>
          <w:rFonts w:ascii="Arial" w:hAnsi="Arial" w:cs="Arial"/>
          <w:szCs w:val="24"/>
        </w:rPr>
      </w:pPr>
      <w:r w:rsidRPr="00172E23">
        <w:rPr>
          <w:rFonts w:ascii="Arial" w:hAnsi="Arial" w:cs="Arial"/>
          <w:szCs w:val="24"/>
        </w:rPr>
        <w:t>2006 m. vasario 24 d. Lietuvos Respublikos socialinės apsaugos ir darbo ministro įsakymu Nr. A1-61 „Dėl liftų priežiūros taisyklių patvirtinimo“</w:t>
      </w:r>
      <w:r w:rsidR="00CB6628" w:rsidRPr="00F86833">
        <w:rPr>
          <w:rFonts w:ascii="Arial" w:hAnsi="Arial" w:cs="Arial"/>
          <w:szCs w:val="24"/>
        </w:rPr>
        <w:t>;</w:t>
      </w:r>
    </w:p>
    <w:p w14:paraId="4C40669B" w14:textId="77777777" w:rsidR="00CB6628" w:rsidRPr="00F86833" w:rsidRDefault="00CB6628" w:rsidP="00CB6628">
      <w:pPr>
        <w:pStyle w:val="Sraopastraipa"/>
        <w:numPr>
          <w:ilvl w:val="0"/>
          <w:numId w:val="2"/>
        </w:numPr>
        <w:tabs>
          <w:tab w:val="left" w:pos="851"/>
        </w:tabs>
        <w:suppressAutoHyphens/>
        <w:autoSpaceDN w:val="0"/>
        <w:spacing w:after="0" w:line="240" w:lineRule="auto"/>
        <w:ind w:left="0" w:firstLine="567"/>
        <w:jc w:val="both"/>
        <w:rPr>
          <w:rFonts w:ascii="Arial" w:hAnsi="Arial" w:cs="Arial"/>
          <w:szCs w:val="24"/>
        </w:rPr>
      </w:pPr>
      <w:r w:rsidRPr="00F86833">
        <w:rPr>
          <w:rFonts w:ascii="Arial" w:hAnsi="Arial" w:cs="Arial"/>
          <w:szCs w:val="24"/>
        </w:rPr>
        <w:t>1996 m. gegužės 2 d. Lietuvos Respublikos potencialiai pavojingų įrenginių priežiūros įstatymu Nr. I-1324.</w:t>
      </w:r>
    </w:p>
    <w:p w14:paraId="5DAD2B23" w14:textId="77777777" w:rsidR="00CB6628" w:rsidRPr="00F86833" w:rsidRDefault="00CB6628" w:rsidP="00CB6628">
      <w:pPr>
        <w:pStyle w:val="Sraopastraipa"/>
        <w:numPr>
          <w:ilvl w:val="0"/>
          <w:numId w:val="1"/>
        </w:numPr>
        <w:tabs>
          <w:tab w:val="left" w:pos="851"/>
        </w:tabs>
        <w:suppressAutoHyphens/>
        <w:autoSpaceDN w:val="0"/>
        <w:spacing w:after="0" w:line="240" w:lineRule="auto"/>
        <w:ind w:left="0" w:firstLine="567"/>
        <w:jc w:val="both"/>
        <w:rPr>
          <w:rFonts w:ascii="Arial" w:hAnsi="Arial" w:cs="Arial"/>
          <w:szCs w:val="24"/>
        </w:rPr>
      </w:pPr>
      <w:r w:rsidRPr="00F86833">
        <w:rPr>
          <w:rFonts w:ascii="Arial" w:hAnsi="Arial" w:cs="Arial"/>
          <w:szCs w:val="24"/>
        </w:rPr>
        <w:t>Perkančiosios organizacijos šiuo metu turima Įranga, kurią Paslaugų teikėjas turės tinkamai ir saugiai eksploatuoti bei atlikti Įrangos remontą, jai sugedus: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2"/>
        <w:gridCol w:w="6379"/>
        <w:gridCol w:w="2126"/>
      </w:tblGrid>
      <w:tr w:rsidR="00CB6628" w:rsidRPr="00CB6628" w14:paraId="077BD6F6" w14:textId="77777777" w:rsidTr="00CB6628">
        <w:tc>
          <w:tcPr>
            <w:tcW w:w="992" w:type="dxa"/>
            <w:tcMar>
              <w:top w:w="0" w:type="dxa"/>
              <w:left w:w="108" w:type="dxa"/>
              <w:bottom w:w="0" w:type="dxa"/>
              <w:right w:w="108" w:type="dxa"/>
            </w:tcMar>
            <w:hideMark/>
          </w:tcPr>
          <w:p w14:paraId="1E560D97" w14:textId="0698C360" w:rsidR="00CB6628" w:rsidRPr="00CB6628" w:rsidRDefault="00CB6628" w:rsidP="00CB6628">
            <w:pPr>
              <w:tabs>
                <w:tab w:val="left" w:pos="851"/>
              </w:tabs>
              <w:spacing w:after="0" w:line="240" w:lineRule="auto"/>
              <w:rPr>
                <w:rFonts w:ascii="Arial" w:eastAsia="Calibri" w:hAnsi="Arial" w:cs="Arial"/>
                <w:b/>
                <w:bCs/>
                <w:lang w:eastAsia="en-US"/>
              </w:rPr>
            </w:pPr>
            <w:r w:rsidRPr="00CB6628">
              <w:rPr>
                <w:rFonts w:ascii="Arial" w:eastAsia="Calibri" w:hAnsi="Arial" w:cs="Arial"/>
                <w:b/>
                <w:bCs/>
                <w:lang w:eastAsia="en-US"/>
              </w:rPr>
              <w:t xml:space="preserve">Eil. </w:t>
            </w:r>
            <w:r>
              <w:rPr>
                <w:rFonts w:ascii="Arial" w:eastAsia="Calibri" w:hAnsi="Arial" w:cs="Arial"/>
                <w:b/>
                <w:bCs/>
                <w:lang w:eastAsia="en-US"/>
              </w:rPr>
              <w:t>N</w:t>
            </w:r>
            <w:r w:rsidRPr="00CB6628">
              <w:rPr>
                <w:rFonts w:ascii="Arial" w:eastAsia="Calibri" w:hAnsi="Arial" w:cs="Arial"/>
                <w:b/>
                <w:bCs/>
                <w:lang w:eastAsia="en-US"/>
              </w:rPr>
              <w:t>r.</w:t>
            </w:r>
          </w:p>
        </w:tc>
        <w:tc>
          <w:tcPr>
            <w:tcW w:w="6379" w:type="dxa"/>
            <w:tcMar>
              <w:top w:w="0" w:type="dxa"/>
              <w:left w:w="108" w:type="dxa"/>
              <w:bottom w:w="0" w:type="dxa"/>
              <w:right w:w="108" w:type="dxa"/>
            </w:tcMar>
            <w:vAlign w:val="center"/>
            <w:hideMark/>
          </w:tcPr>
          <w:p w14:paraId="66542EAC" w14:textId="77777777" w:rsidR="00CB6628" w:rsidRPr="00CB6628" w:rsidRDefault="00CB6628" w:rsidP="00CB6628">
            <w:pPr>
              <w:tabs>
                <w:tab w:val="left" w:pos="851"/>
              </w:tabs>
              <w:spacing w:after="0" w:line="240" w:lineRule="auto"/>
              <w:ind w:firstLine="567"/>
              <w:jc w:val="center"/>
              <w:rPr>
                <w:rFonts w:ascii="Arial" w:eastAsia="Calibri" w:hAnsi="Arial" w:cs="Arial"/>
                <w:b/>
                <w:bCs/>
                <w:lang w:eastAsia="en-US"/>
              </w:rPr>
            </w:pPr>
            <w:r w:rsidRPr="00CB6628">
              <w:rPr>
                <w:rFonts w:ascii="Arial" w:eastAsia="Calibri" w:hAnsi="Arial" w:cs="Arial"/>
                <w:b/>
                <w:bCs/>
                <w:lang w:eastAsia="en-US"/>
              </w:rPr>
              <w:t>Požeminių pėsčiųjų perėjų keltuvai ir liftai (adresas)</w:t>
            </w:r>
          </w:p>
        </w:tc>
        <w:tc>
          <w:tcPr>
            <w:tcW w:w="2126" w:type="dxa"/>
            <w:tcMar>
              <w:top w:w="0" w:type="dxa"/>
              <w:left w:w="108" w:type="dxa"/>
              <w:bottom w:w="0" w:type="dxa"/>
              <w:right w:w="108" w:type="dxa"/>
            </w:tcMar>
            <w:vAlign w:val="center"/>
            <w:hideMark/>
          </w:tcPr>
          <w:p w14:paraId="468F6E00" w14:textId="57BE449B" w:rsidR="00CB6628" w:rsidRPr="00CB6628" w:rsidRDefault="00CB6628" w:rsidP="00CB6628">
            <w:pPr>
              <w:tabs>
                <w:tab w:val="left" w:pos="851"/>
              </w:tabs>
              <w:spacing w:after="0" w:line="240" w:lineRule="auto"/>
              <w:rPr>
                <w:rFonts w:ascii="Arial" w:eastAsia="Calibri" w:hAnsi="Arial" w:cs="Arial"/>
                <w:b/>
                <w:bCs/>
                <w:lang w:eastAsia="en-US"/>
              </w:rPr>
            </w:pPr>
            <w:r w:rsidRPr="00CB6628">
              <w:rPr>
                <w:rFonts w:ascii="Arial" w:eastAsia="Calibri" w:hAnsi="Arial" w:cs="Arial"/>
                <w:b/>
                <w:bCs/>
                <w:lang w:eastAsia="en-US"/>
              </w:rPr>
              <w:t>Kiekis (vnt.)</w:t>
            </w:r>
          </w:p>
        </w:tc>
      </w:tr>
      <w:tr w:rsidR="00CB6628" w:rsidRPr="00CB6628" w14:paraId="11186A48" w14:textId="77777777" w:rsidTr="00CB6628">
        <w:tc>
          <w:tcPr>
            <w:tcW w:w="992" w:type="dxa"/>
            <w:tcMar>
              <w:top w:w="0" w:type="dxa"/>
              <w:left w:w="108" w:type="dxa"/>
              <w:bottom w:w="0" w:type="dxa"/>
              <w:right w:w="108" w:type="dxa"/>
            </w:tcMar>
            <w:hideMark/>
          </w:tcPr>
          <w:p w14:paraId="34F2507E" w14:textId="68C580E5" w:rsidR="00CB6628" w:rsidRPr="00CB6628" w:rsidRDefault="00CB6628" w:rsidP="00CB6628">
            <w:pPr>
              <w:tabs>
                <w:tab w:val="left" w:pos="851"/>
              </w:tabs>
              <w:spacing w:after="0" w:line="240" w:lineRule="auto"/>
              <w:ind w:firstLine="567"/>
              <w:rPr>
                <w:rFonts w:ascii="Arial" w:eastAsia="Calibri" w:hAnsi="Arial" w:cs="Arial"/>
                <w:lang w:eastAsia="en-US"/>
              </w:rPr>
            </w:pPr>
            <w:r w:rsidRPr="00CB6628">
              <w:rPr>
                <w:rFonts w:ascii="Arial" w:eastAsia="Calibri" w:hAnsi="Arial" w:cs="Arial"/>
                <w:lang w:eastAsia="en-US"/>
              </w:rPr>
              <w:t>1</w:t>
            </w:r>
            <w:r>
              <w:rPr>
                <w:rFonts w:ascii="Arial" w:eastAsia="Calibri" w:hAnsi="Arial" w:cs="Arial"/>
                <w:lang w:eastAsia="en-US"/>
              </w:rPr>
              <w:t xml:space="preserve">. </w:t>
            </w:r>
          </w:p>
        </w:tc>
        <w:tc>
          <w:tcPr>
            <w:tcW w:w="6379" w:type="dxa"/>
            <w:tcMar>
              <w:top w:w="0" w:type="dxa"/>
              <w:left w:w="108" w:type="dxa"/>
              <w:bottom w:w="0" w:type="dxa"/>
              <w:right w:w="108" w:type="dxa"/>
            </w:tcMar>
            <w:vAlign w:val="center"/>
            <w:hideMark/>
          </w:tcPr>
          <w:p w14:paraId="4F06C34B" w14:textId="77777777" w:rsidR="00CB6628" w:rsidRPr="00CB6628" w:rsidRDefault="00CB6628" w:rsidP="00CB6628">
            <w:pPr>
              <w:tabs>
                <w:tab w:val="left" w:pos="851"/>
              </w:tabs>
              <w:spacing w:after="0" w:line="240" w:lineRule="auto"/>
              <w:rPr>
                <w:rFonts w:ascii="Arial" w:eastAsia="Calibri" w:hAnsi="Arial" w:cs="Arial"/>
                <w:lang w:eastAsia="en-US"/>
              </w:rPr>
            </w:pPr>
            <w:r w:rsidRPr="00CB6628">
              <w:rPr>
                <w:rFonts w:ascii="Arial" w:eastAsia="Calibri" w:hAnsi="Arial" w:cs="Arial"/>
                <w:lang w:eastAsia="en-US"/>
              </w:rPr>
              <w:t>prie prekybos ir laisvalaikio centro Panorama (Saltoniškių g. 9) Barduva SB200; CIBES</w:t>
            </w:r>
          </w:p>
        </w:tc>
        <w:tc>
          <w:tcPr>
            <w:tcW w:w="2126" w:type="dxa"/>
            <w:tcMar>
              <w:top w:w="0" w:type="dxa"/>
              <w:left w:w="108" w:type="dxa"/>
              <w:bottom w:w="0" w:type="dxa"/>
              <w:right w:w="108" w:type="dxa"/>
            </w:tcMar>
            <w:vAlign w:val="center"/>
            <w:hideMark/>
          </w:tcPr>
          <w:p w14:paraId="517F0610" w14:textId="77777777" w:rsidR="00CB6628" w:rsidRPr="00CB6628" w:rsidRDefault="00CB6628" w:rsidP="00CB6628">
            <w:pPr>
              <w:tabs>
                <w:tab w:val="left" w:pos="851"/>
              </w:tabs>
              <w:spacing w:after="0" w:line="240" w:lineRule="auto"/>
              <w:rPr>
                <w:rFonts w:ascii="Arial" w:eastAsia="Calibri" w:hAnsi="Arial" w:cs="Arial"/>
                <w:lang w:eastAsia="en-US"/>
              </w:rPr>
            </w:pPr>
            <w:r w:rsidRPr="00CB6628">
              <w:rPr>
                <w:rFonts w:ascii="Arial" w:eastAsia="Calibri" w:hAnsi="Arial" w:cs="Arial"/>
                <w:lang w:eastAsia="en-US"/>
              </w:rPr>
              <w:t>4 keltuvai</w:t>
            </w:r>
          </w:p>
        </w:tc>
      </w:tr>
      <w:tr w:rsidR="00CB6628" w:rsidRPr="00CB6628" w14:paraId="6F7E2981" w14:textId="77777777" w:rsidTr="00CB6628">
        <w:tc>
          <w:tcPr>
            <w:tcW w:w="992" w:type="dxa"/>
            <w:tcMar>
              <w:top w:w="0" w:type="dxa"/>
              <w:left w:w="108" w:type="dxa"/>
              <w:bottom w:w="0" w:type="dxa"/>
              <w:right w:w="108" w:type="dxa"/>
            </w:tcMar>
            <w:hideMark/>
          </w:tcPr>
          <w:p w14:paraId="70B21728" w14:textId="25A42795" w:rsidR="00CB6628" w:rsidRPr="00CB6628" w:rsidRDefault="00CB6628" w:rsidP="00CB6628">
            <w:pPr>
              <w:tabs>
                <w:tab w:val="left" w:pos="851"/>
              </w:tabs>
              <w:spacing w:after="0" w:line="240" w:lineRule="auto"/>
              <w:ind w:firstLine="567"/>
              <w:rPr>
                <w:rFonts w:ascii="Arial" w:eastAsia="Calibri" w:hAnsi="Arial" w:cs="Arial"/>
                <w:lang w:eastAsia="en-US"/>
              </w:rPr>
            </w:pPr>
            <w:r w:rsidRPr="00CB6628">
              <w:rPr>
                <w:rFonts w:ascii="Arial" w:eastAsia="Calibri" w:hAnsi="Arial" w:cs="Arial"/>
                <w:lang w:eastAsia="en-US"/>
              </w:rPr>
              <w:t>2</w:t>
            </w:r>
            <w:r>
              <w:rPr>
                <w:rFonts w:ascii="Arial" w:eastAsia="Calibri" w:hAnsi="Arial" w:cs="Arial"/>
                <w:lang w:eastAsia="en-US"/>
              </w:rPr>
              <w:t>.</w:t>
            </w:r>
          </w:p>
        </w:tc>
        <w:tc>
          <w:tcPr>
            <w:tcW w:w="6379" w:type="dxa"/>
            <w:tcMar>
              <w:top w:w="0" w:type="dxa"/>
              <w:left w:w="108" w:type="dxa"/>
              <w:bottom w:w="0" w:type="dxa"/>
              <w:right w:w="108" w:type="dxa"/>
            </w:tcMar>
            <w:vAlign w:val="center"/>
            <w:hideMark/>
          </w:tcPr>
          <w:p w14:paraId="7B2F52E9" w14:textId="77777777" w:rsidR="00CB6628" w:rsidRPr="00CB6628" w:rsidRDefault="00CB6628" w:rsidP="00CB6628">
            <w:pPr>
              <w:tabs>
                <w:tab w:val="left" w:pos="851"/>
              </w:tabs>
              <w:spacing w:after="0" w:line="240" w:lineRule="auto"/>
              <w:rPr>
                <w:rFonts w:ascii="Arial" w:eastAsia="Calibri" w:hAnsi="Arial" w:cs="Arial"/>
                <w:lang w:eastAsia="en-US"/>
              </w:rPr>
            </w:pPr>
            <w:r w:rsidRPr="00CB6628">
              <w:rPr>
                <w:rFonts w:ascii="Arial" w:eastAsia="Calibri" w:hAnsi="Arial" w:cs="Arial"/>
                <w:lang w:eastAsia="en-US"/>
              </w:rPr>
              <w:t>prie prekybos centro Maxima (Pilaitės pr. 31) Vimec E10HL</w:t>
            </w:r>
          </w:p>
        </w:tc>
        <w:tc>
          <w:tcPr>
            <w:tcW w:w="2126" w:type="dxa"/>
            <w:tcMar>
              <w:top w:w="0" w:type="dxa"/>
              <w:left w:w="108" w:type="dxa"/>
              <w:bottom w:w="0" w:type="dxa"/>
              <w:right w:w="108" w:type="dxa"/>
            </w:tcMar>
            <w:vAlign w:val="center"/>
            <w:hideMark/>
          </w:tcPr>
          <w:p w14:paraId="618CBEBC" w14:textId="77777777" w:rsidR="00CB6628" w:rsidRPr="00CB6628" w:rsidRDefault="00CB6628" w:rsidP="00CB6628">
            <w:pPr>
              <w:tabs>
                <w:tab w:val="left" w:pos="851"/>
              </w:tabs>
              <w:spacing w:after="0" w:line="240" w:lineRule="auto"/>
              <w:rPr>
                <w:rFonts w:ascii="Arial" w:eastAsia="Calibri" w:hAnsi="Arial" w:cs="Arial"/>
                <w:lang w:eastAsia="en-US"/>
              </w:rPr>
            </w:pPr>
            <w:r w:rsidRPr="00CB6628">
              <w:rPr>
                <w:rFonts w:ascii="Arial" w:eastAsia="Calibri" w:hAnsi="Arial" w:cs="Arial"/>
                <w:lang w:eastAsia="en-US"/>
              </w:rPr>
              <w:t>2 keltuvai</w:t>
            </w:r>
          </w:p>
        </w:tc>
      </w:tr>
      <w:tr w:rsidR="00CB6628" w:rsidRPr="00CB6628" w14:paraId="3DD4E8B3" w14:textId="77777777" w:rsidTr="00CB6628">
        <w:tc>
          <w:tcPr>
            <w:tcW w:w="992" w:type="dxa"/>
            <w:tcMar>
              <w:top w:w="0" w:type="dxa"/>
              <w:left w:w="108" w:type="dxa"/>
              <w:bottom w:w="0" w:type="dxa"/>
              <w:right w:w="108" w:type="dxa"/>
            </w:tcMar>
            <w:hideMark/>
          </w:tcPr>
          <w:p w14:paraId="560B39B1" w14:textId="258F336E" w:rsidR="00CB6628" w:rsidRPr="00CB6628" w:rsidRDefault="00CB6628" w:rsidP="00CB6628">
            <w:pPr>
              <w:tabs>
                <w:tab w:val="left" w:pos="851"/>
              </w:tabs>
              <w:spacing w:after="0" w:line="240" w:lineRule="auto"/>
              <w:ind w:firstLine="567"/>
              <w:rPr>
                <w:rFonts w:ascii="Arial" w:eastAsia="Calibri" w:hAnsi="Arial" w:cs="Arial"/>
                <w:lang w:eastAsia="en-US"/>
              </w:rPr>
            </w:pPr>
            <w:r w:rsidRPr="00CB6628">
              <w:rPr>
                <w:rFonts w:ascii="Arial" w:eastAsia="Calibri" w:hAnsi="Arial" w:cs="Arial"/>
                <w:lang w:eastAsia="en-US"/>
              </w:rPr>
              <w:t>3</w:t>
            </w:r>
            <w:r>
              <w:rPr>
                <w:rFonts w:ascii="Arial" w:eastAsia="Calibri" w:hAnsi="Arial" w:cs="Arial"/>
                <w:lang w:eastAsia="en-US"/>
              </w:rPr>
              <w:t>.</w:t>
            </w:r>
          </w:p>
        </w:tc>
        <w:tc>
          <w:tcPr>
            <w:tcW w:w="6379" w:type="dxa"/>
            <w:tcMar>
              <w:top w:w="0" w:type="dxa"/>
              <w:left w:w="108" w:type="dxa"/>
              <w:bottom w:w="0" w:type="dxa"/>
              <w:right w:w="108" w:type="dxa"/>
            </w:tcMar>
            <w:vAlign w:val="center"/>
            <w:hideMark/>
          </w:tcPr>
          <w:p w14:paraId="07B110A6" w14:textId="77777777" w:rsidR="00CB6628" w:rsidRPr="00CB6628" w:rsidRDefault="00CB6628" w:rsidP="00CB6628">
            <w:pPr>
              <w:tabs>
                <w:tab w:val="left" w:pos="851"/>
              </w:tabs>
              <w:spacing w:after="0" w:line="240" w:lineRule="auto"/>
              <w:rPr>
                <w:rFonts w:ascii="Arial" w:eastAsia="Calibri" w:hAnsi="Arial" w:cs="Arial"/>
                <w:lang w:eastAsia="en-US"/>
              </w:rPr>
            </w:pPr>
            <w:r w:rsidRPr="00CB6628">
              <w:rPr>
                <w:rFonts w:ascii="Arial" w:eastAsia="Calibri" w:hAnsi="Arial" w:cs="Arial"/>
                <w:lang w:eastAsia="en-US"/>
              </w:rPr>
              <w:t>prie Lietuvos vaikų ir jaunimo centro (Konstitucijos pr. 25) Barduva SB 200</w:t>
            </w:r>
          </w:p>
        </w:tc>
        <w:tc>
          <w:tcPr>
            <w:tcW w:w="2126" w:type="dxa"/>
            <w:tcMar>
              <w:top w:w="0" w:type="dxa"/>
              <w:left w:w="108" w:type="dxa"/>
              <w:bottom w:w="0" w:type="dxa"/>
              <w:right w:w="108" w:type="dxa"/>
            </w:tcMar>
            <w:vAlign w:val="center"/>
            <w:hideMark/>
          </w:tcPr>
          <w:p w14:paraId="2ED85F83" w14:textId="77777777" w:rsidR="00CB6628" w:rsidRPr="00CB6628" w:rsidRDefault="00CB6628" w:rsidP="00CB6628">
            <w:pPr>
              <w:tabs>
                <w:tab w:val="left" w:pos="851"/>
              </w:tabs>
              <w:spacing w:after="0" w:line="240" w:lineRule="auto"/>
              <w:rPr>
                <w:rFonts w:ascii="Arial" w:eastAsia="Calibri" w:hAnsi="Arial" w:cs="Arial"/>
                <w:lang w:eastAsia="en-US"/>
              </w:rPr>
            </w:pPr>
            <w:r w:rsidRPr="00CB6628">
              <w:rPr>
                <w:rFonts w:ascii="Arial" w:eastAsia="Calibri" w:hAnsi="Arial" w:cs="Arial"/>
                <w:lang w:eastAsia="en-US"/>
              </w:rPr>
              <w:t>2 keltuvai</w:t>
            </w:r>
          </w:p>
        </w:tc>
      </w:tr>
      <w:tr w:rsidR="00CB6628" w:rsidRPr="00CB6628" w14:paraId="20224F7F" w14:textId="77777777" w:rsidTr="00CB6628">
        <w:tc>
          <w:tcPr>
            <w:tcW w:w="992" w:type="dxa"/>
            <w:tcMar>
              <w:top w:w="0" w:type="dxa"/>
              <w:left w:w="108" w:type="dxa"/>
              <w:bottom w:w="0" w:type="dxa"/>
              <w:right w:w="108" w:type="dxa"/>
            </w:tcMar>
            <w:hideMark/>
          </w:tcPr>
          <w:p w14:paraId="2BEFF924" w14:textId="01B4D490" w:rsidR="00CB6628" w:rsidRPr="00CB6628" w:rsidRDefault="00CB6628" w:rsidP="00CB6628">
            <w:pPr>
              <w:tabs>
                <w:tab w:val="left" w:pos="851"/>
              </w:tabs>
              <w:spacing w:after="0" w:line="240" w:lineRule="auto"/>
              <w:ind w:firstLine="567"/>
              <w:rPr>
                <w:rFonts w:ascii="Arial" w:eastAsia="Calibri" w:hAnsi="Arial" w:cs="Arial"/>
                <w:lang w:eastAsia="en-US"/>
              </w:rPr>
            </w:pPr>
            <w:r w:rsidRPr="00CB6628">
              <w:rPr>
                <w:rFonts w:ascii="Arial" w:eastAsia="Calibri" w:hAnsi="Arial" w:cs="Arial"/>
                <w:lang w:eastAsia="en-US"/>
              </w:rPr>
              <w:t>4</w:t>
            </w:r>
            <w:r>
              <w:rPr>
                <w:rFonts w:ascii="Arial" w:eastAsia="Calibri" w:hAnsi="Arial" w:cs="Arial"/>
                <w:lang w:eastAsia="en-US"/>
              </w:rPr>
              <w:t>.</w:t>
            </w:r>
          </w:p>
        </w:tc>
        <w:tc>
          <w:tcPr>
            <w:tcW w:w="6379" w:type="dxa"/>
            <w:tcMar>
              <w:top w:w="0" w:type="dxa"/>
              <w:left w:w="108" w:type="dxa"/>
              <w:bottom w:w="0" w:type="dxa"/>
              <w:right w:w="108" w:type="dxa"/>
            </w:tcMar>
            <w:vAlign w:val="center"/>
            <w:hideMark/>
          </w:tcPr>
          <w:p w14:paraId="303592F3" w14:textId="77777777" w:rsidR="00CB6628" w:rsidRPr="00CB6628" w:rsidRDefault="00CB6628" w:rsidP="00CB6628">
            <w:pPr>
              <w:tabs>
                <w:tab w:val="left" w:pos="851"/>
              </w:tabs>
              <w:spacing w:after="0" w:line="240" w:lineRule="auto"/>
              <w:rPr>
                <w:rFonts w:ascii="Arial" w:eastAsia="Calibri" w:hAnsi="Arial" w:cs="Arial"/>
                <w:lang w:eastAsia="en-US"/>
              </w:rPr>
            </w:pPr>
            <w:r w:rsidRPr="00CB6628">
              <w:rPr>
                <w:rFonts w:ascii="Arial" w:eastAsia="Calibri" w:hAnsi="Arial" w:cs="Arial"/>
                <w:lang w:eastAsia="en-US"/>
              </w:rPr>
              <w:t>prie prekybos centro Lidl (Sausio 13 g. 3) Vimec E10</w:t>
            </w:r>
          </w:p>
        </w:tc>
        <w:tc>
          <w:tcPr>
            <w:tcW w:w="2126" w:type="dxa"/>
            <w:tcMar>
              <w:top w:w="0" w:type="dxa"/>
              <w:left w:w="108" w:type="dxa"/>
              <w:bottom w:w="0" w:type="dxa"/>
              <w:right w:w="108" w:type="dxa"/>
            </w:tcMar>
            <w:vAlign w:val="center"/>
            <w:hideMark/>
          </w:tcPr>
          <w:p w14:paraId="125348F3" w14:textId="77777777" w:rsidR="00CB6628" w:rsidRPr="00CB6628" w:rsidRDefault="00CB6628" w:rsidP="00CB6628">
            <w:pPr>
              <w:tabs>
                <w:tab w:val="left" w:pos="851"/>
              </w:tabs>
              <w:spacing w:after="0" w:line="240" w:lineRule="auto"/>
              <w:rPr>
                <w:rFonts w:ascii="Arial" w:eastAsia="Calibri" w:hAnsi="Arial" w:cs="Arial"/>
                <w:lang w:eastAsia="en-US"/>
              </w:rPr>
            </w:pPr>
            <w:r w:rsidRPr="00CB6628">
              <w:rPr>
                <w:rFonts w:ascii="Arial" w:eastAsia="Calibri" w:hAnsi="Arial" w:cs="Arial"/>
                <w:lang w:eastAsia="en-US"/>
              </w:rPr>
              <w:t>2 keltuvai</w:t>
            </w:r>
          </w:p>
        </w:tc>
      </w:tr>
      <w:tr w:rsidR="00CB6628" w:rsidRPr="00CB6628" w14:paraId="34AD463C" w14:textId="77777777" w:rsidTr="00CB6628">
        <w:tc>
          <w:tcPr>
            <w:tcW w:w="992" w:type="dxa"/>
            <w:tcMar>
              <w:top w:w="0" w:type="dxa"/>
              <w:left w:w="108" w:type="dxa"/>
              <w:bottom w:w="0" w:type="dxa"/>
              <w:right w:w="108" w:type="dxa"/>
            </w:tcMar>
            <w:hideMark/>
          </w:tcPr>
          <w:p w14:paraId="5F507DF9" w14:textId="114B4460" w:rsidR="00CB6628" w:rsidRPr="00CB6628" w:rsidRDefault="00CB6628" w:rsidP="00CB6628">
            <w:pPr>
              <w:tabs>
                <w:tab w:val="left" w:pos="851"/>
              </w:tabs>
              <w:spacing w:after="0" w:line="240" w:lineRule="auto"/>
              <w:ind w:firstLine="567"/>
              <w:rPr>
                <w:rFonts w:ascii="Arial" w:eastAsia="Calibri" w:hAnsi="Arial" w:cs="Arial"/>
                <w:lang w:eastAsia="en-US"/>
              </w:rPr>
            </w:pPr>
            <w:r w:rsidRPr="00CB6628">
              <w:rPr>
                <w:rFonts w:ascii="Arial" w:eastAsia="Calibri" w:hAnsi="Arial" w:cs="Arial"/>
                <w:lang w:eastAsia="en-US"/>
              </w:rPr>
              <w:t>5</w:t>
            </w:r>
            <w:r>
              <w:rPr>
                <w:rFonts w:ascii="Arial" w:eastAsia="Calibri" w:hAnsi="Arial" w:cs="Arial"/>
                <w:lang w:eastAsia="en-US"/>
              </w:rPr>
              <w:t>.</w:t>
            </w:r>
          </w:p>
        </w:tc>
        <w:tc>
          <w:tcPr>
            <w:tcW w:w="6379" w:type="dxa"/>
            <w:tcMar>
              <w:top w:w="0" w:type="dxa"/>
              <w:left w:w="108" w:type="dxa"/>
              <w:bottom w:w="0" w:type="dxa"/>
              <w:right w:w="108" w:type="dxa"/>
            </w:tcMar>
            <w:vAlign w:val="center"/>
            <w:hideMark/>
          </w:tcPr>
          <w:p w14:paraId="2DFD9432" w14:textId="77777777" w:rsidR="00CB6628" w:rsidRPr="00CB6628" w:rsidRDefault="00CB6628" w:rsidP="00CB6628">
            <w:pPr>
              <w:tabs>
                <w:tab w:val="left" w:pos="851"/>
              </w:tabs>
              <w:spacing w:after="0" w:line="240" w:lineRule="auto"/>
              <w:rPr>
                <w:rFonts w:ascii="Arial" w:eastAsia="Calibri" w:hAnsi="Arial" w:cs="Arial"/>
                <w:lang w:eastAsia="en-US"/>
              </w:rPr>
            </w:pPr>
            <w:r w:rsidRPr="00CB6628">
              <w:rPr>
                <w:rFonts w:ascii="Arial" w:eastAsia="Calibri" w:hAnsi="Arial" w:cs="Arial"/>
                <w:lang w:eastAsia="en-US"/>
              </w:rPr>
              <w:t>Mindaugo g. 12A (Aritco Public Access)</w:t>
            </w:r>
          </w:p>
        </w:tc>
        <w:tc>
          <w:tcPr>
            <w:tcW w:w="2126" w:type="dxa"/>
            <w:tcMar>
              <w:top w:w="0" w:type="dxa"/>
              <w:left w:w="108" w:type="dxa"/>
              <w:bottom w:w="0" w:type="dxa"/>
              <w:right w:w="108" w:type="dxa"/>
            </w:tcMar>
            <w:vAlign w:val="center"/>
            <w:hideMark/>
          </w:tcPr>
          <w:p w14:paraId="742B1ABA" w14:textId="77777777" w:rsidR="00CB6628" w:rsidRPr="00CB6628" w:rsidRDefault="00CB6628" w:rsidP="00CB6628">
            <w:pPr>
              <w:tabs>
                <w:tab w:val="left" w:pos="851"/>
              </w:tabs>
              <w:spacing w:after="0" w:line="240" w:lineRule="auto"/>
              <w:rPr>
                <w:rFonts w:ascii="Arial" w:eastAsia="Calibri" w:hAnsi="Arial" w:cs="Arial"/>
                <w:lang w:eastAsia="en-US"/>
              </w:rPr>
            </w:pPr>
            <w:r w:rsidRPr="00CB6628">
              <w:rPr>
                <w:rFonts w:ascii="Arial" w:eastAsia="Calibri" w:hAnsi="Arial" w:cs="Arial"/>
                <w:lang w:eastAsia="en-US"/>
              </w:rPr>
              <w:t>1 keltuvas</w:t>
            </w:r>
          </w:p>
        </w:tc>
      </w:tr>
      <w:tr w:rsidR="00CB6628" w:rsidRPr="00CB6628" w14:paraId="10057CBA" w14:textId="77777777" w:rsidTr="00CB6628">
        <w:tc>
          <w:tcPr>
            <w:tcW w:w="992" w:type="dxa"/>
            <w:tcMar>
              <w:top w:w="0" w:type="dxa"/>
              <w:left w:w="108" w:type="dxa"/>
              <w:bottom w:w="0" w:type="dxa"/>
              <w:right w:w="108" w:type="dxa"/>
            </w:tcMar>
            <w:hideMark/>
          </w:tcPr>
          <w:p w14:paraId="766C3E97" w14:textId="0F8AC2DD" w:rsidR="00CB6628" w:rsidRPr="00CB6628" w:rsidRDefault="00CB6628" w:rsidP="00CB6628">
            <w:pPr>
              <w:tabs>
                <w:tab w:val="left" w:pos="851"/>
              </w:tabs>
              <w:spacing w:after="0" w:line="240" w:lineRule="auto"/>
              <w:ind w:firstLine="567"/>
              <w:rPr>
                <w:rFonts w:ascii="Arial" w:eastAsia="Calibri" w:hAnsi="Arial" w:cs="Arial"/>
                <w:lang w:eastAsia="en-US"/>
              </w:rPr>
            </w:pPr>
            <w:r w:rsidRPr="00CB6628">
              <w:rPr>
                <w:rFonts w:ascii="Arial" w:eastAsia="Calibri" w:hAnsi="Arial" w:cs="Arial"/>
                <w:lang w:eastAsia="en-US"/>
              </w:rPr>
              <w:t>6</w:t>
            </w:r>
            <w:r>
              <w:rPr>
                <w:rFonts w:ascii="Arial" w:eastAsia="Calibri" w:hAnsi="Arial" w:cs="Arial"/>
                <w:lang w:eastAsia="en-US"/>
              </w:rPr>
              <w:t>.</w:t>
            </w:r>
          </w:p>
        </w:tc>
        <w:tc>
          <w:tcPr>
            <w:tcW w:w="6379" w:type="dxa"/>
            <w:tcMar>
              <w:top w:w="0" w:type="dxa"/>
              <w:left w:w="108" w:type="dxa"/>
              <w:bottom w:w="0" w:type="dxa"/>
              <w:right w:w="108" w:type="dxa"/>
            </w:tcMar>
            <w:vAlign w:val="center"/>
            <w:hideMark/>
          </w:tcPr>
          <w:p w14:paraId="31AA1C0B" w14:textId="258EE421" w:rsidR="00CB6628" w:rsidRPr="00CB6628" w:rsidRDefault="00CB6628" w:rsidP="00CB6628">
            <w:pPr>
              <w:tabs>
                <w:tab w:val="left" w:pos="851"/>
              </w:tabs>
              <w:spacing w:after="0" w:line="240" w:lineRule="auto"/>
              <w:rPr>
                <w:rFonts w:ascii="Arial" w:eastAsia="Calibri" w:hAnsi="Arial" w:cs="Arial"/>
                <w:lang w:eastAsia="en-US"/>
              </w:rPr>
            </w:pPr>
            <w:r w:rsidRPr="00CB6628">
              <w:rPr>
                <w:rFonts w:ascii="Arial" w:eastAsia="Calibri" w:hAnsi="Arial" w:cs="Arial"/>
                <w:lang w:eastAsia="en-US"/>
              </w:rPr>
              <w:t>prie prekybos centro</w:t>
            </w:r>
            <w:r>
              <w:rPr>
                <w:rFonts w:ascii="Arial" w:eastAsia="Calibri" w:hAnsi="Arial" w:cs="Arial"/>
                <w:lang w:eastAsia="en-US"/>
              </w:rPr>
              <w:t xml:space="preserve"> „</w:t>
            </w:r>
            <w:r w:rsidRPr="00CB6628">
              <w:rPr>
                <w:rFonts w:ascii="Arial" w:eastAsia="Calibri" w:hAnsi="Arial" w:cs="Arial"/>
                <w:lang w:eastAsia="en-US"/>
              </w:rPr>
              <w:t>Vilnius Outlet</w:t>
            </w:r>
            <w:r>
              <w:rPr>
                <w:rFonts w:ascii="Arial" w:eastAsia="Calibri" w:hAnsi="Arial" w:cs="Arial"/>
                <w:lang w:eastAsia="en-US"/>
              </w:rPr>
              <w:t xml:space="preserve">“ </w:t>
            </w:r>
            <w:r w:rsidRPr="00CB6628">
              <w:rPr>
                <w:rFonts w:ascii="Arial" w:eastAsia="Calibri" w:hAnsi="Arial" w:cs="Arial"/>
                <w:lang w:eastAsia="en-US"/>
              </w:rPr>
              <w:t>Pilaitės pr. / Pociūno g. požeminė perėja Vimec E10</w:t>
            </w:r>
          </w:p>
        </w:tc>
        <w:tc>
          <w:tcPr>
            <w:tcW w:w="2126" w:type="dxa"/>
            <w:tcMar>
              <w:top w:w="0" w:type="dxa"/>
              <w:left w:w="108" w:type="dxa"/>
              <w:bottom w:w="0" w:type="dxa"/>
              <w:right w:w="108" w:type="dxa"/>
            </w:tcMar>
            <w:vAlign w:val="center"/>
            <w:hideMark/>
          </w:tcPr>
          <w:p w14:paraId="6602AF21" w14:textId="77777777" w:rsidR="00CB6628" w:rsidRPr="00CB6628" w:rsidRDefault="00CB6628" w:rsidP="00CB6628">
            <w:pPr>
              <w:tabs>
                <w:tab w:val="left" w:pos="851"/>
              </w:tabs>
              <w:spacing w:after="0" w:line="240" w:lineRule="auto"/>
              <w:rPr>
                <w:rFonts w:ascii="Arial" w:eastAsia="Calibri" w:hAnsi="Arial" w:cs="Arial"/>
                <w:lang w:eastAsia="en-US"/>
              </w:rPr>
            </w:pPr>
            <w:r w:rsidRPr="00CB6628">
              <w:rPr>
                <w:rFonts w:ascii="Arial" w:eastAsia="Calibri" w:hAnsi="Arial" w:cs="Arial"/>
                <w:lang w:eastAsia="en-US"/>
              </w:rPr>
              <w:t>4 keltuvai</w:t>
            </w:r>
          </w:p>
        </w:tc>
      </w:tr>
      <w:tr w:rsidR="00CB6628" w:rsidRPr="00CB6628" w14:paraId="570DB201" w14:textId="77777777" w:rsidTr="00CB6628">
        <w:tc>
          <w:tcPr>
            <w:tcW w:w="992" w:type="dxa"/>
            <w:tcMar>
              <w:top w:w="0" w:type="dxa"/>
              <w:left w:w="108" w:type="dxa"/>
              <w:bottom w:w="0" w:type="dxa"/>
              <w:right w:w="108" w:type="dxa"/>
            </w:tcMar>
            <w:hideMark/>
          </w:tcPr>
          <w:p w14:paraId="3D8EA916" w14:textId="5962544D" w:rsidR="00CB6628" w:rsidRPr="00CB6628" w:rsidRDefault="00CB6628" w:rsidP="00CB6628">
            <w:pPr>
              <w:tabs>
                <w:tab w:val="left" w:pos="851"/>
              </w:tabs>
              <w:spacing w:after="0" w:line="240" w:lineRule="auto"/>
              <w:ind w:firstLine="567"/>
              <w:rPr>
                <w:rFonts w:ascii="Arial" w:eastAsia="Calibri" w:hAnsi="Arial" w:cs="Arial"/>
                <w:lang w:eastAsia="en-US"/>
              </w:rPr>
            </w:pPr>
            <w:r w:rsidRPr="00CB6628">
              <w:rPr>
                <w:rFonts w:ascii="Arial" w:eastAsia="Calibri" w:hAnsi="Arial" w:cs="Arial"/>
                <w:lang w:eastAsia="en-US"/>
              </w:rPr>
              <w:t>7</w:t>
            </w:r>
            <w:r>
              <w:rPr>
                <w:rFonts w:ascii="Arial" w:eastAsia="Calibri" w:hAnsi="Arial" w:cs="Arial"/>
                <w:lang w:eastAsia="en-US"/>
              </w:rPr>
              <w:t>.</w:t>
            </w:r>
          </w:p>
        </w:tc>
        <w:tc>
          <w:tcPr>
            <w:tcW w:w="6379" w:type="dxa"/>
            <w:tcMar>
              <w:top w:w="0" w:type="dxa"/>
              <w:left w:w="108" w:type="dxa"/>
              <w:bottom w:w="0" w:type="dxa"/>
              <w:right w:w="108" w:type="dxa"/>
            </w:tcMar>
            <w:vAlign w:val="center"/>
          </w:tcPr>
          <w:p w14:paraId="24F98FB4" w14:textId="77777777" w:rsidR="00CB6628" w:rsidRPr="00CB6628" w:rsidRDefault="00CB6628" w:rsidP="00CB6628">
            <w:pPr>
              <w:tabs>
                <w:tab w:val="left" w:pos="851"/>
              </w:tabs>
              <w:spacing w:after="0" w:line="240" w:lineRule="auto"/>
              <w:rPr>
                <w:rFonts w:ascii="Arial" w:eastAsia="Calibri" w:hAnsi="Arial" w:cs="Arial"/>
                <w:lang w:eastAsia="en-US"/>
              </w:rPr>
            </w:pPr>
            <w:r w:rsidRPr="00CB6628">
              <w:rPr>
                <w:rFonts w:ascii="Arial" w:eastAsia="Calibri" w:hAnsi="Arial" w:cs="Arial"/>
                <w:lang w:eastAsia="en-US"/>
              </w:rPr>
              <w:t>prie prekybos ir verslo centro Europa (Konstitucijos pr. 7A) MAC-PUAR S.A., KONE</w:t>
            </w:r>
          </w:p>
        </w:tc>
        <w:tc>
          <w:tcPr>
            <w:tcW w:w="2126" w:type="dxa"/>
            <w:tcMar>
              <w:top w:w="0" w:type="dxa"/>
              <w:left w:w="108" w:type="dxa"/>
              <w:bottom w:w="0" w:type="dxa"/>
              <w:right w:w="108" w:type="dxa"/>
            </w:tcMar>
            <w:vAlign w:val="center"/>
          </w:tcPr>
          <w:p w14:paraId="150AB6A6" w14:textId="77777777" w:rsidR="00CB6628" w:rsidRPr="00CB6628" w:rsidRDefault="00CB6628" w:rsidP="00CB6628">
            <w:pPr>
              <w:tabs>
                <w:tab w:val="left" w:pos="851"/>
              </w:tabs>
              <w:spacing w:after="0" w:line="240" w:lineRule="auto"/>
              <w:rPr>
                <w:rFonts w:ascii="Arial" w:eastAsia="Calibri" w:hAnsi="Arial" w:cs="Arial"/>
                <w:lang w:eastAsia="en-US"/>
              </w:rPr>
            </w:pPr>
            <w:r w:rsidRPr="00CB6628">
              <w:rPr>
                <w:rFonts w:ascii="Arial" w:eastAsia="Calibri" w:hAnsi="Arial" w:cs="Arial"/>
                <w:lang w:eastAsia="en-US"/>
              </w:rPr>
              <w:t>2 liftai</w:t>
            </w:r>
          </w:p>
        </w:tc>
      </w:tr>
      <w:tr w:rsidR="00CB6628" w:rsidRPr="00CB6628" w14:paraId="25EC7117" w14:textId="77777777" w:rsidTr="00CB6628">
        <w:tc>
          <w:tcPr>
            <w:tcW w:w="7371" w:type="dxa"/>
            <w:gridSpan w:val="2"/>
            <w:tcMar>
              <w:top w:w="0" w:type="dxa"/>
              <w:left w:w="108" w:type="dxa"/>
              <w:bottom w:w="0" w:type="dxa"/>
              <w:right w:w="108" w:type="dxa"/>
            </w:tcMar>
            <w:vAlign w:val="center"/>
            <w:hideMark/>
          </w:tcPr>
          <w:p w14:paraId="4372B6F1" w14:textId="77777777" w:rsidR="00CB6628" w:rsidRPr="00CB6628" w:rsidRDefault="00CB6628" w:rsidP="00CB6628">
            <w:pPr>
              <w:tabs>
                <w:tab w:val="left" w:pos="851"/>
              </w:tabs>
              <w:spacing w:after="0" w:line="240" w:lineRule="auto"/>
              <w:ind w:firstLine="567"/>
              <w:jc w:val="right"/>
              <w:rPr>
                <w:rFonts w:ascii="Arial" w:eastAsia="Calibri" w:hAnsi="Arial" w:cs="Arial"/>
                <w:b/>
                <w:bCs/>
                <w:lang w:eastAsia="en-US"/>
              </w:rPr>
            </w:pPr>
            <w:r w:rsidRPr="00CB6628">
              <w:rPr>
                <w:rFonts w:ascii="Arial" w:eastAsia="Calibri" w:hAnsi="Arial" w:cs="Arial"/>
                <w:b/>
                <w:bCs/>
                <w:lang w:eastAsia="en-US"/>
              </w:rPr>
              <w:t>IŠ VISO:</w:t>
            </w:r>
          </w:p>
        </w:tc>
        <w:tc>
          <w:tcPr>
            <w:tcW w:w="2126" w:type="dxa"/>
            <w:tcMar>
              <w:top w:w="0" w:type="dxa"/>
              <w:left w:w="108" w:type="dxa"/>
              <w:bottom w:w="0" w:type="dxa"/>
              <w:right w:w="108" w:type="dxa"/>
            </w:tcMar>
            <w:vAlign w:val="center"/>
            <w:hideMark/>
          </w:tcPr>
          <w:p w14:paraId="2E12E51E" w14:textId="5013A9D8" w:rsidR="00CB6628" w:rsidRPr="00CB6628" w:rsidRDefault="00CB6628" w:rsidP="00CB6628">
            <w:pPr>
              <w:tabs>
                <w:tab w:val="left" w:pos="851"/>
              </w:tabs>
              <w:spacing w:after="0" w:line="240" w:lineRule="auto"/>
              <w:rPr>
                <w:rFonts w:ascii="Arial" w:eastAsia="Calibri" w:hAnsi="Arial" w:cs="Arial"/>
                <w:b/>
                <w:bCs/>
                <w:lang w:eastAsia="en-US"/>
              </w:rPr>
            </w:pPr>
            <w:r w:rsidRPr="00CB6628">
              <w:rPr>
                <w:rFonts w:ascii="Arial" w:eastAsia="Calibri" w:hAnsi="Arial" w:cs="Arial"/>
                <w:b/>
                <w:bCs/>
                <w:lang w:eastAsia="en-US"/>
              </w:rPr>
              <w:t>15 keltuvų /</w:t>
            </w:r>
            <w:r>
              <w:rPr>
                <w:rFonts w:ascii="Arial" w:eastAsia="Calibri" w:hAnsi="Arial" w:cs="Arial"/>
                <w:b/>
                <w:bCs/>
                <w:lang w:eastAsia="en-US"/>
              </w:rPr>
              <w:t xml:space="preserve"> </w:t>
            </w:r>
            <w:r w:rsidRPr="00CB6628">
              <w:rPr>
                <w:rFonts w:ascii="Arial" w:eastAsia="Calibri" w:hAnsi="Arial" w:cs="Arial"/>
                <w:b/>
                <w:bCs/>
                <w:lang w:eastAsia="en-US"/>
              </w:rPr>
              <w:t>2 liftai</w:t>
            </w:r>
          </w:p>
        </w:tc>
      </w:tr>
    </w:tbl>
    <w:p w14:paraId="7ABB33E0" w14:textId="77777777" w:rsidR="00CB6628" w:rsidRPr="00F86833" w:rsidRDefault="00CB6628" w:rsidP="00CB6628">
      <w:pPr>
        <w:tabs>
          <w:tab w:val="left" w:pos="851"/>
        </w:tabs>
        <w:spacing w:before="100" w:beforeAutospacing="1" w:after="0" w:line="240" w:lineRule="auto"/>
        <w:ind w:firstLine="567"/>
        <w:jc w:val="both"/>
        <w:rPr>
          <w:rFonts w:ascii="Arial" w:hAnsi="Arial" w:cs="Arial"/>
        </w:rPr>
      </w:pPr>
      <w:r w:rsidRPr="00F86833">
        <w:rPr>
          <w:rFonts w:ascii="Arial" w:hAnsi="Arial" w:cs="Arial"/>
          <w:bCs/>
          <w:sz w:val="24"/>
          <w:szCs w:val="24"/>
        </w:rPr>
        <w:t>3.</w:t>
      </w:r>
      <w:r w:rsidRPr="00F86833">
        <w:rPr>
          <w:rFonts w:ascii="Arial" w:hAnsi="Arial" w:cs="Arial"/>
          <w:sz w:val="24"/>
          <w:szCs w:val="24"/>
        </w:rPr>
        <w:t xml:space="preserve"> Perkančioji organizacija suteiks Paslaugų teikėjui visas galimybes apžiūrėti turimą Įrangą jų įrengimo vietoje, kad Paslaugų teikėjas galėtų tinkamai atlikti jų techninę apžiūrą ir įsivertinti eksploatacinius kaštus. Tokia galimybė Paslaugų teikėjui bus suteikiama prieš pateikiant savo pasiūlymą.</w:t>
      </w:r>
    </w:p>
    <w:p w14:paraId="7AC2253D" w14:textId="4D1FC2D5" w:rsidR="00CB6628" w:rsidRPr="00F86833" w:rsidRDefault="00CB6628" w:rsidP="00CB6628">
      <w:pPr>
        <w:tabs>
          <w:tab w:val="left" w:pos="851"/>
        </w:tabs>
        <w:spacing w:after="0" w:line="240" w:lineRule="auto"/>
        <w:ind w:firstLine="567"/>
        <w:jc w:val="both"/>
        <w:rPr>
          <w:rFonts w:ascii="Arial" w:hAnsi="Arial" w:cs="Arial"/>
        </w:rPr>
      </w:pPr>
      <w:r w:rsidRPr="00F86833">
        <w:rPr>
          <w:rFonts w:ascii="Arial" w:hAnsi="Arial" w:cs="Arial"/>
          <w:bCs/>
          <w:sz w:val="24"/>
          <w:szCs w:val="24"/>
        </w:rPr>
        <w:t>4.</w:t>
      </w:r>
      <w:r w:rsidRPr="00F86833">
        <w:rPr>
          <w:rFonts w:ascii="Arial" w:hAnsi="Arial" w:cs="Arial"/>
          <w:sz w:val="24"/>
          <w:szCs w:val="24"/>
        </w:rPr>
        <w:t xml:space="preserve"> Paslaugų teikimo terminai: 36 mėnesiai nuo Sutarties įsigaliojimo dienos. Paslaugų teikėjas, teikdamas savo pasiūlymą paslaugų teikimo terminui, į bendrą pasiūlymo kainą turi įskaičiuoti visas galimas išlaidas ir visus mokesčius, į kuriuos įeina: pastovi Įrangos priežiūra visą Sutarties galiojimo laikotarpį, Įrangos paruošimas įgaliotos įstaigos atliekamiems techninės būklės patikrinimams, bandymams ir įvertinimui (po Įrangos modifikacijos, avarijos  arba remonto), taip pat detalės, elementai bei eksploatacinės medžiagos, reikalingos saugiam ir nepertraukiamam Įrangos darbui, jų pristatymo, keitimo kaštai ir visi kiti mokesčiai. Paslaugų bus perkama ne didesnei kaip</w:t>
      </w:r>
      <w:r>
        <w:rPr>
          <w:rFonts w:ascii="Arial" w:hAnsi="Arial" w:cs="Arial"/>
          <w:sz w:val="24"/>
          <w:szCs w:val="24"/>
        </w:rPr>
        <w:t xml:space="preserve"> </w:t>
      </w:r>
      <w:r>
        <w:rPr>
          <w:rFonts w:ascii="Arial" w:hAnsi="Arial" w:cs="Arial"/>
          <w:sz w:val="24"/>
          <w:szCs w:val="24"/>
        </w:rPr>
        <w:br/>
      </w:r>
      <w:r w:rsidRPr="00CB6628">
        <w:rPr>
          <w:rFonts w:ascii="Arial" w:hAnsi="Arial" w:cs="Arial"/>
          <w:sz w:val="24"/>
          <w:szCs w:val="24"/>
        </w:rPr>
        <w:t>302</w:t>
      </w:r>
      <w:r w:rsidR="007D0375">
        <w:rPr>
          <w:rFonts w:ascii="Arial" w:hAnsi="Arial" w:cs="Arial"/>
          <w:sz w:val="24"/>
          <w:szCs w:val="24"/>
        </w:rPr>
        <w:t xml:space="preserve"> 5</w:t>
      </w:r>
      <w:r w:rsidRPr="00CB6628">
        <w:rPr>
          <w:rFonts w:ascii="Arial" w:hAnsi="Arial" w:cs="Arial"/>
          <w:sz w:val="24"/>
          <w:szCs w:val="24"/>
        </w:rPr>
        <w:t>00</w:t>
      </w:r>
      <w:r>
        <w:rPr>
          <w:rFonts w:ascii="Arial" w:hAnsi="Arial" w:cs="Arial"/>
          <w:sz w:val="24"/>
          <w:szCs w:val="24"/>
        </w:rPr>
        <w:t>,</w:t>
      </w:r>
      <w:r w:rsidRPr="00CB6628">
        <w:rPr>
          <w:rFonts w:ascii="Arial" w:hAnsi="Arial" w:cs="Arial"/>
          <w:sz w:val="24"/>
          <w:szCs w:val="24"/>
        </w:rPr>
        <w:t>00</w:t>
      </w:r>
      <w:r>
        <w:rPr>
          <w:rFonts w:ascii="Arial" w:hAnsi="Arial" w:cs="Arial"/>
          <w:sz w:val="24"/>
          <w:szCs w:val="24"/>
        </w:rPr>
        <w:t xml:space="preserve"> </w:t>
      </w:r>
      <w:r w:rsidRPr="00F86833">
        <w:rPr>
          <w:rFonts w:ascii="Arial" w:hAnsi="Arial" w:cs="Arial"/>
          <w:sz w:val="24"/>
          <w:szCs w:val="24"/>
        </w:rPr>
        <w:t>Eur, įskaitant visus mokesčius, sumai.</w:t>
      </w:r>
    </w:p>
    <w:p w14:paraId="051B8196" w14:textId="77777777" w:rsidR="00CB6628" w:rsidRPr="00F86833" w:rsidRDefault="00CB6628" w:rsidP="00CB6628">
      <w:pPr>
        <w:tabs>
          <w:tab w:val="left" w:pos="851"/>
        </w:tabs>
        <w:spacing w:after="0" w:line="240" w:lineRule="auto"/>
        <w:ind w:firstLine="567"/>
        <w:jc w:val="both"/>
        <w:rPr>
          <w:rFonts w:ascii="Arial" w:hAnsi="Arial" w:cs="Arial"/>
          <w:b/>
          <w:sz w:val="24"/>
          <w:szCs w:val="24"/>
        </w:rPr>
      </w:pPr>
      <w:r w:rsidRPr="00F86833">
        <w:rPr>
          <w:rFonts w:ascii="Arial" w:hAnsi="Arial" w:cs="Arial"/>
          <w:b/>
          <w:sz w:val="24"/>
          <w:szCs w:val="24"/>
        </w:rPr>
        <w:t xml:space="preserve">5. Paslaugų teikėjas vykdydamas sutartį privalo: </w:t>
      </w:r>
    </w:p>
    <w:p w14:paraId="0B4704AD" w14:textId="77777777" w:rsidR="00CB6628" w:rsidRPr="00F86833"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t>5.1. užtikrinti nuolatinį avarinės tarnybos budėjimą, aprūpinant jį būtinais darbo įrankiais, reikalingomis ryšio bei transporto priemonėmis;</w:t>
      </w:r>
    </w:p>
    <w:p w14:paraId="3E8B28A1" w14:textId="77777777" w:rsidR="00CB6628" w:rsidRPr="00F86833"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t>5.2. organizuoti ir vykdyti Įrangos nuolatinę techninę priežiūrą kartą per mėnesį, esant poreikiui ir dažniau, ir atsižvelgiant į Įrangos paskirtį, išdėstymą bei konstrukcines galimybes, atlikti smulkų jos remontą;</w:t>
      </w:r>
    </w:p>
    <w:p w14:paraId="7BA282C6" w14:textId="77777777" w:rsidR="00CB6628" w:rsidRPr="00F86833" w:rsidRDefault="00CB6628" w:rsidP="00CB6628">
      <w:pPr>
        <w:tabs>
          <w:tab w:val="left" w:pos="851"/>
        </w:tabs>
        <w:spacing w:after="0" w:line="240" w:lineRule="auto"/>
        <w:ind w:firstLine="567"/>
        <w:jc w:val="both"/>
        <w:rPr>
          <w:rFonts w:ascii="Arial" w:hAnsi="Arial" w:cs="Arial"/>
        </w:rPr>
      </w:pPr>
      <w:r w:rsidRPr="00F86833">
        <w:rPr>
          <w:rFonts w:ascii="Arial" w:hAnsi="Arial" w:cs="Arial"/>
          <w:sz w:val="24"/>
          <w:szCs w:val="24"/>
        </w:rPr>
        <w:t>5.3. patikrinti ar elektriniai aparatai valdymo spintoje atitinka schemą ir yra tinkamai sutvarkyti;</w:t>
      </w:r>
    </w:p>
    <w:p w14:paraId="247FE16A" w14:textId="77777777" w:rsidR="00CB6628" w:rsidRPr="00F86833"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t>5.4. patikrinti ar nepažeistos įžeminimo grandinės mašinų patalpoje, šachtoje, ar varžos atitinka norminiuose teisės aktuose nurodytus dydžius ir ar yra varžų matavimo protokolai;</w:t>
      </w:r>
    </w:p>
    <w:p w14:paraId="58F7602B" w14:textId="77777777" w:rsidR="00CB6628" w:rsidRPr="00F86833"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lastRenderedPageBreak/>
        <w:t>5.5. patikrinti kabinos sustojimo tikslumą, šachtos ir kabinos durų spynas ir jas sureguliuoti;</w:t>
      </w:r>
    </w:p>
    <w:p w14:paraId="25314876" w14:textId="77777777" w:rsidR="00CB6628" w:rsidRPr="00F86833"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t>5.6. patikrinti ar tinkamai veikia stabdžiai, jeigu reikia, juos sureguliuoti;</w:t>
      </w:r>
    </w:p>
    <w:p w14:paraId="6EB58D7D" w14:textId="77777777" w:rsidR="00CB6628" w:rsidRPr="00F86833"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t>5.7. patikrinti Įrangos valdymo ir signalizacijos aparatų tvarkingumą, jeigu reikia, Įrangą atitinkamai sutvarkyti;</w:t>
      </w:r>
    </w:p>
    <w:p w14:paraId="4601DE35" w14:textId="77777777" w:rsidR="00CB6628" w:rsidRPr="00F86833"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t>5.8. patikrinti Įrangos suktuvą, skridinius, lynus, Įrangos kreipiančiąsias, jų įtvirtinimą, esant poreikiui juos sutvarkyti;</w:t>
      </w:r>
    </w:p>
    <w:p w14:paraId="50B68360" w14:textId="77777777" w:rsidR="00CB6628" w:rsidRPr="00F86833"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t>5.9. patikrinti konstrukcinių mazgų tepimą priklausomai nuo Įrangos apkrovimo, esant poreikiui konstrukcinius mazgus sutepti;</w:t>
      </w:r>
    </w:p>
    <w:p w14:paraId="04DAD7D7" w14:textId="77777777" w:rsidR="00CB6628" w:rsidRPr="00F86833"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t>5.10. patikrinti tepalų lygį reduktoriuose, tepalinėse, esant poreikiui juos papildyti. Paslaugų teikėjas užtikrina nemokamą bei tinkamą senos pakeistos alyvos ir senų tepalų utilizavimą;</w:t>
      </w:r>
    </w:p>
    <w:p w14:paraId="5A96FE0A" w14:textId="77777777" w:rsidR="00CB6628" w:rsidRPr="00F86833"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t>5.11. pakeisti susidėvėjusias Įrangos saugios eksploatacijos užtikrinimui reikalingas smulkias detales;</w:t>
      </w:r>
    </w:p>
    <w:p w14:paraId="6D9CA28B" w14:textId="77777777" w:rsidR="00CB6628" w:rsidRPr="00F86833"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t>5.12. atlikti Įrangos konstrukcinių mazgų valymą nuo įrenginiams būdingų nešvarumų, valyti šiukšles iš Įrangos (mašinų) patalpos, kabinos stogo bei šachtos duobės;</w:t>
      </w:r>
    </w:p>
    <w:p w14:paraId="2D149154" w14:textId="77777777" w:rsidR="00CB6628" w:rsidRPr="00F86833"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t>5.13. atlikti reikalingus Įrangos metalinių konstrukcijų (detalių) apsaugos nuo korozijos darbus;</w:t>
      </w:r>
    </w:p>
    <w:p w14:paraId="09180D79" w14:textId="77777777" w:rsidR="00CB6628" w:rsidRPr="00F86833"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t>5.14. pakeisti pažeistus ar sugedusius apšvietimo įtaisus;</w:t>
      </w:r>
    </w:p>
    <w:p w14:paraId="7AC99925" w14:textId="77777777" w:rsidR="00CB6628" w:rsidRPr="00F86833"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t>5.15. atlikti kitus (nepaminėtus) Įrangos gamintojų pateiktose priežiūros instrukcijose, galiojančiose teisės aktuose ir normatyviniuose dokumentuose priežiūros ir aptarnavimo darbus, reikalingus užtikrinti saugų Įrangos naudojimą (eksploataciją);</w:t>
      </w:r>
    </w:p>
    <w:p w14:paraId="23051781" w14:textId="77777777" w:rsidR="00CB6628" w:rsidRPr="00F86833" w:rsidRDefault="00CB6628" w:rsidP="00CB6628">
      <w:pPr>
        <w:tabs>
          <w:tab w:val="left" w:pos="851"/>
        </w:tabs>
        <w:spacing w:after="0" w:line="240" w:lineRule="auto"/>
        <w:ind w:firstLine="567"/>
        <w:jc w:val="both"/>
        <w:rPr>
          <w:rFonts w:ascii="Arial" w:hAnsi="Arial" w:cs="Arial"/>
        </w:rPr>
      </w:pPr>
      <w:r w:rsidRPr="00F86833">
        <w:rPr>
          <w:rFonts w:ascii="Arial" w:hAnsi="Arial" w:cs="Arial"/>
          <w:sz w:val="24"/>
          <w:szCs w:val="24"/>
        </w:rPr>
        <w:t>5.16. atlikti Įrangos technines apžiūras kiekvieną mėnesį bei galimas papildomas technines apžiūras pagal Perkančiosios organizacijos pateiktas pastabas ir užsakymus (informacijos pateikimo telefonu). Techninio patikrinimo metu pastebėtus smulkius gedimus (perdega apšvietimas, įsijungia avarinis stabdis, perdega varža ir pan.) ar avarijas (kai nukrenta liftas ar keltuvas, kurio metu sužeidžiami žmonės) Paslaugų teikėjas turi pašalinti nedelsiant, tą pačią darbo dieną, tačiau ne ilgiau kaip per 24 valandas. Smulkių gedimų pašalinimo ir avarijų likvidavimo darbus Paslaugų teikėjas turi įsiskaičiuoti į mėnesinę Įrangos priežiūros ir remonto kainą;</w:t>
      </w:r>
    </w:p>
    <w:p w14:paraId="15637B78" w14:textId="77777777" w:rsidR="00CB6628" w:rsidRPr="00F86833"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t>5.17. Įrangos remonto darbus Paslaugų teikėjas atlieka naudodamas savo detales, gaminius ir medžiagas, kurių kainą iš anksto suderina su Perkančiąja organizacija, pateikiant dalių atitinkančių Įrangos gamintojo rekomenduojamų medžiagų ir dalių tikrumą bei kainą įrodančius dokumentus;</w:t>
      </w:r>
    </w:p>
    <w:p w14:paraId="248468A3" w14:textId="77777777" w:rsidR="00CB6628" w:rsidRPr="00F86833"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t>5.18. kiekvieną mėnesį Perkančiajai organizacijai pateikti ataskaitas apie faktiškai atliktus Įrangos remonto darbus;</w:t>
      </w:r>
    </w:p>
    <w:p w14:paraId="06AEF7FB" w14:textId="77777777" w:rsidR="00CB6628" w:rsidRPr="00F86833"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t>5.19. paruošti Įrangą kasmetiniams įgaliotos įstaigos atliekamiems techninės būklės patikrinimams, taip pat ir po Įrangos modifikacijos, avarijos arba remonto;</w:t>
      </w:r>
    </w:p>
    <w:p w14:paraId="016C0598" w14:textId="77777777" w:rsidR="00CB6628" w:rsidRPr="00F86833"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t xml:space="preserve">5.20. </w:t>
      </w:r>
      <w:r w:rsidRPr="00F86833">
        <w:rPr>
          <w:rFonts w:ascii="Arial" w:hAnsi="Arial" w:cs="Arial"/>
          <w:sz w:val="24"/>
          <w:szCs w:val="24"/>
        </w:rPr>
        <w:tab/>
        <w:t>išsikviesti įgaliotos įstaigos ekspertą Įrangos patikrinimui ir išbandymui saugaus Įrangos darbui demonstruoti, apiforminti ir pateikti būtiną techninę dokumentaciją;</w:t>
      </w:r>
    </w:p>
    <w:p w14:paraId="281F4E8B" w14:textId="77777777" w:rsidR="00CB6628" w:rsidRPr="00F86833"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t xml:space="preserve">5.21. </w:t>
      </w:r>
      <w:r w:rsidRPr="00F86833">
        <w:rPr>
          <w:rFonts w:ascii="Arial" w:hAnsi="Arial" w:cs="Arial"/>
          <w:sz w:val="24"/>
          <w:szCs w:val="24"/>
        </w:rPr>
        <w:tab/>
        <w:t>sustabdyti (išjungti) Įrangą, kai įgaliotas įstaigos ekspertas, atlikdamas Įrangos techninės būklės vertinimą, nustato, kad Įranga netinkama saugiai naudoti, kelia pavojų žmonių sveikatai, gyvybei, turtui arba gali įvykti avarija;</w:t>
      </w:r>
    </w:p>
    <w:p w14:paraId="5414F86C" w14:textId="77777777" w:rsidR="00CB6628" w:rsidRPr="00F86833"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t>5.22.</w:t>
      </w:r>
      <w:r w:rsidRPr="00F86833">
        <w:rPr>
          <w:rFonts w:ascii="Arial" w:hAnsi="Arial" w:cs="Arial"/>
          <w:sz w:val="24"/>
          <w:szCs w:val="24"/>
        </w:rPr>
        <w:tab/>
        <w:t>užtikrinti saugaus darbo, gaisrinės saugos bei elektrosaugos reikalavimų laikymąsi darbo vietoje ir nedelsiant informuoti Perkančiąją organizaciją apie žinomus arba įtariamus pavojus saugiam darbui;</w:t>
      </w:r>
    </w:p>
    <w:p w14:paraId="438B28FA" w14:textId="77777777" w:rsidR="00CB6628" w:rsidRPr="00F86833"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t xml:space="preserve">5.23. </w:t>
      </w:r>
      <w:r w:rsidRPr="00F86833">
        <w:rPr>
          <w:rFonts w:ascii="Arial" w:hAnsi="Arial" w:cs="Arial"/>
          <w:sz w:val="24"/>
          <w:szCs w:val="24"/>
        </w:rPr>
        <w:tab/>
        <w:t>užstrigusius žmones lifte arba keltuve turi išlaisvinti kaip įmanoma per trumpesnį laiko tarpą, bet ne ilgiau kaip per 1 (vieną) valandą nuo iškvietimo įregistravimo momento avarinėje tarnyboje;</w:t>
      </w:r>
    </w:p>
    <w:p w14:paraId="4CAFE9F8" w14:textId="77777777" w:rsidR="00CB6628" w:rsidRPr="00F86833"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lastRenderedPageBreak/>
        <w:t xml:space="preserve">5.24. </w:t>
      </w:r>
      <w:r w:rsidRPr="00F86833">
        <w:rPr>
          <w:rFonts w:ascii="Arial" w:hAnsi="Arial" w:cs="Arial"/>
          <w:sz w:val="24"/>
          <w:szCs w:val="24"/>
        </w:rPr>
        <w:tab/>
        <w:t>Paslaugų teikėjas atsako ir kompensuoja nuostolius, patirtus dėl įvykių eksploatuojant Įrangą sutarties galiojimo metu (per 36 mėnesius), jeigu tai įvyko dėl Paslaugų teikėjo kaltės;</w:t>
      </w:r>
    </w:p>
    <w:p w14:paraId="13AF9F32" w14:textId="77777777" w:rsidR="00CB6628" w:rsidRPr="00F86833"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t>5.25.</w:t>
      </w:r>
      <w:r w:rsidRPr="00F86833">
        <w:rPr>
          <w:rFonts w:ascii="Arial" w:hAnsi="Arial" w:cs="Arial"/>
          <w:sz w:val="24"/>
          <w:szCs w:val="24"/>
        </w:rPr>
        <w:tab/>
        <w:t xml:space="preserve">turėti visą parą, visomis savaitės dienomis veikiančią tarnybą, užtikrinančią pastovų Įrangos stebėjimą apsauginėmis vaizdo kameromis kiekvienos Įrangos viduje ir išorėje, užtikrinant galimų gedimų ar avarijų nustatymą bei vandalizmo atveju apsaugos specialisto išsiuntimą prie Įrangos. Paslaugų teikėjas prieš pradėdamas teikti Įrangos priežiūros paslaugas, sutarties vykdymui turi sumontuoti savo turimas apsaugines vaizdo kameras, kadangi tai yra Paslaugų teikėjo atsakomybė. Apsauginių vaizdo kamerų sumontavimas ir stebėjimas turi būti įskaičiuotas į mėnesinę Įrangos priežiūrą. Paslaugų teikėjas vaizdo kamerų įrašus turi saugoti ne trumpiau kaip 1 (vieną) mėn. ir pagal Perkančiosios organizacijos prašymą – pateikti vaizdo įrašus peržiūrai. </w:t>
      </w:r>
    </w:p>
    <w:p w14:paraId="537AFB4F" w14:textId="77777777" w:rsidR="00CB6628" w:rsidRPr="00F86833"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t>5.26 kartą per savaitę atlikti Įrangos vidaus kabinų drėgną valymą panaudojant spec. dezinfekuojančias priemones. Surinkti ir išvežti šiukšles, jei jų yra kabinose.</w:t>
      </w:r>
    </w:p>
    <w:p w14:paraId="3007DDBE" w14:textId="77777777" w:rsidR="00CB6628" w:rsidRPr="00F86833"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t>5.27 esant poreikiui, pagal atskirą užsakymą, atlikti Įrangos vidaus kabinų specialųjį valymą dėl biologininės kilmės teršalų.</w:t>
      </w:r>
    </w:p>
    <w:p w14:paraId="38D285E9" w14:textId="77777777" w:rsidR="00CB6628" w:rsidRPr="0041782C" w:rsidRDefault="00CB6628" w:rsidP="00CB6628">
      <w:pPr>
        <w:tabs>
          <w:tab w:val="left" w:pos="851"/>
        </w:tabs>
        <w:spacing w:after="0" w:line="240" w:lineRule="auto"/>
        <w:ind w:firstLine="567"/>
        <w:jc w:val="both"/>
        <w:rPr>
          <w:rFonts w:ascii="Arial" w:hAnsi="Arial" w:cs="Arial"/>
          <w:sz w:val="24"/>
          <w:szCs w:val="24"/>
        </w:rPr>
      </w:pPr>
      <w:r w:rsidRPr="00F86833">
        <w:rPr>
          <w:rFonts w:ascii="Arial" w:hAnsi="Arial" w:cs="Arial"/>
          <w:sz w:val="24"/>
          <w:szCs w:val="24"/>
        </w:rPr>
        <w:t xml:space="preserve">6.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iki pasiūlymų pateikimo termino pabaigos kartu su </w:t>
      </w:r>
      <w:r w:rsidRPr="0041782C">
        <w:rPr>
          <w:rFonts w:ascii="Arial" w:hAnsi="Arial" w:cs="Arial"/>
          <w:sz w:val="24"/>
          <w:szCs w:val="24"/>
        </w:rPr>
        <w:t>pasiūlymu turi būti pateikti lygiavertiškumą įrodantys dokumentai.</w:t>
      </w:r>
    </w:p>
    <w:p w14:paraId="1606EC51" w14:textId="53EB0E80" w:rsidR="00172E23" w:rsidRPr="00F86833" w:rsidRDefault="00172E23" w:rsidP="00CB6628">
      <w:pPr>
        <w:tabs>
          <w:tab w:val="left" w:pos="851"/>
        </w:tabs>
        <w:spacing w:after="0" w:line="240" w:lineRule="auto"/>
        <w:ind w:firstLine="567"/>
        <w:jc w:val="both"/>
        <w:rPr>
          <w:rFonts w:ascii="Arial" w:hAnsi="Arial" w:cs="Arial"/>
          <w:sz w:val="24"/>
          <w:szCs w:val="24"/>
        </w:rPr>
      </w:pPr>
      <w:r w:rsidRPr="0041782C">
        <w:rPr>
          <w:rFonts w:ascii="Arial" w:hAnsi="Arial" w:cs="Arial"/>
          <w:sz w:val="24"/>
          <w:szCs w:val="24"/>
        </w:rPr>
        <w:t xml:space="preserve">7. </w:t>
      </w:r>
      <w:bookmarkStart w:id="0" w:name="_Hlk221541056"/>
      <w:r w:rsidRPr="0041782C">
        <w:rPr>
          <w:rFonts w:ascii="Arial" w:hAnsi="Arial" w:cs="Arial"/>
          <w:sz w:val="24"/>
          <w:szCs w:val="24"/>
        </w:rPr>
        <w:t>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w:t>
      </w:r>
      <w:r w:rsidRPr="00172E23">
        <w:rPr>
          <w:rFonts w:ascii="Arial" w:hAnsi="Arial" w:cs="Arial"/>
          <w:sz w:val="24"/>
          <w:szCs w:val="24"/>
        </w:rPr>
        <w:t xml:space="preserve">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4.3 punktu. Reikalavimas nustatytas pirkimo dokumentų </w:t>
      </w:r>
      <w:r>
        <w:rPr>
          <w:rFonts w:ascii="Arial" w:hAnsi="Arial" w:cs="Arial"/>
          <w:sz w:val="24"/>
          <w:szCs w:val="24"/>
        </w:rPr>
        <w:t>priedo lentelėje</w:t>
      </w:r>
      <w:r w:rsidRPr="00172E23">
        <w:rPr>
          <w:rFonts w:ascii="Arial" w:hAnsi="Arial" w:cs="Arial"/>
          <w:sz w:val="24"/>
          <w:szCs w:val="24"/>
        </w:rPr>
        <w:t xml:space="preserve"> „Reikalaujami kokybės vadybos sistemos ir (arba) aplinkos apsaugos vadybos sistemos standartai“</w:t>
      </w:r>
      <w:r>
        <w:rPr>
          <w:rFonts w:ascii="Arial" w:hAnsi="Arial" w:cs="Arial"/>
          <w:sz w:val="24"/>
          <w:szCs w:val="24"/>
        </w:rPr>
        <w:t>.</w:t>
      </w:r>
      <w:bookmarkEnd w:id="0"/>
    </w:p>
    <w:p w14:paraId="7F6804D9" w14:textId="77777777" w:rsidR="00CB6628" w:rsidRPr="00F86833" w:rsidRDefault="00CB6628" w:rsidP="00CB6628">
      <w:pPr>
        <w:tabs>
          <w:tab w:val="left" w:pos="851"/>
        </w:tabs>
        <w:spacing w:after="0" w:line="240" w:lineRule="auto"/>
        <w:ind w:firstLine="567"/>
        <w:jc w:val="both"/>
        <w:rPr>
          <w:rFonts w:ascii="Arial" w:eastAsia="Times New Roman" w:hAnsi="Arial" w:cs="Arial"/>
          <w:sz w:val="24"/>
          <w:szCs w:val="20"/>
          <w:lang w:eastAsia="en-US"/>
        </w:rPr>
      </w:pPr>
    </w:p>
    <w:p w14:paraId="548EE46E" w14:textId="77777777" w:rsidR="00CB6628" w:rsidRPr="00F86833" w:rsidRDefault="00CB6628" w:rsidP="00CB6628">
      <w:pPr>
        <w:tabs>
          <w:tab w:val="left" w:pos="851"/>
        </w:tabs>
        <w:spacing w:after="0" w:line="240" w:lineRule="auto"/>
        <w:ind w:firstLine="567"/>
        <w:jc w:val="both"/>
        <w:rPr>
          <w:rFonts w:ascii="Arial" w:eastAsia="Times New Roman" w:hAnsi="Arial" w:cs="Arial"/>
          <w:sz w:val="24"/>
          <w:szCs w:val="20"/>
          <w:lang w:eastAsia="en-US"/>
        </w:rPr>
      </w:pPr>
    </w:p>
    <w:p w14:paraId="08DE2382" w14:textId="77777777" w:rsidR="00CB6628" w:rsidRPr="00F86833" w:rsidRDefault="00CB6628" w:rsidP="00CB6628">
      <w:pPr>
        <w:tabs>
          <w:tab w:val="left" w:pos="851"/>
        </w:tabs>
        <w:spacing w:after="0" w:line="240" w:lineRule="auto"/>
        <w:ind w:firstLine="567"/>
        <w:jc w:val="both"/>
        <w:rPr>
          <w:rFonts w:ascii="Arial" w:eastAsia="Times New Roman" w:hAnsi="Arial" w:cs="Arial"/>
          <w:sz w:val="24"/>
          <w:szCs w:val="20"/>
          <w:lang w:eastAsia="en-US"/>
        </w:rPr>
      </w:pPr>
    </w:p>
    <w:p w14:paraId="4D04FA02" w14:textId="77777777" w:rsidR="00CB6628" w:rsidRPr="00F86833" w:rsidRDefault="00CB6628" w:rsidP="00CB6628">
      <w:pPr>
        <w:tabs>
          <w:tab w:val="left" w:pos="851"/>
        </w:tabs>
        <w:spacing w:after="0" w:line="240" w:lineRule="auto"/>
        <w:ind w:firstLine="567"/>
        <w:jc w:val="both"/>
        <w:rPr>
          <w:rFonts w:ascii="Arial" w:eastAsia="Times New Roman" w:hAnsi="Arial" w:cs="Arial"/>
          <w:sz w:val="24"/>
          <w:szCs w:val="20"/>
          <w:lang w:eastAsia="en-US"/>
        </w:rPr>
      </w:pPr>
    </w:p>
    <w:p w14:paraId="52F7F904" w14:textId="77777777" w:rsidR="00CB6628" w:rsidRPr="00F86833" w:rsidRDefault="00CB6628" w:rsidP="00CB6628">
      <w:pPr>
        <w:tabs>
          <w:tab w:val="left" w:pos="851"/>
        </w:tabs>
        <w:spacing w:after="0" w:line="240" w:lineRule="auto"/>
        <w:ind w:firstLine="567"/>
        <w:jc w:val="both"/>
        <w:rPr>
          <w:rFonts w:ascii="Arial" w:eastAsia="Times New Roman" w:hAnsi="Arial" w:cs="Arial"/>
          <w:sz w:val="24"/>
          <w:szCs w:val="20"/>
          <w:lang w:eastAsia="en-US"/>
        </w:rPr>
      </w:pPr>
    </w:p>
    <w:p w14:paraId="3419A87D" w14:textId="77777777" w:rsidR="00CB6628" w:rsidRDefault="00CB6628" w:rsidP="00CB6628">
      <w:pPr>
        <w:tabs>
          <w:tab w:val="left" w:pos="851"/>
        </w:tabs>
        <w:ind w:firstLine="567"/>
      </w:pPr>
    </w:p>
    <w:sectPr w:rsidR="00CB6628" w:rsidSect="00CB662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71D6E"/>
    <w:multiLevelType w:val="hybridMultilevel"/>
    <w:tmpl w:val="5D5E74B6"/>
    <w:lvl w:ilvl="0" w:tplc="DF96F6C2">
      <w:start w:val="1"/>
      <w:numFmt w:val="bullet"/>
      <w:lvlText w:val=""/>
      <w:lvlJc w:val="left"/>
      <w:pPr>
        <w:ind w:left="1440" w:hanging="360"/>
      </w:pPr>
      <w:rPr>
        <w:rFonts w:ascii="Symbol" w:hAnsi="Symbol" w:hint="default"/>
        <w:b w:val="0"/>
        <w:bCs w:val="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35BE0ADA"/>
    <w:multiLevelType w:val="multilevel"/>
    <w:tmpl w:val="7B6A0B9C"/>
    <w:lvl w:ilvl="0">
      <w:start w:val="1"/>
      <w:numFmt w:val="decimal"/>
      <w:lvlText w:val="%1."/>
      <w:lvlJc w:val="left"/>
      <w:pPr>
        <w:ind w:left="1080" w:hanging="360"/>
      </w:pPr>
      <w:rPr>
        <w:b w:val="0"/>
        <w:bCs/>
      </w:rPr>
    </w:lvl>
    <w:lvl w:ilvl="1">
      <w:start w:val="1"/>
      <w:numFmt w:val="decimal"/>
      <w:lvlText w:val="%1.%2"/>
      <w:lvlJc w:val="left"/>
      <w:pPr>
        <w:ind w:left="1070" w:hanging="360"/>
      </w:pPr>
      <w:rPr>
        <w:b/>
        <w:bCs/>
      </w:r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num w:numId="1" w16cid:durableId="1319336640">
    <w:abstractNumId w:val="1"/>
  </w:num>
  <w:num w:numId="2" w16cid:durableId="178168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28"/>
    <w:rsid w:val="000002B7"/>
    <w:rsid w:val="00116F69"/>
    <w:rsid w:val="00172E23"/>
    <w:rsid w:val="0041782C"/>
    <w:rsid w:val="00791D28"/>
    <w:rsid w:val="007D0375"/>
    <w:rsid w:val="00836D25"/>
    <w:rsid w:val="008B160A"/>
    <w:rsid w:val="00A14916"/>
    <w:rsid w:val="00A262F7"/>
    <w:rsid w:val="00AE25AE"/>
    <w:rsid w:val="00CB6628"/>
    <w:rsid w:val="00D5114B"/>
    <w:rsid w:val="00D6788D"/>
    <w:rsid w:val="00EF4E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C120"/>
  <w15:chartTrackingRefBased/>
  <w15:docId w15:val="{87A9E1A7-947F-4DCD-A725-7B9B5198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6628"/>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CB6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B6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B662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B662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B662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B662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B662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B662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B662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662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B662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B662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B662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B662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B662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662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662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662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B6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B66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662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B662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66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B6628"/>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uiPriority w:val="34"/>
    <w:qFormat/>
    <w:rsid w:val="00CB6628"/>
    <w:pPr>
      <w:ind w:left="720"/>
      <w:contextualSpacing/>
    </w:pPr>
  </w:style>
  <w:style w:type="character" w:styleId="Rykuspabraukimas">
    <w:name w:val="Intense Emphasis"/>
    <w:basedOn w:val="Numatytasispastraiposriftas"/>
    <w:uiPriority w:val="21"/>
    <w:qFormat/>
    <w:rsid w:val="00CB6628"/>
    <w:rPr>
      <w:i/>
      <w:iCs/>
      <w:color w:val="0F4761" w:themeColor="accent1" w:themeShade="BF"/>
    </w:rPr>
  </w:style>
  <w:style w:type="paragraph" w:styleId="Iskirtacitata">
    <w:name w:val="Intense Quote"/>
    <w:basedOn w:val="prastasis"/>
    <w:next w:val="prastasis"/>
    <w:link w:val="IskirtacitataDiagrama"/>
    <w:uiPriority w:val="30"/>
    <w:qFormat/>
    <w:rsid w:val="00CB6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B6628"/>
    <w:rPr>
      <w:i/>
      <w:iCs/>
      <w:color w:val="0F4761" w:themeColor="accent1" w:themeShade="BF"/>
    </w:rPr>
  </w:style>
  <w:style w:type="character" w:styleId="Rykinuoroda">
    <w:name w:val="Intense Reference"/>
    <w:basedOn w:val="Numatytasispastraiposriftas"/>
    <w:uiPriority w:val="32"/>
    <w:qFormat/>
    <w:rsid w:val="00CB6628"/>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rsid w:val="00CB6628"/>
  </w:style>
  <w:style w:type="character" w:styleId="Komentaronuoroda">
    <w:name w:val="annotation reference"/>
    <w:basedOn w:val="Numatytasispastraiposriftas"/>
    <w:uiPriority w:val="99"/>
    <w:semiHidden/>
    <w:unhideWhenUsed/>
    <w:rsid w:val="00CB6628"/>
    <w:rPr>
      <w:sz w:val="16"/>
      <w:szCs w:val="16"/>
    </w:rPr>
  </w:style>
  <w:style w:type="paragraph" w:styleId="Komentarotekstas">
    <w:name w:val="annotation text"/>
    <w:basedOn w:val="prastasis"/>
    <w:link w:val="KomentarotekstasDiagrama"/>
    <w:uiPriority w:val="99"/>
    <w:unhideWhenUsed/>
    <w:rsid w:val="00CB66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B6628"/>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CB6628"/>
    <w:rPr>
      <w:b/>
      <w:bCs/>
    </w:rPr>
  </w:style>
  <w:style w:type="character" w:customStyle="1" w:styleId="KomentarotemaDiagrama">
    <w:name w:val="Komentaro tema Diagrama"/>
    <w:basedOn w:val="KomentarotekstasDiagrama"/>
    <w:link w:val="Komentarotema"/>
    <w:uiPriority w:val="99"/>
    <w:semiHidden/>
    <w:rsid w:val="00CB6628"/>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43DBE9-C6B7-45C9-A5FB-5778BFE41C9A}"/>
</file>

<file path=customXml/itemProps2.xml><?xml version="1.0" encoding="utf-8"?>
<ds:datastoreItem xmlns:ds="http://schemas.openxmlformats.org/officeDocument/2006/customXml" ds:itemID="{7A9E4F59-6764-4DCE-AE8A-E510CC39E674}"/>
</file>

<file path=customXml/itemProps3.xml><?xml version="1.0" encoding="utf-8"?>
<ds:datastoreItem xmlns:ds="http://schemas.openxmlformats.org/officeDocument/2006/customXml" ds:itemID="{93343D56-003E-4047-AC87-B16D67EFFFA0}"/>
</file>

<file path=docProps/app.xml><?xml version="1.0" encoding="utf-8"?>
<Properties xmlns="http://schemas.openxmlformats.org/officeDocument/2006/extended-properties" xmlns:vt="http://schemas.openxmlformats.org/officeDocument/2006/docPropsVTypes">
  <Template>Normal</Template>
  <TotalTime>22</TotalTime>
  <Pages>3</Pages>
  <Words>5820</Words>
  <Characters>3318</Characters>
  <Application>Microsoft Office Word</Application>
  <DocSecurity>0</DocSecurity>
  <Lines>27</Lines>
  <Paragraphs>18</Paragraphs>
  <ScaleCrop>false</ScaleCrop>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Urbietė</dc:creator>
  <cp:keywords/>
  <dc:description/>
  <cp:lastModifiedBy>Marina Urbietė</cp:lastModifiedBy>
  <cp:revision>8</cp:revision>
  <dcterms:created xsi:type="dcterms:W3CDTF">2026-02-09T07:45:00Z</dcterms:created>
  <dcterms:modified xsi:type="dcterms:W3CDTF">2026-02-10T08:30:00Z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