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1EF0" w14:textId="77777777" w:rsidR="00F515A3" w:rsidRPr="000662DD" w:rsidRDefault="00F515A3" w:rsidP="00C768F3">
      <w:pPr>
        <w:ind w:left="1701"/>
      </w:pPr>
    </w:p>
    <w:p w14:paraId="55FCA16E" w14:textId="77777777" w:rsidR="00747FE3" w:rsidRPr="000662DD" w:rsidRDefault="00747FE3" w:rsidP="00C768F3">
      <w:pPr>
        <w:ind w:left="1701"/>
      </w:pPr>
    </w:p>
    <w:tbl>
      <w:tblPr>
        <w:tblpPr w:leftFromText="180" w:rightFromText="180" w:vertAnchor="text" w:horzAnchor="margin" w:tblpY="205"/>
        <w:tblW w:w="10490" w:type="dxa"/>
        <w:tblCellMar>
          <w:top w:w="85" w:type="dxa"/>
          <w:left w:w="0" w:type="dxa"/>
          <w:bottom w:w="85" w:type="dxa"/>
          <w:right w:w="0" w:type="dxa"/>
        </w:tblCellMar>
        <w:tblLook w:val="0000" w:firstRow="0" w:lastRow="0" w:firstColumn="0" w:lastColumn="0" w:noHBand="0" w:noVBand="0"/>
      </w:tblPr>
      <w:tblGrid>
        <w:gridCol w:w="4962"/>
        <w:gridCol w:w="567"/>
        <w:gridCol w:w="2268"/>
        <w:gridCol w:w="425"/>
        <w:gridCol w:w="2268"/>
      </w:tblGrid>
      <w:tr w:rsidR="00F06A59" w:rsidRPr="000662DD" w14:paraId="705873EE" w14:textId="77777777" w:rsidTr="00622455">
        <w:trPr>
          <w:cantSplit/>
          <w:trHeight w:val="189"/>
        </w:trPr>
        <w:tc>
          <w:tcPr>
            <w:tcW w:w="4962" w:type="dxa"/>
            <w:vMerge w:val="restart"/>
          </w:tcPr>
          <w:p w14:paraId="0D594ABE" w14:textId="2BC9E5D6" w:rsidR="00F06A59" w:rsidRPr="000662DD" w:rsidRDefault="00B53DBC" w:rsidP="005666A2">
            <w:pPr>
              <w:spacing w:after="200" w:line="240" w:lineRule="auto"/>
              <w:rPr>
                <w:szCs w:val="22"/>
                <w:lang w:val="lt-LT"/>
              </w:rPr>
            </w:pPr>
            <w:r w:rsidRPr="000662DD">
              <w:rPr>
                <w:szCs w:val="22"/>
                <w:lang w:val="lt-LT"/>
              </w:rPr>
              <w:t>Pirkimo dalyviams</w:t>
            </w:r>
          </w:p>
          <w:p w14:paraId="35951026" w14:textId="35709F60" w:rsidR="00F06A59" w:rsidRPr="000662DD" w:rsidRDefault="00B53DBC" w:rsidP="005666A2">
            <w:pPr>
              <w:spacing w:after="0" w:line="240" w:lineRule="auto"/>
              <w:rPr>
                <w:szCs w:val="22"/>
                <w:lang w:val="lt-LT"/>
              </w:rPr>
            </w:pPr>
            <w:r w:rsidRPr="000662DD">
              <w:rPr>
                <w:szCs w:val="22"/>
                <w:lang w:val="lt-LT"/>
              </w:rPr>
              <w:t>CVP IS priemonėmis</w:t>
            </w:r>
          </w:p>
          <w:p w14:paraId="32995354" w14:textId="77777777" w:rsidR="00F06A59" w:rsidRPr="000662DD" w:rsidRDefault="00F06A59" w:rsidP="005666A2">
            <w:pPr>
              <w:spacing w:after="0" w:line="240" w:lineRule="auto"/>
              <w:rPr>
                <w:szCs w:val="22"/>
              </w:rPr>
            </w:pPr>
          </w:p>
          <w:p w14:paraId="3F1E88F8" w14:textId="77777777" w:rsidR="00F06A59" w:rsidRPr="000662DD" w:rsidRDefault="00F06A59" w:rsidP="005666A2">
            <w:pPr>
              <w:spacing w:after="0" w:line="240" w:lineRule="auto"/>
              <w:rPr>
                <w:szCs w:val="22"/>
              </w:rPr>
            </w:pPr>
          </w:p>
          <w:p w14:paraId="11796890" w14:textId="77777777" w:rsidR="00F06A59" w:rsidRPr="000662DD" w:rsidRDefault="00F06A59" w:rsidP="005666A2">
            <w:pPr>
              <w:spacing w:after="0" w:line="240" w:lineRule="auto"/>
              <w:rPr>
                <w:szCs w:val="22"/>
              </w:rPr>
            </w:pPr>
          </w:p>
          <w:p w14:paraId="79AD2750" w14:textId="77777777" w:rsidR="00F06A59" w:rsidRPr="000662DD" w:rsidRDefault="00F06A59" w:rsidP="005666A2">
            <w:pPr>
              <w:spacing w:after="0" w:line="240" w:lineRule="auto"/>
              <w:rPr>
                <w:szCs w:val="22"/>
              </w:rPr>
            </w:pPr>
          </w:p>
        </w:tc>
        <w:tc>
          <w:tcPr>
            <w:tcW w:w="567" w:type="dxa"/>
            <w:vAlign w:val="center"/>
          </w:tcPr>
          <w:p w14:paraId="02CA2173" w14:textId="77777777" w:rsidR="00F06A59" w:rsidRPr="000662DD" w:rsidRDefault="00F06A59" w:rsidP="005666A2">
            <w:pPr>
              <w:spacing w:after="0" w:line="240" w:lineRule="auto"/>
              <w:jc w:val="center"/>
              <w:rPr>
                <w:szCs w:val="22"/>
              </w:rPr>
            </w:pPr>
          </w:p>
        </w:tc>
        <w:tc>
          <w:tcPr>
            <w:tcW w:w="2268" w:type="dxa"/>
            <w:tcBorders>
              <w:bottom w:val="single" w:sz="4" w:space="0" w:color="E8E8E8" w:themeColor="background2"/>
            </w:tcBorders>
            <w:vAlign w:val="center"/>
          </w:tcPr>
          <w:p w14:paraId="1F71F625" w14:textId="77777777" w:rsidR="00F06A59" w:rsidRPr="000662DD" w:rsidRDefault="00F06A59" w:rsidP="005666A2">
            <w:pPr>
              <w:spacing w:after="0" w:line="240" w:lineRule="auto"/>
              <w:rPr>
                <w:szCs w:val="22"/>
              </w:rPr>
            </w:pPr>
          </w:p>
        </w:tc>
        <w:tc>
          <w:tcPr>
            <w:tcW w:w="425" w:type="dxa"/>
            <w:vAlign w:val="center"/>
          </w:tcPr>
          <w:p w14:paraId="71FCBA37" w14:textId="77777777" w:rsidR="00F06A59" w:rsidRPr="000662DD" w:rsidRDefault="00F06A59" w:rsidP="005666A2">
            <w:pPr>
              <w:spacing w:after="0" w:line="240" w:lineRule="auto"/>
              <w:jc w:val="center"/>
              <w:rPr>
                <w:szCs w:val="22"/>
              </w:rPr>
            </w:pPr>
            <w:r w:rsidRPr="000662DD">
              <w:rPr>
                <w:szCs w:val="22"/>
              </w:rPr>
              <w:t>Nr.</w:t>
            </w:r>
          </w:p>
        </w:tc>
        <w:tc>
          <w:tcPr>
            <w:tcW w:w="2268" w:type="dxa"/>
            <w:tcBorders>
              <w:bottom w:val="single" w:sz="4" w:space="0" w:color="E8E8E8" w:themeColor="background2"/>
            </w:tcBorders>
            <w:vAlign w:val="center"/>
          </w:tcPr>
          <w:p w14:paraId="0780B97C" w14:textId="77777777" w:rsidR="00F06A59" w:rsidRPr="000662DD" w:rsidRDefault="00F06A59" w:rsidP="005666A2">
            <w:pPr>
              <w:spacing w:after="0" w:line="240" w:lineRule="auto"/>
              <w:rPr>
                <w:szCs w:val="22"/>
              </w:rPr>
            </w:pPr>
            <w:r w:rsidRPr="000662DD">
              <w:rPr>
                <w:rFonts w:cs="Arial"/>
                <w:szCs w:val="22"/>
                <w:lang w:val="lt-LT"/>
              </w:rPr>
              <w:t>ĮS-</w:t>
            </w:r>
          </w:p>
        </w:tc>
      </w:tr>
      <w:tr w:rsidR="00F06A59" w:rsidRPr="000662DD" w14:paraId="0F663D9A" w14:textId="77777777" w:rsidTr="00622455">
        <w:trPr>
          <w:cantSplit/>
          <w:trHeight w:val="312"/>
        </w:trPr>
        <w:tc>
          <w:tcPr>
            <w:tcW w:w="4962" w:type="dxa"/>
            <w:vMerge/>
            <w:vAlign w:val="center"/>
          </w:tcPr>
          <w:p w14:paraId="0C645FE9" w14:textId="77777777" w:rsidR="00F06A59" w:rsidRPr="000662DD" w:rsidRDefault="00F06A59" w:rsidP="005666A2">
            <w:pPr>
              <w:spacing w:after="0" w:line="240" w:lineRule="auto"/>
              <w:rPr>
                <w:szCs w:val="22"/>
              </w:rPr>
            </w:pPr>
          </w:p>
        </w:tc>
        <w:tc>
          <w:tcPr>
            <w:tcW w:w="567" w:type="dxa"/>
            <w:vAlign w:val="center"/>
          </w:tcPr>
          <w:p w14:paraId="01C0173C" w14:textId="77777777" w:rsidR="00F06A59" w:rsidRPr="000662DD" w:rsidRDefault="00F06A59" w:rsidP="005666A2">
            <w:pPr>
              <w:spacing w:after="0" w:line="240" w:lineRule="auto"/>
              <w:jc w:val="center"/>
              <w:rPr>
                <w:szCs w:val="22"/>
              </w:rPr>
            </w:pPr>
            <w:r w:rsidRPr="000662DD">
              <w:rPr>
                <w:szCs w:val="22"/>
              </w:rPr>
              <w:t>Į</w:t>
            </w:r>
          </w:p>
        </w:tc>
        <w:tc>
          <w:tcPr>
            <w:tcW w:w="2268" w:type="dxa"/>
            <w:tcBorders>
              <w:top w:val="single" w:sz="4" w:space="0" w:color="E8E8E8" w:themeColor="background2"/>
              <w:bottom w:val="single" w:sz="4" w:space="0" w:color="E8E8E8" w:themeColor="background2"/>
            </w:tcBorders>
            <w:vAlign w:val="center"/>
          </w:tcPr>
          <w:p w14:paraId="41480501" w14:textId="77777777" w:rsidR="00F06A59" w:rsidRPr="000662DD" w:rsidRDefault="00F06A59" w:rsidP="005666A2">
            <w:pPr>
              <w:spacing w:after="0" w:line="240" w:lineRule="auto"/>
              <w:rPr>
                <w:szCs w:val="22"/>
              </w:rPr>
            </w:pPr>
          </w:p>
        </w:tc>
        <w:tc>
          <w:tcPr>
            <w:tcW w:w="425" w:type="dxa"/>
            <w:vAlign w:val="center"/>
          </w:tcPr>
          <w:p w14:paraId="02F4D7A7" w14:textId="77777777" w:rsidR="00F06A59" w:rsidRPr="000662DD" w:rsidRDefault="00F06A59" w:rsidP="005666A2">
            <w:pPr>
              <w:spacing w:after="0" w:line="240" w:lineRule="auto"/>
              <w:jc w:val="center"/>
              <w:rPr>
                <w:szCs w:val="22"/>
              </w:rPr>
            </w:pPr>
            <w:r w:rsidRPr="000662DD">
              <w:rPr>
                <w:szCs w:val="22"/>
              </w:rPr>
              <w:t>Nr.</w:t>
            </w:r>
          </w:p>
        </w:tc>
        <w:tc>
          <w:tcPr>
            <w:tcW w:w="2268" w:type="dxa"/>
            <w:tcBorders>
              <w:top w:val="single" w:sz="4" w:space="0" w:color="E8E8E8" w:themeColor="background2"/>
              <w:bottom w:val="single" w:sz="4" w:space="0" w:color="E8E8E8" w:themeColor="background2"/>
            </w:tcBorders>
            <w:vAlign w:val="center"/>
          </w:tcPr>
          <w:p w14:paraId="0601D573" w14:textId="77777777" w:rsidR="00F06A59" w:rsidRPr="000662DD" w:rsidRDefault="00F06A59" w:rsidP="005666A2">
            <w:pPr>
              <w:spacing w:after="0" w:line="240" w:lineRule="auto"/>
              <w:rPr>
                <w:szCs w:val="22"/>
              </w:rPr>
            </w:pPr>
          </w:p>
        </w:tc>
      </w:tr>
      <w:tr w:rsidR="00F06A59" w:rsidRPr="000662DD" w14:paraId="3EE11D86" w14:textId="77777777" w:rsidTr="005666A2">
        <w:trPr>
          <w:cantSplit/>
          <w:trHeight w:val="20"/>
        </w:trPr>
        <w:tc>
          <w:tcPr>
            <w:tcW w:w="4962" w:type="dxa"/>
            <w:vMerge/>
            <w:vAlign w:val="center"/>
          </w:tcPr>
          <w:p w14:paraId="6055F67B" w14:textId="77777777" w:rsidR="00F06A59" w:rsidRPr="000662DD" w:rsidRDefault="00F06A59" w:rsidP="005666A2">
            <w:pPr>
              <w:spacing w:after="0" w:line="240" w:lineRule="auto"/>
              <w:rPr>
                <w:szCs w:val="22"/>
              </w:rPr>
            </w:pPr>
          </w:p>
        </w:tc>
        <w:tc>
          <w:tcPr>
            <w:tcW w:w="5528" w:type="dxa"/>
            <w:gridSpan w:val="4"/>
            <w:vAlign w:val="center"/>
          </w:tcPr>
          <w:p w14:paraId="5CDDAA74" w14:textId="77777777" w:rsidR="00F06A59" w:rsidRPr="000662DD" w:rsidRDefault="00F06A59" w:rsidP="005666A2">
            <w:pPr>
              <w:spacing w:after="0" w:line="240" w:lineRule="auto"/>
              <w:rPr>
                <w:szCs w:val="22"/>
              </w:rPr>
            </w:pPr>
          </w:p>
        </w:tc>
      </w:tr>
    </w:tbl>
    <w:p w14:paraId="0F2BC467" w14:textId="4631394F" w:rsidR="00F06A59" w:rsidRPr="000662DD" w:rsidRDefault="00F06A59" w:rsidP="00F06A59">
      <w:pPr>
        <w:rPr>
          <w:b/>
          <w:bCs/>
          <w:lang w:val="lt-LT"/>
        </w:rPr>
      </w:pPr>
      <w:r w:rsidRPr="000662DD">
        <w:rPr>
          <w:b/>
          <w:bCs/>
          <w:color w:val="000000" w:themeColor="text1"/>
          <w:lang w:val="lt-LT"/>
        </w:rPr>
        <w:t xml:space="preserve">DĖL </w:t>
      </w:r>
      <w:r w:rsidR="000662DD" w:rsidRPr="000662DD">
        <w:rPr>
          <w:b/>
          <w:bCs/>
          <w:color w:val="000000" w:themeColor="text1"/>
          <w:lang w:val="lt-LT"/>
        </w:rPr>
        <w:t>PIRKIMO DOKUMENTŲ PAAIŠKINIMO</w:t>
      </w:r>
    </w:p>
    <w:p w14:paraId="1D1A6DD3" w14:textId="77777777" w:rsidR="00F06A59" w:rsidRPr="000662DD" w:rsidRDefault="00F06A59" w:rsidP="00F06A59">
      <w:pPr>
        <w:spacing w:after="0" w:line="360" w:lineRule="auto"/>
        <w:ind w:firstLine="680"/>
        <w:jc w:val="both"/>
        <w:rPr>
          <w:lang w:val="lt-LT"/>
        </w:rPr>
      </w:pPr>
    </w:p>
    <w:p w14:paraId="5C6F14AD" w14:textId="6E5E9E85" w:rsidR="000662DD" w:rsidRPr="000662DD" w:rsidRDefault="000662DD" w:rsidP="000662DD">
      <w:pPr>
        <w:spacing w:after="0" w:line="360" w:lineRule="auto"/>
        <w:ind w:firstLine="1276"/>
        <w:jc w:val="both"/>
        <w:rPr>
          <w:rFonts w:cs="Arial"/>
          <w:color w:val="000000" w:themeColor="text1"/>
          <w:szCs w:val="22"/>
          <w:lang w:val="lt-LT"/>
        </w:rPr>
      </w:pPr>
      <w:r w:rsidRPr="000662DD">
        <w:rPr>
          <w:rFonts w:cs="Arial"/>
          <w:color w:val="000000" w:themeColor="text1"/>
          <w:szCs w:val="22"/>
          <w:lang w:val="lt-LT"/>
        </w:rPr>
        <w:t>Informuojame, kad supaprastinto pirkimo, „</w:t>
      </w:r>
      <w:r w:rsidRPr="000662DD">
        <w:rPr>
          <w:rStyle w:val="af3"/>
          <w:rFonts w:cs="Arial"/>
          <w:szCs w:val="22"/>
          <w:lang w:val="lt-LT"/>
        </w:rPr>
        <w:t>GPS</w:t>
      </w:r>
      <w:r w:rsidRPr="000662DD">
        <w:rPr>
          <w:rStyle w:val="af3"/>
          <w:rFonts w:cs="Arial"/>
          <w:b/>
          <w:bCs/>
          <w:szCs w:val="22"/>
          <w:lang w:val="lt-LT"/>
        </w:rPr>
        <w:t xml:space="preserve"> </w:t>
      </w:r>
      <w:r w:rsidRPr="000662DD">
        <w:rPr>
          <w:rStyle w:val="af3"/>
          <w:rFonts w:cs="Arial"/>
          <w:szCs w:val="22"/>
          <w:lang w:val="lt-LT"/>
        </w:rPr>
        <w:t>technologijomis veikiančios sistemos pagrindu transporto stebėjimo, kontrolės ir apskaitos paslaugų pirkimas</w:t>
      </w:r>
      <w:r w:rsidRPr="000662DD">
        <w:rPr>
          <w:rFonts w:cs="Arial"/>
          <w:szCs w:val="22"/>
          <w:lang w:val="lt-LT"/>
        </w:rPr>
        <w:t>“ ,</w:t>
      </w:r>
      <w:r w:rsidRPr="000662DD">
        <w:rPr>
          <w:rFonts w:cs="Arial"/>
          <w:color w:val="000000" w:themeColor="text1"/>
          <w:szCs w:val="22"/>
          <w:lang w:val="lt-LT"/>
        </w:rPr>
        <w:t xml:space="preserve"> vykdomo atviro konkurso būdu,</w:t>
      </w:r>
      <w:r w:rsidRPr="000662DD">
        <w:rPr>
          <w:rFonts w:cs="Arial"/>
          <w:szCs w:val="22"/>
          <w:lang w:val="lt-LT"/>
        </w:rPr>
        <w:t xml:space="preserve"> (pirkimo ID</w:t>
      </w:r>
      <w:r w:rsidRPr="000662DD">
        <w:rPr>
          <w:rFonts w:cs="Arial"/>
          <w:color w:val="00241A"/>
          <w:szCs w:val="22"/>
          <w:shd w:val="clear" w:color="auto" w:fill="FFFFFF"/>
          <w:lang w:val="lt-LT"/>
        </w:rPr>
        <w:t xml:space="preserve"> </w:t>
      </w:r>
      <w:r w:rsidRPr="000662DD">
        <w:rPr>
          <w:rFonts w:cs="Arial"/>
          <w:szCs w:val="22"/>
          <w:lang w:val="lt-LT"/>
        </w:rPr>
        <w:t xml:space="preserve">6440699, toliau – Pirkimas) </w:t>
      </w:r>
      <w:r w:rsidRPr="000662DD">
        <w:rPr>
          <w:rFonts w:cs="Arial"/>
          <w:color w:val="000000" w:themeColor="text1"/>
          <w:szCs w:val="22"/>
          <w:lang w:val="lt-LT"/>
        </w:rPr>
        <w:t>metu Centrinės viešųjų pirkimų informacinės sistemos priemonėmis gauti tiekėjų prašymai paaiškinti Pirkimo dokumentus.</w:t>
      </w:r>
    </w:p>
    <w:p w14:paraId="2C79109C" w14:textId="77777777" w:rsidR="000662DD" w:rsidRPr="000662DD" w:rsidRDefault="000662DD" w:rsidP="000662DD">
      <w:pPr>
        <w:spacing w:after="0" w:line="360" w:lineRule="auto"/>
        <w:ind w:firstLine="1276"/>
        <w:jc w:val="both"/>
        <w:rPr>
          <w:rFonts w:cs="Arial"/>
          <w:color w:val="000000" w:themeColor="text1"/>
          <w:szCs w:val="22"/>
          <w:lang w:val="lt-LT"/>
        </w:rPr>
      </w:pPr>
      <w:r w:rsidRPr="000662DD">
        <w:rPr>
          <w:rFonts w:cs="Arial"/>
          <w:color w:val="000000" w:themeColor="text1"/>
          <w:szCs w:val="22"/>
          <w:lang w:val="lt-LT"/>
        </w:rPr>
        <w:t xml:space="preserve">VĮ Ignalinos atominės elektrinės Viešųjų pirkimų komisija teikia atsakymą į pateiktus prašymus. </w:t>
      </w:r>
    </w:p>
    <w:p w14:paraId="3B7EE965" w14:textId="77777777" w:rsidR="000662DD" w:rsidRPr="000662DD" w:rsidRDefault="000662DD" w:rsidP="000662DD">
      <w:pPr>
        <w:spacing w:after="0" w:line="360" w:lineRule="auto"/>
        <w:ind w:firstLine="1276"/>
        <w:rPr>
          <w:rFonts w:cs="Arial"/>
          <w:bCs/>
          <w:szCs w:val="22"/>
          <w:lang w:val="lt-LT"/>
        </w:rPr>
      </w:pPr>
      <w:r w:rsidRPr="000662DD">
        <w:rPr>
          <w:rFonts w:cs="Arial"/>
          <w:color w:val="000000" w:themeColor="text1"/>
          <w:szCs w:val="22"/>
          <w:lang w:val="lt-LT"/>
        </w:rPr>
        <w:t xml:space="preserve">Prašymas Nr.1 (kalba netaisyta):  </w:t>
      </w:r>
    </w:p>
    <w:p w14:paraId="0ECC8E6D" w14:textId="77777777" w:rsidR="000662DD" w:rsidRPr="000662DD" w:rsidRDefault="000662DD" w:rsidP="000662DD">
      <w:pPr>
        <w:spacing w:after="0" w:line="360" w:lineRule="auto"/>
        <w:ind w:firstLine="1276"/>
        <w:jc w:val="both"/>
        <w:rPr>
          <w:rFonts w:cs="Arial"/>
          <w:bCs/>
          <w:szCs w:val="22"/>
          <w:lang w:val="lt-LT"/>
        </w:rPr>
      </w:pPr>
      <w:r w:rsidRPr="000662DD">
        <w:rPr>
          <w:rFonts w:cs="Arial"/>
          <w:bCs/>
          <w:szCs w:val="22"/>
          <w:lang w:val="lt-LT"/>
        </w:rPr>
        <w:t>„Pas Jus labai daug reikalvimų ir labai daug neapibrėžtumų. Norime smulkiai viską susidėlioti, kad po to nebūtų klausimų. Prašome skirkite pakankamai laiko detaliai atsakyti į klausimus. Kokia sistema Jūs vadovavotės?</w:t>
      </w:r>
    </w:p>
    <w:p w14:paraId="5880B10E" w14:textId="77777777" w:rsidR="000662DD" w:rsidRPr="000662DD" w:rsidRDefault="000662DD" w:rsidP="000662DD">
      <w:pPr>
        <w:spacing w:after="0" w:line="360" w:lineRule="auto"/>
        <w:ind w:firstLine="1276"/>
        <w:jc w:val="both"/>
        <w:rPr>
          <w:rFonts w:cs="Arial"/>
          <w:bCs/>
          <w:szCs w:val="22"/>
          <w:lang w:val="lt-LT"/>
        </w:rPr>
      </w:pPr>
      <w:r w:rsidRPr="000662DD">
        <w:rPr>
          <w:rFonts w:cs="Arial"/>
          <w:bCs/>
          <w:szCs w:val="22"/>
          <w:lang w:val="lt-LT"/>
        </w:rPr>
        <w:t>Pateikiame klausimus:</w:t>
      </w:r>
    </w:p>
    <w:p w14:paraId="5C154E89"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1. Gal galite apibrėžti kaip naudosite TS 3.5 punktą iš techinės specifikacijos. Ar yra numatytos kažkokios integracijos ir panašiai. Reikai detalių, kad tiekėjas tiksliai žinotų panaudojimo scenarijus, numatomos integracijų ir konsultacijų apimtys.</w:t>
      </w:r>
    </w:p>
    <w:p w14:paraId="3872BF8D"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2. Dėl T.S. 5.3 gal galite detalizuoti, pateikti pavyzdį, nes nesuprantame poreikio.</w:t>
      </w:r>
    </w:p>
    <w:p w14:paraId="252B5FA3"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3. Dėl T.S 8.3 gal galite pateikti pavyzdį kaip gali būti tokia ataskaita kur keli objektai ir kelios zonos vienu metu. Kazkoki paprasta pavyzdi,</w:t>
      </w:r>
    </w:p>
    <w:p w14:paraId="0C00BAC6"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4. Dėl 9.2 gal galite detaliuoti paie ką eina kalba?</w:t>
      </w:r>
    </w:p>
    <w:p w14:paraId="1309E725"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5. Dėl T.S 10.1.1.12 kokias degalines turima mintyje? </w:t>
      </w:r>
    </w:p>
    <w:p w14:paraId="7DF5262B"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6. Dėl 10.1.2. Maršrutų, teritorijų ataskaita; Ką ši ataskaita turi atvaizduoti? </w:t>
      </w:r>
    </w:p>
    <w:p w14:paraId="40C63482"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7. Dėl T.S 10 punkto. Čia kažkokia viena ataskaita, ar tai atskiros ataskaitos? </w:t>
      </w:r>
    </w:p>
    <w:p w14:paraId="0ED946DB"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7. Dėl T.S 10.1.3. Realaus laiko įvykių ataskaita; Kokie įvykiai Jus domina? </w:t>
      </w:r>
    </w:p>
    <w:p w14:paraId="407FFB0D"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8. Dėl T.S. 10.1.4. Vairavimo stiliaus ataskaitą; Prašome detaliuoti ką ši ataskaita turi surinkti? </w:t>
      </w:r>
    </w:p>
    <w:p w14:paraId="08CF041B"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9. Dėl T.S 10.1.5. Telemetriniai grafikai; Kas konkrečiai reikalinga? </w:t>
      </w:r>
    </w:p>
    <w:p w14:paraId="08DD463F"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10. Kokia sąsaja 12.3 su 8.3 kuo skiriasi, kodėl sudvigubinta? </w:t>
      </w:r>
    </w:p>
    <w:p w14:paraId="2BDC8879"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11. Dėl T.S. 13.2 apibrėžkite kaip reikia prisijungti prie ataskaitų? </w:t>
      </w:r>
    </w:p>
    <w:p w14:paraId="466C5C87"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12. Dėl T.S. 14.1 apibrėžkite tiksliau kaip turi atrodyti. </w:t>
      </w:r>
    </w:p>
    <w:p w14:paraId="46268753"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13. Dėl T.S. 15.1 reikia konkretumo kokios ataskaitos, kokie grafikai ir t.t.</w:t>
      </w:r>
    </w:p>
    <w:p w14:paraId="4F2264A7"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14. Dėl T.S 15.4, reikia realaus poreikio, labai abstraktu neina suprasti kas reikalinga. Prašome detaliau apibrėžti. </w:t>
      </w:r>
    </w:p>
    <w:p w14:paraId="757C2AEA"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15. Dėl T.S. 15.6 ataskaitos 10.1 apibrėžtos labai abstrakčiai, nėra ai6ku kaip jūs paduosite duomenų parametrus ir panašiai. Labai abstraktu, net neina suprasti poreikio. </w:t>
      </w:r>
    </w:p>
    <w:p w14:paraId="37874174"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16. Dėl T.S. 16.1 gal galite detalizuoti poreikį? </w:t>
      </w:r>
    </w:p>
    <w:p w14:paraId="5AE6CF16"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17. Dėl T.S. 16.3. Kodėl Jums reikalingi būtent tokie lustai? Neina suprasti, ar gali užsivesti ir skleisti signalą. Ar būtinai negali užsivesti. </w:t>
      </w:r>
    </w:p>
    <w:p w14:paraId="63A377ED"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18. Dėl nuotolinio atrakinimo ir blokavimo. Reikalingas transporto priemonių sąrašas. Markė, modelis, gamybos metai, kad įvertinti ar apskritai yra tokios galimybės. </w:t>
      </w:r>
    </w:p>
    <w:p w14:paraId="113C9F62"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 xml:space="preserve">19. Ar įsivertinote rizikas dėl užvedimo blokavimo? Pvz.: Važiuojant automobiliui dideliu greičiu, lenkime užgęsta variklis? Kiekviena intervencija turi riziką idomu kas ją prisiims. </w:t>
      </w:r>
    </w:p>
    <w:p w14:paraId="5DBB35BC"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20. Dėl T.S. 17.1 planuojate, kad su įrangomis kartu būtų statomas papildomas akumuliatorius? 21. Dėl T.S. Aprašykite galima numatomas integracijas</w:t>
      </w:r>
    </w:p>
    <w:p w14:paraId="720963E8"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22. Pateikite prašau sąrašą transporto priemonių markė, modelis, metai kam bus montuojamos kuro plūdės.</w:t>
      </w:r>
    </w:p>
    <w:p w14:paraId="6D4AA9B9" w14:textId="77777777" w:rsidR="000662DD" w:rsidRPr="000662DD" w:rsidRDefault="000662DD" w:rsidP="00681EF9">
      <w:pPr>
        <w:spacing w:after="0" w:line="360" w:lineRule="auto"/>
        <w:ind w:firstLine="1276"/>
        <w:jc w:val="both"/>
        <w:rPr>
          <w:rFonts w:cs="Arial"/>
          <w:bCs/>
          <w:szCs w:val="22"/>
          <w:lang w:val="lt-LT"/>
        </w:rPr>
      </w:pPr>
      <w:r w:rsidRPr="000662DD">
        <w:rPr>
          <w:rFonts w:cs="Arial"/>
          <w:bCs/>
          <w:szCs w:val="22"/>
          <w:lang w:val="lt-LT"/>
        </w:rPr>
        <w:t>Pradžiai būtų gerai gauti šitą informaciją. Nesame matę dar tokio sudėtingo pirkimo T.S rinkinio.Būtinai reikalinga išsamiai išsiaiškinti visą Jūsų poreikį labai detaliai, nemažai vietų kur net neegzistuoja sprendimai rinkoje.”</w:t>
      </w:r>
    </w:p>
    <w:p w14:paraId="645E1484" w14:textId="77777777" w:rsidR="000662DD" w:rsidRPr="000662DD" w:rsidRDefault="000662DD" w:rsidP="00681EF9">
      <w:pPr>
        <w:spacing w:after="0" w:line="360" w:lineRule="auto"/>
        <w:ind w:left="1276"/>
        <w:jc w:val="both"/>
        <w:rPr>
          <w:rFonts w:cs="Arial"/>
          <w:color w:val="000000" w:themeColor="text1"/>
          <w:szCs w:val="22"/>
          <w:lang w:val="lt-LT"/>
        </w:rPr>
      </w:pPr>
      <w:r w:rsidRPr="000662DD">
        <w:rPr>
          <w:rFonts w:cs="Arial"/>
          <w:color w:val="000000" w:themeColor="text1"/>
          <w:szCs w:val="22"/>
          <w:lang w:val="lt-LT"/>
        </w:rPr>
        <w:t xml:space="preserve">Atsakymas į prašymą: </w:t>
      </w:r>
    </w:p>
    <w:p w14:paraId="084604F7" w14:textId="77777777" w:rsidR="000662DD" w:rsidRPr="000662DD" w:rsidRDefault="000662DD" w:rsidP="007E6026">
      <w:pPr>
        <w:numPr>
          <w:ilvl w:val="0"/>
          <w:numId w:val="2"/>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 xml:space="preserve">Techninės specifikacijos (toliau – TS) 1 lentelės 3.5. punkte prašoma tiekėjo programinės įrangos API funkcinė galimybė įvesti duomenis iš Užsakovo sistemų. Prašoma universalios API sąsajos funkcija, kuri neapriboja konkrečių integracijų ir pagal Tiekėjo sąsajos aprašymą leidžia šiuos duomenis įkelti iš bet kokios kitos sistemos. </w:t>
      </w:r>
    </w:p>
    <w:p w14:paraId="0139389F" w14:textId="77777777" w:rsidR="000662DD" w:rsidRPr="000662DD" w:rsidRDefault="000662DD" w:rsidP="007E6026">
      <w:pPr>
        <w:pStyle w:val="a7"/>
        <w:numPr>
          <w:ilvl w:val="0"/>
          <w:numId w:val="2"/>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TS 1 lentelės 5.3 p. Sistema turi užtikrinti galimybę atlikti paiešką žemėlapyje pagal adresą ar vietos pavadinimą. Suradus pasirinktą tašką, sistema turi automatiškai apskaičiuoti ir pateikti maršrutą, atstumą iki taško bei prognozuojamą kelionės trukmę.</w:t>
      </w:r>
    </w:p>
    <w:p w14:paraId="0B3DEAC8" w14:textId="77777777" w:rsidR="000662DD" w:rsidRPr="000662DD" w:rsidRDefault="000662DD" w:rsidP="007E6026">
      <w:pPr>
        <w:pStyle w:val="a7"/>
        <w:numPr>
          <w:ilvl w:val="0"/>
          <w:numId w:val="2"/>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TS 1 lentelės 8.3 p. Ataskaitų formatai gali būti skirtingi, tačiau jos neturėtų būti apribotos tik vienos transporto priemonės funkcijomis. Pavyzdžiui, gali būti sudaroma ataskaita, kurioje pateikiamas penkių departamento automobilių apsilankymų dažnumas sistemoje apibrėžtose trijose geografinėse zonose, nurodant, kiek kartų kiekvienas automobilis apsilankė atitinkamoje zonoje. </w:t>
      </w:r>
    </w:p>
    <w:p w14:paraId="6164A4EA" w14:textId="77777777" w:rsidR="000662DD" w:rsidRPr="000662DD" w:rsidRDefault="000662DD" w:rsidP="007E6026">
      <w:pPr>
        <w:pStyle w:val="a7"/>
        <w:numPr>
          <w:ilvl w:val="0"/>
          <w:numId w:val="2"/>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TS 1 lentelės 9.2 p. Telemetriniai grafikai turi būti interaktyvūs. Peržiūrint istorinius duomenis (pavyzdžiui, grafike atvaizduojamus automobilio parametrus – greitį, variklio sūkius, įtampą), pažymėjus konkretų duomenų tašką grafike, turi būti pateikiama to parametro reikšmė su tikslia data ir laiku, o žemėlapyje – atvaizduojama automobilio buvimo vieta tuo momentu. </w:t>
      </w:r>
    </w:p>
    <w:p w14:paraId="6D179B6E" w14:textId="77777777" w:rsidR="000662DD" w:rsidRPr="000662DD" w:rsidRDefault="000662DD" w:rsidP="00E94271">
      <w:pPr>
        <w:pStyle w:val="a7"/>
        <w:numPr>
          <w:ilvl w:val="0"/>
          <w:numId w:val="2"/>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TS 1 lentelės 10.1.1.12 p. Degalinės gali keistis, degalų įpylimų importavimas turi būti universalus iš Lietuvos degalinių bei galimybė įkelti duomenis iš įmonės turimo degalų užpylimo punkto. </w:t>
      </w:r>
    </w:p>
    <w:p w14:paraId="3DB2BB34" w14:textId="77777777" w:rsidR="000662DD" w:rsidRPr="000662DD" w:rsidRDefault="000662DD" w:rsidP="00E94271">
      <w:pPr>
        <w:pStyle w:val="a7"/>
        <w:numPr>
          <w:ilvl w:val="0"/>
          <w:numId w:val="2"/>
        </w:numPr>
        <w:tabs>
          <w:tab w:val="left" w:pos="1276"/>
          <w:tab w:val="left" w:pos="1560"/>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10.1.2 p. Ataskaitoje atvaizduojami transporto priemonės įvykdyti maršrutai bei, jei yra, nurodomos naudotojo apibrėžtos geografinės zonos.</w:t>
      </w:r>
    </w:p>
    <w:p w14:paraId="0CC497A1" w14:textId="77777777" w:rsidR="000662DD" w:rsidRPr="000662DD" w:rsidRDefault="000662DD" w:rsidP="00E94271">
      <w:pPr>
        <w:pStyle w:val="a7"/>
        <w:numPr>
          <w:ilvl w:val="0"/>
          <w:numId w:val="2"/>
        </w:numPr>
        <w:tabs>
          <w:tab w:val="left" w:pos="1560"/>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Ataskaita gali būti viena, kurioje pasirenkami bet kokie norimi duomenys, arba skirtingos. Turi būti suformuojamos ataskaitos pagal TS 1 lentelės 10 punkte numatytus prašomus kriterijus.  </w:t>
      </w:r>
    </w:p>
    <w:p w14:paraId="6CF9B7E1" w14:textId="77777777" w:rsidR="000662DD" w:rsidRPr="000662DD" w:rsidRDefault="000662DD" w:rsidP="00E94271">
      <w:pPr>
        <w:pStyle w:val="a7"/>
        <w:numPr>
          <w:ilvl w:val="0"/>
          <w:numId w:val="2"/>
        </w:numPr>
        <w:tabs>
          <w:tab w:val="left" w:pos="1560"/>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10.1.3  p. Atsitikus nustatytam parametrų pasikeitimui, pavyzdžiui greitis, degalų lygio pokytis, akumuliatoriaus įtampa ar kita, ataskaita suformuojama ir sistemos naudotojai informuojami nedelsiant. </w:t>
      </w:r>
    </w:p>
    <w:p w14:paraId="43101C03" w14:textId="77777777" w:rsidR="000662DD" w:rsidRPr="000662DD" w:rsidRDefault="000662DD" w:rsidP="00E94271">
      <w:pPr>
        <w:pStyle w:val="a7"/>
        <w:numPr>
          <w:ilvl w:val="0"/>
          <w:numId w:val="2"/>
        </w:numPr>
        <w:tabs>
          <w:tab w:val="left" w:pos="1560"/>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10.1.4  p. Vairavimo stiliaus ataskaita turi parodyti vairuotojo vairavimo stilių, palyginimui su kitais. Duomenys stiliui gali būti vertinami pagal staigius pagreitėjimus ir stabdymus, posūkio įveikimo kampą ir laiką, degalų sąnaudų nuokrypį nuo nustatyto normatyvo. Palyginamoji informacija, vertinimo metodika gali būti nustatoma Tiekėjo sistemos arba leidžiama sukurti naudotojui. </w:t>
      </w:r>
    </w:p>
    <w:p w14:paraId="5C0F80DF"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10.1.5  p. Telemetrinių duomenų, pavyzdžiui greitis, variklio sūkiai, įtampa, degalų lygis ar kiti grafinis atvaizdavimas laike. </w:t>
      </w:r>
    </w:p>
    <w:p w14:paraId="59CFC66C"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8.3 p. ir 12.3  p. reikalavimas susidubliavo, todėl 12.3 p. naikinamas.</w:t>
      </w:r>
    </w:p>
    <w:p w14:paraId="12FC0E28"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13.2 p. prašoma ataskaita, kuri sistemos administratoriui leistų pamatyti kitų naudotojų sugeneruotas ataskaitas. </w:t>
      </w:r>
    </w:p>
    <w:p w14:paraId="6AB7BDBD"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14.1 p. Gali būti atvaizduojama lentelės formatu, parodant transporto priemonių užimtumo laiką, duomenis grupuojant pagal transporto priemones ir/arba pagal vairuotojus, nustatytame periode.  </w:t>
      </w:r>
    </w:p>
    <w:p w14:paraId="25F6F81E"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15.1 p.</w:t>
      </w:r>
      <w:r w:rsidRPr="000662DD">
        <w:rPr>
          <w:rFonts w:cs="Arial"/>
          <w:color w:val="000000"/>
          <w:szCs w:val="22"/>
          <w:shd w:val="clear" w:color="auto" w:fill="FFFFFF"/>
          <w:lang w:val="lt-LT"/>
        </w:rPr>
        <w:t xml:space="preserve"> </w:t>
      </w:r>
      <w:r w:rsidRPr="000662DD">
        <w:rPr>
          <w:rFonts w:cs="Arial"/>
          <w:color w:val="000000" w:themeColor="text1"/>
          <w:szCs w:val="22"/>
          <w:lang w:val="lt-LT"/>
        </w:rPr>
        <w:t>Visų ataskaitų duomenys turi būti atvaizduojami lentelėse arba grafiškai, jei yra – konkrečiai ataskaitai reikalavimai nurodyti TS atitinkamo punkto lentelėje prie tos ataskaitos sąlygų. </w:t>
      </w:r>
    </w:p>
    <w:p w14:paraId="0E99656D"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15.4 p. Konfigūruojami ataskaitų stulpelių nustatymai, pasirenkant atvaizduojamų duomenų kiekį. </w:t>
      </w:r>
    </w:p>
    <w:p w14:paraId="2DD4C7DD"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15.6 p. nurodyta, jog reikalinga ataskaitų prenumerata – t.y. vartotojas gali iš anksto nustatyti, kurias iš 10.1 punkte nustatytų ataskaitų nori gauti elektroniniu paštu pagal nustatytą periodiškumą. Parametrai turi būti nustatomi pagal TS 10.1 punkte aprašytus ataskaitų reikalavimus, pavyzdžiui TS 10.1.1 p. – ataskaitoms „Kelionės lapas“ turi būti galima nustatyti ataskaitos periodą, automobilių sąrašą.  </w:t>
      </w:r>
    </w:p>
    <w:p w14:paraId="570424C7" w14:textId="77777777" w:rsidR="000662DD" w:rsidRPr="000662DD" w:rsidRDefault="000662DD" w:rsidP="00E94271">
      <w:pPr>
        <w:pStyle w:val="a7"/>
        <w:numPr>
          <w:ilvl w:val="0"/>
          <w:numId w:val="2"/>
        </w:numPr>
        <w:tabs>
          <w:tab w:val="left" w:pos="1560"/>
          <w:tab w:val="left" w:pos="1843"/>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16.1 p. Reikalinga sukurti virtualų kelionės lapą pagal degalų importą. </w:t>
      </w:r>
    </w:p>
    <w:p w14:paraId="5503C8AC" w14:textId="77777777" w:rsidR="000662DD" w:rsidRPr="000662DD" w:rsidRDefault="000662DD" w:rsidP="00E94271">
      <w:pPr>
        <w:pStyle w:val="a7"/>
        <w:numPr>
          <w:ilvl w:val="0"/>
          <w:numId w:val="2"/>
        </w:numPr>
        <w:tabs>
          <w:tab w:val="left" w:pos="1560"/>
          <w:tab w:val="left" w:pos="1843"/>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16.3 p.</w:t>
      </w:r>
      <w:r w:rsidRPr="000662DD">
        <w:rPr>
          <w:rFonts w:cs="Arial"/>
          <w:color w:val="000000"/>
          <w:szCs w:val="22"/>
          <w:shd w:val="clear" w:color="auto" w:fill="FFFFFF"/>
          <w:lang w:val="lt-LT"/>
        </w:rPr>
        <w:t xml:space="preserve"> </w:t>
      </w:r>
      <w:r w:rsidRPr="000662DD">
        <w:rPr>
          <w:rFonts w:cs="Arial"/>
          <w:color w:val="000000" w:themeColor="text1"/>
          <w:szCs w:val="22"/>
          <w:lang w:val="lt-LT"/>
        </w:rPr>
        <w:t>pažymėta, jog įmonė naudoja identifikacines korteles su nurodytu lustu, todėl įranga turi nuskaityti šiuos lustus. Prašoma galimybė pasirinkti arba užvedimo blokavimas arba įspėjimo signalas, bus pateikiama užsakymo paraiškoje. </w:t>
      </w:r>
    </w:p>
    <w:p w14:paraId="0D365B49" w14:textId="77777777" w:rsidR="000662DD" w:rsidRPr="000662DD" w:rsidRDefault="000662DD" w:rsidP="00E94271">
      <w:pPr>
        <w:pStyle w:val="a7"/>
        <w:numPr>
          <w:ilvl w:val="0"/>
          <w:numId w:val="2"/>
        </w:numPr>
        <w:tabs>
          <w:tab w:val="left" w:pos="1560"/>
          <w:tab w:val="left" w:pos="1843"/>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Transporto priemonių sąrašas gali keistis, nurodyti šiuo metu visam sutarties laikotarpiui neįmanoma. Nuotolinio atrakinimo funkcija bus montuojama į ne senesnius kaip 2020 metais pagamintus automobilius, turinčius CAN-BUS duomenų protokolus. </w:t>
      </w:r>
    </w:p>
    <w:p w14:paraId="7958A91A"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Automobiliuose turi būti įdiegta tik užvedimo blokavimo įranga; blokavimo automobiliui važiuojant funkcija nenumatyta ir neleidžiama.  </w:t>
      </w:r>
    </w:p>
    <w:p w14:paraId="595C4361"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TS 1 lentelės 17.1 p. Gali būti įranga su įmontuota autonomine baterija arba įmontuotu papildomu akumuliatoriumi, įrangos autonominis veikimo laikas turi atitikti specifikacijoje numatytą, nepriklausomai nuo Tiekėjo pasirinkto sprendimo. </w:t>
      </w:r>
    </w:p>
    <w:p w14:paraId="4391C0AC"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Integracijos turi būti atliekamos naudojant API – universalią aplikacijų programavimo sąsają, bus naudojama apskaitos ir kitoms funkcijoms. Tačiau naudojamos sistemos gali keistis, todėl prašoma universali sąsaja, kuri neapribos galimų integracijų. </w:t>
      </w:r>
    </w:p>
    <w:p w14:paraId="4999578E" w14:textId="77777777" w:rsidR="000662DD" w:rsidRPr="000662DD" w:rsidRDefault="000662DD" w:rsidP="00E94271">
      <w:pPr>
        <w:pStyle w:val="a7"/>
        <w:numPr>
          <w:ilvl w:val="0"/>
          <w:numId w:val="2"/>
        </w:numPr>
        <w:tabs>
          <w:tab w:val="left" w:pos="1560"/>
          <w:tab w:val="left" w:pos="1701"/>
        </w:tabs>
        <w:spacing w:after="0" w:line="360" w:lineRule="auto"/>
        <w:ind w:left="284" w:firstLine="992"/>
        <w:jc w:val="both"/>
        <w:rPr>
          <w:rFonts w:cs="Arial"/>
          <w:color w:val="000000" w:themeColor="text1"/>
          <w:szCs w:val="22"/>
          <w:lang w:val="lt-LT"/>
        </w:rPr>
      </w:pPr>
      <w:r w:rsidRPr="000662DD">
        <w:rPr>
          <w:rFonts w:cs="Arial"/>
          <w:color w:val="000000" w:themeColor="text1"/>
          <w:szCs w:val="22"/>
          <w:lang w:val="lt-LT"/>
        </w:rPr>
        <w:t>Konkretus automobilių, kuriems įsigyjamos kuro plūdės, sąrašas bus pateiktas užsakymo paraiškoje.</w:t>
      </w:r>
    </w:p>
    <w:p w14:paraId="1AC0D0F5" w14:textId="77777777" w:rsidR="000662DD" w:rsidRPr="000662DD" w:rsidRDefault="000662DD" w:rsidP="000662DD">
      <w:pPr>
        <w:pStyle w:val="a7"/>
        <w:spacing w:after="0" w:line="360" w:lineRule="auto"/>
        <w:ind w:firstLine="556"/>
        <w:rPr>
          <w:rFonts w:cs="Arial"/>
          <w:bCs/>
          <w:szCs w:val="22"/>
          <w:lang w:val="lt-LT"/>
        </w:rPr>
      </w:pPr>
      <w:r w:rsidRPr="000662DD">
        <w:rPr>
          <w:rFonts w:cs="Arial"/>
          <w:color w:val="000000" w:themeColor="text1"/>
          <w:szCs w:val="22"/>
          <w:lang w:val="lt-LT"/>
        </w:rPr>
        <w:t>Prašymas Nr.2 (kalba netaisyta):</w:t>
      </w:r>
    </w:p>
    <w:p w14:paraId="721D0FD5" w14:textId="77777777" w:rsidR="000662DD" w:rsidRPr="000662DD" w:rsidRDefault="000662DD" w:rsidP="000662DD">
      <w:pPr>
        <w:tabs>
          <w:tab w:val="left" w:pos="1701"/>
        </w:tabs>
        <w:spacing w:after="0" w:line="360" w:lineRule="auto"/>
        <w:ind w:firstLine="1276"/>
        <w:jc w:val="both"/>
        <w:rPr>
          <w:rFonts w:cs="Arial"/>
          <w:color w:val="000000" w:themeColor="text1"/>
          <w:szCs w:val="22"/>
          <w:lang w:val="lt-LT"/>
        </w:rPr>
      </w:pPr>
      <w:r w:rsidRPr="000662DD">
        <w:rPr>
          <w:rFonts w:cs="Arial"/>
          <w:color w:val="000000" w:themeColor="text1"/>
          <w:szCs w:val="22"/>
          <w:lang w:val="lt-LT"/>
        </w:rPr>
        <w:t xml:space="preserve">„Teikiame rekomendacijas paskelbtoms pirkimo sąlygoms: </w:t>
      </w:r>
    </w:p>
    <w:p w14:paraId="5FF54D7F" w14:textId="77777777" w:rsidR="000662DD" w:rsidRPr="000662DD" w:rsidRDefault="000662DD" w:rsidP="000662DD">
      <w:pPr>
        <w:pStyle w:val="a7"/>
        <w:numPr>
          <w:ilvl w:val="0"/>
          <w:numId w:val="3"/>
        </w:numPr>
        <w:tabs>
          <w:tab w:val="left" w:pos="1560"/>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Rekomendacija dėl 4G ryšio palaikymo reikalavimo. Rekomenduojame viešojo pirkimo sąlygas papildyti reikalavimu, kad: „Transporto stebėjimo (telemetrijos) įranga privalo palaikyti ne žemesnį nei 4G (LTE) mobiliojo ryšio standartą.</w:t>
      </w:r>
    </w:p>
    <w:p w14:paraId="60AAE95C" w14:textId="77777777" w:rsidR="000662DD" w:rsidRPr="000662DD" w:rsidRDefault="000662DD" w:rsidP="000662DD">
      <w:pPr>
        <w:spacing w:after="0" w:line="360" w:lineRule="auto"/>
        <w:ind w:firstLine="1276"/>
        <w:jc w:val="both"/>
        <w:rPr>
          <w:rFonts w:cs="Arial"/>
          <w:color w:val="000000" w:themeColor="text1"/>
          <w:szCs w:val="22"/>
          <w:lang w:val="lt-LT"/>
        </w:rPr>
      </w:pPr>
      <w:r w:rsidRPr="000662DD">
        <w:rPr>
          <w:rFonts w:cs="Arial"/>
          <w:color w:val="000000" w:themeColor="text1"/>
          <w:szCs w:val="22"/>
          <w:lang w:val="lt-LT"/>
        </w:rPr>
        <w:t>Lietuvoje veikiantys mobiliojo ryšio operatoriai viešai deklaruoja, kad 2G ryšio palaikymas bus pradedamas atjunginėti nuo 2028 metų, todėl 2G ryšiu veikianti įranga gali tapti netinkama naudoti dar galiojant sutarčiai. Toks reikalavimas užtikrina paslaugų tęstinumą, ilgalaikį pirkimo objekto tinkamumą ir racionalų viešųjų lėšų naudojimą.</w:t>
      </w:r>
    </w:p>
    <w:p w14:paraId="17C761AA" w14:textId="77777777" w:rsidR="000662DD" w:rsidRPr="000662DD" w:rsidRDefault="000662DD" w:rsidP="000662DD">
      <w:pPr>
        <w:spacing w:after="0" w:line="360" w:lineRule="auto"/>
        <w:ind w:firstLine="1276"/>
        <w:jc w:val="both"/>
        <w:rPr>
          <w:rFonts w:cs="Arial"/>
          <w:color w:val="000000" w:themeColor="text1"/>
          <w:szCs w:val="22"/>
          <w:lang w:val="lt-LT"/>
        </w:rPr>
      </w:pPr>
      <w:r w:rsidRPr="000662DD">
        <w:rPr>
          <w:rFonts w:cs="Arial"/>
          <w:color w:val="000000" w:themeColor="text1"/>
          <w:szCs w:val="22"/>
          <w:lang w:val="lt-LT"/>
        </w:rPr>
        <w:t>Perkančiajai organizacijai pirkimo sąlygose palikus galimybę Tiekėjams naudoti įranga, kurios veikimas yra tiesiogiai ar netiesiogiai priklausomas tik nuo 2G (GSM/GPRS) ryšio technologijos, Perkančioji organizacija pilnai prisiimtų telekomunikacinės infrastruktūros pokyčių finansinę riziką, ir turėtų savo lėšomis keisti neveikiančią telemetrijos įrangą (mokėti už naują įrangą bei montavimo ir išmontavimo darbus), kas neatitiktų Viešųjų Pirkimų racionalaus lėšų naudojimo ir paslaugos tęstinumo užtikrinimo principų.</w:t>
      </w:r>
    </w:p>
    <w:p w14:paraId="56FA782B" w14:textId="77777777" w:rsidR="000662DD" w:rsidRPr="000662DD" w:rsidRDefault="000662DD" w:rsidP="000662DD">
      <w:pPr>
        <w:pStyle w:val="a7"/>
        <w:numPr>
          <w:ilvl w:val="0"/>
          <w:numId w:val="3"/>
        </w:numPr>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Rekomenduojame koreguoti pirkimo sąlygų 3.2 punktą, numatantį, kad pasibaigus sutarčiai sumontuota degalų bako lygio matuoklė lieka Pirkėjui, kadangi tokia formuluotė neatitinka paslaugų pirkimo esmės ir sukelia teisinę bei mokestinę riziką. Šiuo metu 3.2 punkte yra apjungiami du skirtingi sandorių tipai: nuoma ir finansinis lizingas (kurį teikti gali tik banko licenciją turinčios įmonės).</w:t>
      </w:r>
    </w:p>
    <w:p w14:paraId="61E0F96A" w14:textId="77777777" w:rsidR="000662DD" w:rsidRPr="000662DD" w:rsidRDefault="000662DD" w:rsidP="000662DD">
      <w:pPr>
        <w:pStyle w:val="a7"/>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Toks sprendimas gali būti vertinamas kaip paslėptas įrangos pirkimas išsimokėtinai, nors pirkimas formuluojamas kaip paslaugų. Rekomenduojame koreguoti pirkimo sąlygų 3.2 punktą, numatantį, kad pasibaigus sutarčiai sumontuota degalų bako lygio matuoklė lieka Pirkėjui, kadangi tokia formuluotė neatitinka paslaugų pirkimo esmės ir sukelia teisinę bei mokestinę riziką-sekančiai:</w:t>
      </w:r>
    </w:p>
    <w:p w14:paraId="0ECD31A6" w14:textId="77777777" w:rsidR="000662DD" w:rsidRPr="000662DD" w:rsidRDefault="000662DD" w:rsidP="000662DD">
      <w:pPr>
        <w:pStyle w:val="a7"/>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“3.2. Degalų bako lygio matuoklės su montavimo, pajungimo ir kalibravimo paslaugomis (maksimalus sumontuotų matuoklių kiekis – 40 vnt.) pagal įmonės poreikį. Montuojama įranga turi būti suderinta su GPS sistema. Pasibaigus sutarčiai, pirkėjas turi teisę nusipirkti sumontuotą degalų bako lygio matavimo įrangą už pardavimo dienos rinkos kainą.”</w:t>
      </w:r>
    </w:p>
    <w:p w14:paraId="70F6747C" w14:textId="77777777" w:rsidR="000662DD" w:rsidRPr="000662DD" w:rsidRDefault="000662DD" w:rsidP="000662DD">
      <w:pPr>
        <w:pStyle w:val="a7"/>
        <w:numPr>
          <w:ilvl w:val="0"/>
          <w:numId w:val="3"/>
        </w:numPr>
        <w:tabs>
          <w:tab w:val="left" w:pos="1418"/>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Rekomenduojama koreguoti pirkimo sąlygų 8 punktą, kuris nustato 5 darbo dienų terminą įrangos sumontavimui, Siūlome numatyti ne trumpesnį kaip 20 darbo dienų terminą nuo sutarties įsigaliojimo. 5 darbo dienų terminas yra neproporcingai trumpas ir neatsižvelgia į realią montavimo darbų apimtį (įrangos paruošimą, nutolusią logistiką, montavimą, testavimą, kalibravimą) ir objektyviai gali būti palankus tik esamam paslaugų teikėjui, kuriam faktiniai įrangos montavimo darbai nereikalingi. Toks reikalavimas riboja tiekėjų konkurenciją ir neatitinka lygiateisiškumo bei nediskriminavimo principų, nustatytų Viešųjų pirkimų įstatyme. Mūsų siūlomas 20 darbo dienų terminas atitiktų rinkos praktiką, užtikrintų realią konkurenciją ir leistų pirkime dalyvauti platesniam tiekėjų ratui, nepažeidžiant Perkančiosios organizacijos interesų. Koreguotas punktas:</w:t>
      </w:r>
    </w:p>
    <w:p w14:paraId="39DFA851" w14:textId="77777777" w:rsidR="000662DD" w:rsidRPr="000662DD" w:rsidRDefault="000662DD" w:rsidP="000662DD">
      <w:pPr>
        <w:pStyle w:val="a7"/>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„8. Apie poreikį sumontuoti GPS įrangą, bei jei reikalinga ir degalų bako lygio matuoklę, į transporto priemonę užsakovas tiekėjui pateikia užsakymo paraišką raštu, o tiekėjas įrangą sumontuoja ir paslaugą pradeda teikti ne vėliau kaip per 20 (dvidešimt) darbo dienų po užsakymo pateikimo. Paraiškoje nurodoma: transporto priemonės markė, tipas, modelis, pagaminimo metai.“</w:t>
      </w:r>
    </w:p>
    <w:p w14:paraId="5448FB39" w14:textId="77777777" w:rsidR="000662DD" w:rsidRPr="000662DD" w:rsidRDefault="000662DD" w:rsidP="000662DD">
      <w:pPr>
        <w:pStyle w:val="a7"/>
        <w:numPr>
          <w:ilvl w:val="0"/>
          <w:numId w:val="3"/>
        </w:numPr>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Rekomenduojame atsisakyti 1 lentelės 18.1 punkto reikalavimo „18.1. Atsiradus sistemos slopinimo trukdžiams (Jaming) pranešti apie tai Sistemos valdytojams.” kadangi Ignalinos atominės elektrinės regionas yra netoli Lietuvos–Baltarusijos sienos ir pasižymi nuolatiniais GPS signalo slopinimo atvejais, kylančiais dėl išorinių veiksnių, nepriklausančių nuo tiekėjo ar sistemos veikimo kokybės.</w:t>
      </w:r>
    </w:p>
    <w:p w14:paraId="0EDAA4B5" w14:textId="77777777" w:rsidR="000662DD" w:rsidRPr="000662DD" w:rsidRDefault="000662DD" w:rsidP="000662DD">
      <w:pPr>
        <w:pStyle w:val="a7"/>
        <w:tabs>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Atsižvelgiant į tai, tokio pobūdžio pranešimai būtų nuolatiniai ir pertekliniai, nesuteikiantys papildomos praktinės vertės Sistemos valdytojams ir galintys nepagrįstai didinti tiekėjo administracinę naštą.</w:t>
      </w:r>
    </w:p>
    <w:p w14:paraId="74ED75EA" w14:textId="77777777" w:rsidR="000662DD" w:rsidRPr="000662DD" w:rsidRDefault="000662DD" w:rsidP="000662DD">
      <w:pPr>
        <w:pStyle w:val="a7"/>
        <w:numPr>
          <w:ilvl w:val="0"/>
          <w:numId w:val="3"/>
        </w:numPr>
        <w:tabs>
          <w:tab w:val="left" w:pos="1418"/>
          <w:tab w:val="left" w:pos="1701"/>
        </w:tabs>
        <w:spacing w:after="0" w:line="360" w:lineRule="auto"/>
        <w:ind w:left="0" w:firstLine="1276"/>
        <w:jc w:val="both"/>
        <w:rPr>
          <w:rFonts w:cs="Arial"/>
          <w:color w:val="000000" w:themeColor="text1"/>
          <w:szCs w:val="22"/>
          <w:lang w:val="lt-LT"/>
        </w:rPr>
      </w:pPr>
      <w:r w:rsidRPr="000662DD">
        <w:rPr>
          <w:rFonts w:cs="Arial"/>
          <w:color w:val="000000" w:themeColor="text1"/>
          <w:szCs w:val="22"/>
          <w:lang w:val="lt-LT"/>
        </w:rPr>
        <w:t>Rekomenduojame koreguoti 16.1 punktą „24 valandas per parą, 7 dienas per savaitę užtikrinti duomenų perdavimą ir techninės pagalbos veikimą, paslaugų teikimo laikotarpiu;“, kadangi transporto valdymo (telemetrijos) sistemų tiekėjas neteikia fizinės apsaugos ar reagavimo paslaugų. Duomenų perdavimas užtikrinamas automatiniu režimu visą parą, tačiau techninė pagalba rinkos praktikoje teikiama darbo dienomis ir darbo valandomis (8/5 režimu). Reikalavimas užtikrinti techninės pagalbos veikimą 24/7 yra neproporcingas pirkimo objektui, didina paslaugų kainą ir neatitinka racionalumo bei proporcingumo principų. Koreguotas punktas:</w:t>
      </w:r>
    </w:p>
    <w:p w14:paraId="54D17AC2" w14:textId="77777777" w:rsidR="000662DD" w:rsidRDefault="000662DD" w:rsidP="000662DD">
      <w:pPr>
        <w:pStyle w:val="a7"/>
        <w:tabs>
          <w:tab w:val="left" w:pos="1418"/>
        </w:tabs>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„16.1 24 valandas per parą, 7 dienas per savaitę užtikrinti duomenų perdavimą ir darbo dienomis ir darbo valandomis (8/5 režimu) techninės pagalbos veikimą, paslaugų teikimo laikotarpiu;</w:t>
      </w:r>
    </w:p>
    <w:p w14:paraId="3C714643" w14:textId="77777777" w:rsidR="00AE640D" w:rsidRDefault="00AE640D" w:rsidP="000662DD">
      <w:pPr>
        <w:pStyle w:val="a7"/>
        <w:tabs>
          <w:tab w:val="left" w:pos="1418"/>
        </w:tabs>
        <w:spacing w:after="0" w:line="360" w:lineRule="auto"/>
        <w:ind w:left="142" w:firstLine="1134"/>
        <w:jc w:val="both"/>
        <w:rPr>
          <w:rFonts w:cs="Arial"/>
          <w:color w:val="000000" w:themeColor="text1"/>
          <w:szCs w:val="22"/>
          <w:lang w:val="lt-LT"/>
        </w:rPr>
      </w:pPr>
    </w:p>
    <w:p w14:paraId="29B7AAEB" w14:textId="77777777" w:rsidR="00AE640D" w:rsidRDefault="00AE640D" w:rsidP="000662DD">
      <w:pPr>
        <w:pStyle w:val="a7"/>
        <w:tabs>
          <w:tab w:val="left" w:pos="1418"/>
        </w:tabs>
        <w:spacing w:after="0" w:line="360" w:lineRule="auto"/>
        <w:ind w:left="142" w:firstLine="1134"/>
        <w:jc w:val="both"/>
        <w:rPr>
          <w:rFonts w:cs="Arial"/>
          <w:color w:val="000000" w:themeColor="text1"/>
          <w:szCs w:val="22"/>
          <w:lang w:val="lt-LT"/>
        </w:rPr>
      </w:pPr>
    </w:p>
    <w:p w14:paraId="48EDC828" w14:textId="77777777" w:rsidR="00AE640D" w:rsidRPr="000662DD" w:rsidRDefault="00AE640D" w:rsidP="000662DD">
      <w:pPr>
        <w:pStyle w:val="a7"/>
        <w:tabs>
          <w:tab w:val="left" w:pos="1418"/>
        </w:tabs>
        <w:spacing w:after="0" w:line="360" w:lineRule="auto"/>
        <w:ind w:left="142" w:firstLine="1134"/>
        <w:jc w:val="both"/>
        <w:rPr>
          <w:rFonts w:cs="Arial"/>
          <w:color w:val="000000" w:themeColor="text1"/>
          <w:szCs w:val="22"/>
          <w:lang w:val="lt-LT"/>
        </w:rPr>
      </w:pPr>
    </w:p>
    <w:p w14:paraId="035F3BEC" w14:textId="77777777" w:rsidR="000662DD" w:rsidRPr="000662DD" w:rsidRDefault="000662DD" w:rsidP="000662DD">
      <w:pPr>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 xml:space="preserve">Atsakymas į prašymą: </w:t>
      </w:r>
    </w:p>
    <w:p w14:paraId="778A7F3C" w14:textId="77777777" w:rsidR="000662DD" w:rsidRPr="000662DD" w:rsidRDefault="000662DD" w:rsidP="000662DD">
      <w:pPr>
        <w:pStyle w:val="a7"/>
        <w:numPr>
          <w:ilvl w:val="0"/>
          <w:numId w:val="4"/>
        </w:numPr>
        <w:tabs>
          <w:tab w:val="left" w:pos="1418"/>
          <w:tab w:val="left" w:pos="1701"/>
        </w:tabs>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Techninėje specifikacijoje nėra nurodyta reikalavimų ryšio standartams. Tiekėjas turi užtikrinti paslaugos veikimą visą sutarties laikotarpį, iš anksto pasirinkdamas tam tinkamą įrangą. Perkamos yra tik paslaugos, įrangos pasirinkimas ir veikimo užtikrinimas yra tiekėjo atsakomybė.</w:t>
      </w:r>
    </w:p>
    <w:p w14:paraId="17400AF9" w14:textId="77777777" w:rsidR="000662DD" w:rsidRPr="000662DD" w:rsidRDefault="000662DD" w:rsidP="000662DD">
      <w:pPr>
        <w:pStyle w:val="a7"/>
        <w:numPr>
          <w:ilvl w:val="0"/>
          <w:numId w:val="4"/>
        </w:numPr>
        <w:tabs>
          <w:tab w:val="left" w:pos="1418"/>
          <w:tab w:val="left" w:pos="1701"/>
        </w:tabs>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Degalų plūdės yra įsigyjama prekė. Už ją atsiskaitoma pagal tiekėjo pasiūlymo  atitinkamą įkainį.</w:t>
      </w:r>
    </w:p>
    <w:p w14:paraId="0EF1B4C6" w14:textId="77777777" w:rsidR="000662DD" w:rsidRPr="000662DD" w:rsidRDefault="000662DD" w:rsidP="000662DD">
      <w:pPr>
        <w:pStyle w:val="a7"/>
        <w:numPr>
          <w:ilvl w:val="0"/>
          <w:numId w:val="4"/>
        </w:numPr>
        <w:tabs>
          <w:tab w:val="left" w:pos="1418"/>
          <w:tab w:val="left" w:pos="1701"/>
        </w:tabs>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Įrangą tiekėjas turi sumontuoti per 5 darbo dienas nuo paraiškos pateikimo, o ne nuo sutarties įsigaliojimo. Teikdamas paraiškas Užsakovas atsižvelgs į tam reikšmingas faktines aplinkybes ir šalių interesus.</w:t>
      </w:r>
    </w:p>
    <w:p w14:paraId="69B0B9E3" w14:textId="77777777" w:rsidR="000662DD" w:rsidRPr="000662DD" w:rsidRDefault="000662DD" w:rsidP="000662DD">
      <w:pPr>
        <w:pStyle w:val="a7"/>
        <w:numPr>
          <w:ilvl w:val="0"/>
          <w:numId w:val="4"/>
        </w:numPr>
        <w:tabs>
          <w:tab w:val="left" w:pos="1418"/>
          <w:tab w:val="left" w:pos="1701"/>
        </w:tabs>
        <w:spacing w:after="0" w:line="360" w:lineRule="auto"/>
        <w:ind w:left="142" w:firstLine="1134"/>
        <w:jc w:val="both"/>
        <w:rPr>
          <w:rFonts w:cs="Arial"/>
          <w:color w:val="000000" w:themeColor="text1"/>
          <w:szCs w:val="22"/>
          <w:lang w:val="lt-LT"/>
        </w:rPr>
      </w:pPr>
      <w:r w:rsidRPr="000662DD">
        <w:rPr>
          <w:rFonts w:cs="Arial"/>
          <w:color w:val="000000" w:themeColor="text1"/>
          <w:szCs w:val="22"/>
          <w:lang w:val="lt-LT"/>
        </w:rPr>
        <w:t>TS 1 lentelės 18.1 p. nurodytas reikalavimas dėl pranešimų apie trukdžius yra reikalingas ir paliekamas. Sistemos naudotojas turi matyti blokavimą ir vertins, ar jis sukeltas vairuotojo veiksmais, ar priskirtinas GPS signalo trikdžiams. Tai nėra paslaugos kokybės vertinimo rodiklis. Ši funkcija reikalinga siekiant pamatyti galimus bandymus lokaliai blokuoti įrangos veikimą.</w:t>
      </w:r>
    </w:p>
    <w:p w14:paraId="3BD82EE1" w14:textId="77777777" w:rsidR="000662DD" w:rsidRPr="000662DD" w:rsidRDefault="000662DD" w:rsidP="000662DD">
      <w:pPr>
        <w:pStyle w:val="23"/>
        <w:tabs>
          <w:tab w:val="left" w:pos="1418"/>
          <w:tab w:val="left" w:pos="1560"/>
          <w:tab w:val="left" w:pos="1701"/>
        </w:tabs>
        <w:spacing w:after="0" w:line="360" w:lineRule="auto"/>
        <w:ind w:left="142" w:firstLine="1134"/>
        <w:jc w:val="both"/>
        <w:rPr>
          <w:rFonts w:ascii="Arial" w:hAnsi="Arial" w:cs="Arial"/>
          <w:color w:val="000000" w:themeColor="text1"/>
          <w:sz w:val="22"/>
          <w:szCs w:val="22"/>
          <w:lang w:val="lt-LT"/>
        </w:rPr>
      </w:pPr>
      <w:r w:rsidRPr="000662DD">
        <w:rPr>
          <w:rFonts w:ascii="Arial" w:hAnsi="Arial" w:cs="Arial"/>
          <w:color w:val="000000" w:themeColor="text1"/>
          <w:sz w:val="22"/>
          <w:szCs w:val="22"/>
          <w:lang w:val="lt-LT"/>
        </w:rPr>
        <w:t xml:space="preserve">TS 16.1 punktas patikslinamas ir jo turinys išdėstomas taip: </w:t>
      </w:r>
    </w:p>
    <w:p w14:paraId="6F8B396A" w14:textId="77777777" w:rsidR="000662DD" w:rsidRPr="000662DD" w:rsidRDefault="000662DD" w:rsidP="000662DD">
      <w:pPr>
        <w:pStyle w:val="23"/>
        <w:tabs>
          <w:tab w:val="left" w:pos="1418"/>
          <w:tab w:val="left" w:pos="1560"/>
          <w:tab w:val="left" w:pos="1701"/>
        </w:tabs>
        <w:spacing w:after="0" w:line="360" w:lineRule="auto"/>
        <w:ind w:left="142" w:firstLine="1134"/>
        <w:jc w:val="both"/>
        <w:rPr>
          <w:rFonts w:ascii="Arial" w:hAnsi="Arial" w:cs="Arial"/>
          <w:i/>
          <w:iCs/>
          <w:color w:val="000000" w:themeColor="text1"/>
          <w:sz w:val="22"/>
          <w:szCs w:val="22"/>
          <w:lang w:val="lt-LT"/>
        </w:rPr>
      </w:pPr>
      <w:r w:rsidRPr="000662DD">
        <w:rPr>
          <w:rFonts w:ascii="Arial" w:hAnsi="Arial" w:cs="Arial"/>
          <w:i/>
          <w:iCs/>
          <w:color w:val="000000" w:themeColor="text1"/>
          <w:sz w:val="22"/>
          <w:szCs w:val="22"/>
          <w:lang w:val="lt-LT"/>
        </w:rPr>
        <w:t>„24 valandas per parą, 7 dienas per savaitę užtikrinti duomenų perdavimą; darbo dienomis  nuo 8.00 val. iki 17.00 val.  techninės pagalbos paslaugų veikimą.“</w:t>
      </w:r>
    </w:p>
    <w:p w14:paraId="4B2682E1" w14:textId="77777777" w:rsidR="000662DD" w:rsidRPr="000662DD" w:rsidRDefault="000662DD" w:rsidP="000662DD">
      <w:pPr>
        <w:pStyle w:val="23"/>
        <w:tabs>
          <w:tab w:val="left" w:pos="1418"/>
          <w:tab w:val="left" w:pos="1560"/>
          <w:tab w:val="left" w:pos="1701"/>
        </w:tabs>
        <w:spacing w:after="0" w:line="360" w:lineRule="auto"/>
        <w:ind w:left="142" w:firstLine="1134"/>
        <w:jc w:val="both"/>
        <w:rPr>
          <w:rFonts w:ascii="Arial" w:hAnsi="Arial" w:cs="Arial"/>
          <w:sz w:val="22"/>
          <w:szCs w:val="22"/>
          <w:lang w:val="lt-LT"/>
        </w:rPr>
      </w:pPr>
      <w:r w:rsidRPr="000662DD">
        <w:rPr>
          <w:rFonts w:ascii="Arial" w:hAnsi="Arial" w:cs="Arial"/>
          <w:sz w:val="22"/>
          <w:szCs w:val="22"/>
          <w:lang w:val="lt-LT"/>
        </w:rPr>
        <w:t>Informuojame, kad atsižvelgti į patikslinimus, keičiami Pirkimo dokumentuose A dalies 2.1 p. nustatyti terminai ir minėtas punktas išdėstomas taip:</w:t>
      </w:r>
    </w:p>
    <w:p w14:paraId="1F77D6D2" w14:textId="77777777" w:rsidR="000662DD" w:rsidRPr="000662DD" w:rsidRDefault="000662DD" w:rsidP="000662DD">
      <w:pPr>
        <w:pStyle w:val="23"/>
        <w:tabs>
          <w:tab w:val="left" w:pos="1418"/>
          <w:tab w:val="left" w:pos="1560"/>
          <w:tab w:val="left" w:pos="1701"/>
        </w:tabs>
        <w:spacing w:after="0" w:line="360" w:lineRule="auto"/>
        <w:ind w:left="720" w:firstLine="556"/>
        <w:jc w:val="both"/>
        <w:rPr>
          <w:rFonts w:ascii="Arial" w:hAnsi="Arial" w:cs="Arial"/>
          <w:i/>
          <w:iCs/>
          <w:sz w:val="22"/>
          <w:szCs w:val="22"/>
          <w:lang w:val="lt-LT"/>
        </w:rPr>
      </w:pPr>
      <w:r w:rsidRPr="000662DD">
        <w:rPr>
          <w:rFonts w:ascii="Arial" w:hAnsi="Arial" w:cs="Arial"/>
          <w:i/>
          <w:iCs/>
          <w:sz w:val="22"/>
          <w:szCs w:val="22"/>
          <w:lang w:val="lt-LT"/>
        </w:rPr>
        <w:t xml:space="preserve">„2.1. Viešojo pirkimo terminai nurodyti Lietuvos laiku: </w:t>
      </w:r>
    </w:p>
    <w:p w14:paraId="5378EB0A" w14:textId="77777777" w:rsidR="000662DD" w:rsidRPr="000662DD" w:rsidRDefault="000662DD" w:rsidP="000662DD">
      <w:pPr>
        <w:pStyle w:val="23"/>
        <w:tabs>
          <w:tab w:val="left" w:pos="1418"/>
          <w:tab w:val="left" w:pos="1560"/>
          <w:tab w:val="left" w:pos="1701"/>
        </w:tabs>
        <w:spacing w:after="0" w:line="360" w:lineRule="auto"/>
        <w:ind w:left="142" w:firstLine="1134"/>
        <w:jc w:val="both"/>
        <w:rPr>
          <w:rFonts w:ascii="Arial" w:hAnsi="Arial" w:cs="Arial"/>
          <w:i/>
          <w:iCs/>
          <w:sz w:val="22"/>
          <w:szCs w:val="22"/>
          <w:lang w:val="lt-LT"/>
        </w:rPr>
      </w:pPr>
      <w:r w:rsidRPr="000662DD">
        <w:rPr>
          <w:rFonts w:ascii="Arial" w:hAnsi="Arial" w:cs="Arial"/>
          <w:i/>
          <w:iCs/>
          <w:sz w:val="22"/>
          <w:szCs w:val="22"/>
          <w:lang w:val="lt-LT"/>
        </w:rPr>
        <w:t xml:space="preserve">2.1.1. Perkančioji organizacija prašymą paaiškinti pirkimo dokumentus turi gauti ne vėliau kaip iki 2026-02-24 imtinai. </w:t>
      </w:r>
    </w:p>
    <w:p w14:paraId="60DDB3AD" w14:textId="77777777" w:rsidR="000662DD" w:rsidRPr="000662DD" w:rsidRDefault="000662DD" w:rsidP="000662DD">
      <w:pPr>
        <w:pStyle w:val="23"/>
        <w:tabs>
          <w:tab w:val="left" w:pos="1418"/>
          <w:tab w:val="left" w:pos="1560"/>
          <w:tab w:val="left" w:pos="1701"/>
        </w:tabs>
        <w:spacing w:after="0" w:line="360" w:lineRule="auto"/>
        <w:ind w:left="142" w:firstLine="1134"/>
        <w:jc w:val="both"/>
        <w:rPr>
          <w:rFonts w:ascii="Arial" w:hAnsi="Arial" w:cs="Arial"/>
          <w:i/>
          <w:iCs/>
          <w:sz w:val="22"/>
          <w:szCs w:val="22"/>
          <w:lang w:val="lt-LT"/>
        </w:rPr>
      </w:pPr>
      <w:r w:rsidRPr="000662DD">
        <w:rPr>
          <w:rFonts w:ascii="Arial" w:hAnsi="Arial" w:cs="Arial"/>
          <w:i/>
          <w:iCs/>
          <w:sz w:val="22"/>
          <w:szCs w:val="22"/>
          <w:lang w:val="lt-LT"/>
        </w:rPr>
        <w:t>2.1.2. Atsakymas į tiekėjo prašymą paaiškinti pirkimo dokumentus turi būti siunčiamas taip, kad tiekėjas jį gautų ne vėliau kaip iki 2026-02-25 imtinai.</w:t>
      </w:r>
    </w:p>
    <w:p w14:paraId="3442D3E8" w14:textId="77777777" w:rsidR="000662DD" w:rsidRPr="000662DD" w:rsidRDefault="000662DD" w:rsidP="000662DD">
      <w:pPr>
        <w:pStyle w:val="23"/>
        <w:tabs>
          <w:tab w:val="left" w:pos="1418"/>
          <w:tab w:val="left" w:pos="1560"/>
          <w:tab w:val="left" w:pos="1701"/>
        </w:tabs>
        <w:spacing w:after="0" w:line="360" w:lineRule="auto"/>
        <w:ind w:left="720" w:firstLine="556"/>
        <w:jc w:val="both"/>
        <w:rPr>
          <w:rFonts w:ascii="Arial" w:hAnsi="Arial" w:cs="Arial"/>
          <w:i/>
          <w:iCs/>
          <w:sz w:val="22"/>
          <w:szCs w:val="22"/>
          <w:lang w:val="lt-LT"/>
        </w:rPr>
      </w:pPr>
      <w:r w:rsidRPr="000662DD">
        <w:rPr>
          <w:rFonts w:ascii="Arial" w:hAnsi="Arial" w:cs="Arial"/>
          <w:i/>
          <w:iCs/>
          <w:sz w:val="22"/>
          <w:szCs w:val="22"/>
          <w:lang w:val="lt-LT"/>
        </w:rPr>
        <w:t xml:space="preserve">2.1.3. Pasiūlymų pateikimo terminas: 2026-03-04 09.00 val. </w:t>
      </w:r>
    </w:p>
    <w:p w14:paraId="02C83FE1" w14:textId="77777777" w:rsidR="000662DD" w:rsidRPr="000662DD" w:rsidRDefault="000662DD" w:rsidP="000662DD">
      <w:pPr>
        <w:pStyle w:val="a7"/>
        <w:tabs>
          <w:tab w:val="left" w:pos="851"/>
          <w:tab w:val="left" w:pos="1560"/>
          <w:tab w:val="left" w:pos="1701"/>
        </w:tabs>
        <w:spacing w:after="0" w:line="360" w:lineRule="auto"/>
        <w:ind w:firstLine="556"/>
        <w:jc w:val="both"/>
        <w:rPr>
          <w:rFonts w:cs="Arial"/>
          <w:i/>
          <w:iCs/>
          <w:szCs w:val="22"/>
          <w:lang w:val="lt-LT"/>
        </w:rPr>
      </w:pPr>
      <w:r w:rsidRPr="000662DD">
        <w:rPr>
          <w:rFonts w:cs="Arial"/>
          <w:i/>
          <w:iCs/>
          <w:szCs w:val="22"/>
          <w:lang w:val="lt-LT"/>
        </w:rPr>
        <w:t>2.1.4. Pradinio susipažinimo su pasiūlymais posėdžio data: 2026-03-04.”</w:t>
      </w:r>
    </w:p>
    <w:p w14:paraId="574750FC" w14:textId="308BE753" w:rsidR="000662DD" w:rsidRPr="000662DD" w:rsidRDefault="000662DD" w:rsidP="000662DD">
      <w:pPr>
        <w:pStyle w:val="a7"/>
        <w:tabs>
          <w:tab w:val="left" w:pos="851"/>
          <w:tab w:val="left" w:pos="1560"/>
          <w:tab w:val="left" w:pos="1701"/>
        </w:tabs>
        <w:spacing w:after="0" w:line="360" w:lineRule="auto"/>
        <w:ind w:left="142" w:firstLine="1134"/>
        <w:jc w:val="both"/>
        <w:rPr>
          <w:rFonts w:cs="Arial"/>
          <w:szCs w:val="22"/>
          <w:lang w:val="lt-LT"/>
        </w:rPr>
      </w:pPr>
      <w:r w:rsidRPr="000662DD">
        <w:rPr>
          <w:rFonts w:cs="Arial"/>
          <w:szCs w:val="22"/>
          <w:lang w:val="lt-LT"/>
        </w:rPr>
        <w:t>Apie pasikeitusius pirkimo procedūros terminus perkančioji organizacija paskelbs Pirkimo dokumentų bei Lietuvos Respublikos viešųjų pirkimų įstatymo nustatyta tvarka.</w:t>
      </w:r>
    </w:p>
    <w:p w14:paraId="5B11FF40" w14:textId="77777777" w:rsidR="00F06A59" w:rsidRPr="000662DD" w:rsidRDefault="00F06A59" w:rsidP="00F06A59">
      <w:pPr>
        <w:spacing w:after="0" w:line="240" w:lineRule="auto"/>
        <w:ind w:firstLine="720"/>
        <w:rPr>
          <w:lang w:val="lt-LT"/>
        </w:rPr>
      </w:pPr>
    </w:p>
    <w:p w14:paraId="5C7A3189" w14:textId="77777777" w:rsidR="00F06A59" w:rsidRPr="000662DD" w:rsidRDefault="00F06A59" w:rsidP="00F06A59">
      <w:pPr>
        <w:spacing w:after="0" w:line="240" w:lineRule="auto"/>
        <w:ind w:firstLine="720"/>
        <w:rPr>
          <w:lang w:val="lt-LT"/>
        </w:rPr>
      </w:pPr>
    </w:p>
    <w:p w14:paraId="56CB3534" w14:textId="485DEB28" w:rsidR="00F06A59" w:rsidRPr="000662DD" w:rsidRDefault="001F25A9" w:rsidP="009A3AB7">
      <w:pPr>
        <w:rPr>
          <w:szCs w:val="22"/>
          <w:lang w:val="lt-LT"/>
        </w:rPr>
      </w:pPr>
      <w:r w:rsidRPr="000662DD">
        <w:rPr>
          <w:szCs w:val="22"/>
          <w:lang w:val="lt-LT"/>
        </w:rPr>
        <w:t>Komisijos pirmininkas</w:t>
      </w:r>
      <w:r w:rsidR="00F06A59" w:rsidRPr="000662DD">
        <w:rPr>
          <w:szCs w:val="22"/>
          <w:lang w:val="lt-LT"/>
        </w:rPr>
        <w:t xml:space="preserve"> </w:t>
      </w:r>
      <w:r w:rsidR="00F06A59" w:rsidRPr="000662DD">
        <w:rPr>
          <w:szCs w:val="22"/>
          <w:lang w:val="lt-LT"/>
        </w:rPr>
        <w:tab/>
      </w:r>
      <w:r w:rsidR="00F06A59" w:rsidRPr="000662DD">
        <w:rPr>
          <w:szCs w:val="22"/>
          <w:lang w:val="lt-LT"/>
        </w:rPr>
        <w:tab/>
      </w:r>
      <w:r w:rsidR="00F06A59" w:rsidRPr="000662DD">
        <w:rPr>
          <w:szCs w:val="22"/>
          <w:lang w:val="lt-LT"/>
        </w:rPr>
        <w:tab/>
      </w:r>
      <w:r w:rsidR="00F06A59" w:rsidRPr="000662DD">
        <w:rPr>
          <w:szCs w:val="22"/>
          <w:lang w:val="lt-LT"/>
        </w:rPr>
        <w:tab/>
      </w:r>
      <w:r w:rsidR="00F06A59" w:rsidRPr="000662DD">
        <w:rPr>
          <w:szCs w:val="22"/>
          <w:lang w:val="lt-LT"/>
        </w:rPr>
        <w:tab/>
      </w:r>
      <w:r w:rsidRPr="000662DD">
        <w:rPr>
          <w:szCs w:val="22"/>
          <w:lang w:val="lt-LT"/>
        </w:rPr>
        <w:t>Šarūnas Šablinskas</w:t>
      </w:r>
    </w:p>
    <w:p w14:paraId="1C1C1E89" w14:textId="77777777" w:rsidR="009B2817" w:rsidRPr="000662DD" w:rsidRDefault="009B2817">
      <w:pPr>
        <w:rPr>
          <w:lang w:val="lt-LT"/>
        </w:rPr>
      </w:pPr>
    </w:p>
    <w:p w14:paraId="5D3DD2F5" w14:textId="77777777" w:rsidR="0011033A" w:rsidRPr="000662DD" w:rsidRDefault="0011033A">
      <w:pPr>
        <w:rPr>
          <w:lang w:val="lt-LT"/>
        </w:rPr>
      </w:pPr>
    </w:p>
    <w:p w14:paraId="60239680" w14:textId="77777777" w:rsidR="000662DD" w:rsidRDefault="000662DD">
      <w:pPr>
        <w:rPr>
          <w:lang w:val="lt-LT"/>
        </w:rPr>
      </w:pPr>
    </w:p>
    <w:p w14:paraId="0A714273" w14:textId="77777777" w:rsidR="00A37AEC" w:rsidRPr="000662DD" w:rsidRDefault="00A37AEC">
      <w:pPr>
        <w:rPr>
          <w:lang w:val="lt-LT"/>
        </w:rPr>
      </w:pPr>
    </w:p>
    <w:p w14:paraId="065226DA" w14:textId="7162A6B0" w:rsidR="00336AE9" w:rsidRPr="000662DD" w:rsidRDefault="001F25A9">
      <w:pPr>
        <w:rPr>
          <w:szCs w:val="22"/>
          <w:lang w:val="lt-LT"/>
        </w:rPr>
      </w:pPr>
      <w:r w:rsidRPr="000662DD">
        <w:rPr>
          <w:szCs w:val="22"/>
          <w:lang w:val="lt-LT"/>
        </w:rPr>
        <w:t>Nadežda Šepliakova</w:t>
      </w:r>
      <w:r w:rsidR="00F06A59" w:rsidRPr="000662DD">
        <w:rPr>
          <w:szCs w:val="22"/>
          <w:lang w:val="lt-LT"/>
        </w:rPr>
        <w:t>, tel.: +</w:t>
      </w:r>
      <w:r w:rsidRPr="000662DD">
        <w:rPr>
          <w:szCs w:val="22"/>
          <w:lang w:val="lt-LT"/>
        </w:rPr>
        <w:t>37068787069</w:t>
      </w:r>
      <w:r w:rsidR="00F06A59" w:rsidRPr="000662DD">
        <w:rPr>
          <w:szCs w:val="22"/>
          <w:lang w:val="lt-LT"/>
        </w:rPr>
        <w:t>, el. p.:</w:t>
      </w:r>
      <w:r w:rsidRPr="000662DD">
        <w:rPr>
          <w:szCs w:val="22"/>
          <w:lang w:val="lt-LT"/>
        </w:rPr>
        <w:t>nadezda.sepliakova@altra.lt</w:t>
      </w:r>
    </w:p>
    <w:sectPr w:rsidR="00336AE9" w:rsidRPr="000662DD" w:rsidSect="00AE640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985"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988B" w14:textId="77777777" w:rsidR="00E52EF2" w:rsidRDefault="00E52EF2" w:rsidP="00F06A59">
      <w:pPr>
        <w:spacing w:after="0" w:line="240" w:lineRule="auto"/>
      </w:pPr>
      <w:r>
        <w:separator/>
      </w:r>
    </w:p>
  </w:endnote>
  <w:endnote w:type="continuationSeparator" w:id="0">
    <w:p w14:paraId="4DD41AC5" w14:textId="77777777" w:rsidR="00E52EF2" w:rsidRDefault="00E52EF2" w:rsidP="00F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3941" w14:textId="77777777" w:rsidR="00B83A6A" w:rsidRDefault="00B83A6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493" w14:textId="77777777" w:rsidR="00B83A6A" w:rsidRDefault="00B83A6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F706" w14:textId="72F2782A" w:rsidR="00F06A59" w:rsidRPr="00B3271A" w:rsidRDefault="00740D57" w:rsidP="00403CC4">
    <w:pPr>
      <w:pStyle w:val="ae"/>
      <w:rPr>
        <w:lang w:val="lt-LT"/>
      </w:rPr>
    </w:pPr>
    <w:r>
      <w:rPr>
        <w:noProof/>
        <w:lang w:val="lt-LT"/>
      </w:rPr>
      <w:drawing>
        <wp:anchor distT="0" distB="0" distL="114300" distR="114300" simplePos="0" relativeHeight="251660288" behindDoc="1" locked="0" layoutInCell="1" allowOverlap="1" wp14:anchorId="49996964" wp14:editId="6B7C6594">
          <wp:simplePos x="0" y="0"/>
          <wp:positionH relativeFrom="page">
            <wp:posOffset>0</wp:posOffset>
          </wp:positionH>
          <wp:positionV relativeFrom="paragraph">
            <wp:posOffset>-941705</wp:posOffset>
          </wp:positionV>
          <wp:extent cx="7538085" cy="1447800"/>
          <wp:effectExtent l="0" t="0" r="0" b="0"/>
          <wp:wrapNone/>
          <wp:docPr id="1555337222" name="Paveikslėlis 2" descr="Paveikslėlis, kuriame yra ekrano kopij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7472" name="Paveikslėlis 2" descr="Paveikslėlis, kuriame yra ekrano kopija, juodas, tamsa&#10;&#10;Dirbtinio intelekto sugeneruotas turinys gali būti neteisingas."/>
                  <pic:cNvPicPr>
                    <a:picLocks noChangeAspect="1" noChangeArrowheads="1"/>
                  </pic:cNvPicPr>
                </pic:nvPicPr>
                <pic:blipFill rotWithShape="1">
                  <a:blip r:embed="rId1">
                    <a:extLst>
                      <a:ext uri="{28A0092B-C50C-407E-A947-70E740481C1C}">
                        <a14:useLocalDpi xmlns:a14="http://schemas.microsoft.com/office/drawing/2010/main" val="0"/>
                      </a:ext>
                    </a:extLst>
                  </a:blip>
                  <a:srcRect t="86415"/>
                  <a:stretch>
                    <a:fillRect/>
                  </a:stretch>
                </pic:blipFill>
                <pic:spPr bwMode="auto">
                  <a:xfrm>
                    <a:off x="0" y="0"/>
                    <a:ext cx="753808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0A8F" w14:textId="77777777" w:rsidR="00E52EF2" w:rsidRDefault="00E52EF2" w:rsidP="00F06A59">
      <w:pPr>
        <w:spacing w:after="0" w:line="240" w:lineRule="auto"/>
      </w:pPr>
      <w:r>
        <w:separator/>
      </w:r>
    </w:p>
  </w:footnote>
  <w:footnote w:type="continuationSeparator" w:id="0">
    <w:p w14:paraId="73B9D1B9" w14:textId="77777777" w:rsidR="00E52EF2" w:rsidRDefault="00E52EF2" w:rsidP="00F0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1800" w14:textId="77777777" w:rsidR="00B83A6A" w:rsidRDefault="00B83A6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1800"/>
      <w:docPartObj>
        <w:docPartGallery w:val="Page Numbers (Top of Page)"/>
        <w:docPartUnique/>
      </w:docPartObj>
    </w:sdtPr>
    <w:sdtEndPr/>
    <w:sdtContent>
      <w:p w14:paraId="40AB9AA6" w14:textId="185028E1" w:rsidR="0011033A" w:rsidRDefault="0011033A">
        <w:pPr>
          <w:pStyle w:val="ac"/>
          <w:jc w:val="center"/>
        </w:pPr>
        <w:r>
          <w:fldChar w:fldCharType="begin"/>
        </w:r>
        <w:r>
          <w:instrText>PAGE   \* MERGEFORMAT</w:instrText>
        </w:r>
        <w:r>
          <w:fldChar w:fldCharType="separate"/>
        </w:r>
        <w:r>
          <w:rPr>
            <w:lang w:val="lt-LT"/>
          </w:rPr>
          <w:t>2</w:t>
        </w:r>
        <w:r>
          <w:fldChar w:fldCharType="end"/>
        </w:r>
      </w:p>
    </w:sdtContent>
  </w:sdt>
  <w:p w14:paraId="31373D76" w14:textId="7001F0C7" w:rsidR="00F06A59" w:rsidRDefault="00F06A59" w:rsidP="00F06A59">
    <w:pPr>
      <w:pStyle w:val="ac"/>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E67" w14:textId="6222FA8A" w:rsidR="00F06A59" w:rsidRDefault="00740D57" w:rsidP="00D273CC">
    <w:pPr>
      <w:pStyle w:val="ac"/>
      <w:ind w:left="-709"/>
    </w:pPr>
    <w:r>
      <w:rPr>
        <w:noProof/>
        <w:lang w:val="lt-LT"/>
      </w:rPr>
      <w:drawing>
        <wp:anchor distT="0" distB="0" distL="114300" distR="114300" simplePos="0" relativeHeight="251658240" behindDoc="1" locked="0" layoutInCell="1" allowOverlap="1" wp14:anchorId="71DD9415" wp14:editId="5D90D955">
          <wp:simplePos x="0" y="0"/>
          <wp:positionH relativeFrom="page">
            <wp:posOffset>7620</wp:posOffset>
          </wp:positionH>
          <wp:positionV relativeFrom="paragraph">
            <wp:posOffset>-342265</wp:posOffset>
          </wp:positionV>
          <wp:extent cx="7538085" cy="1207698"/>
          <wp:effectExtent l="0" t="0" r="0" b="0"/>
          <wp:wrapNone/>
          <wp:docPr id="56863516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a:fillRect/>
                  </a:stretch>
                </pic:blipFill>
                <pic:spPr bwMode="auto">
                  <a:xfrm>
                    <a:off x="0" y="0"/>
                    <a:ext cx="7538085" cy="1207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B42EB"/>
    <w:multiLevelType w:val="hybridMultilevel"/>
    <w:tmpl w:val="D04ED176"/>
    <w:lvl w:ilvl="0" w:tplc="0409000F">
      <w:start w:val="1"/>
      <w:numFmt w:val="decimal"/>
      <w:lvlText w:val="%1."/>
      <w:lvlJc w:val="left"/>
      <w:pPr>
        <w:ind w:left="1211"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 w15:restartNumberingAfterBreak="0">
    <w:nsid w:val="4F082EFF"/>
    <w:multiLevelType w:val="hybridMultilevel"/>
    <w:tmpl w:val="239ED69C"/>
    <w:lvl w:ilvl="0" w:tplc="00CCCFA4">
      <w:start w:val="1"/>
      <w:numFmt w:val="decimal"/>
      <w:suff w:val="space"/>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3D84C9D"/>
    <w:multiLevelType w:val="hybridMultilevel"/>
    <w:tmpl w:val="B61AB184"/>
    <w:lvl w:ilvl="0" w:tplc="3A9E1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F0736BA"/>
    <w:multiLevelType w:val="hybridMultilevel"/>
    <w:tmpl w:val="CEE00C6A"/>
    <w:lvl w:ilvl="0" w:tplc="0409000F">
      <w:start w:val="1"/>
      <w:numFmt w:val="decimal"/>
      <w:lvlText w:val="%1."/>
      <w:lvlJc w:val="left"/>
      <w:pPr>
        <w:ind w:left="16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0887496">
    <w:abstractNumId w:val="1"/>
  </w:num>
  <w:num w:numId="2" w16cid:durableId="1004740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015537">
    <w:abstractNumId w:val="2"/>
  </w:num>
  <w:num w:numId="4" w16cid:durableId="403993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59"/>
    <w:rsid w:val="000002DA"/>
    <w:rsid w:val="00006C95"/>
    <w:rsid w:val="00036B5F"/>
    <w:rsid w:val="000375F4"/>
    <w:rsid w:val="000521E5"/>
    <w:rsid w:val="000662DD"/>
    <w:rsid w:val="000801EB"/>
    <w:rsid w:val="000F119F"/>
    <w:rsid w:val="000F35CB"/>
    <w:rsid w:val="0011033A"/>
    <w:rsid w:val="00145232"/>
    <w:rsid w:val="001F25A9"/>
    <w:rsid w:val="002650F5"/>
    <w:rsid w:val="00320BF4"/>
    <w:rsid w:val="00323A40"/>
    <w:rsid w:val="003326DF"/>
    <w:rsid w:val="00336AE9"/>
    <w:rsid w:val="00340C9F"/>
    <w:rsid w:val="00384C69"/>
    <w:rsid w:val="003B60A3"/>
    <w:rsid w:val="003B6365"/>
    <w:rsid w:val="00403CC4"/>
    <w:rsid w:val="00417439"/>
    <w:rsid w:val="004329E2"/>
    <w:rsid w:val="00434352"/>
    <w:rsid w:val="00437D77"/>
    <w:rsid w:val="0047560E"/>
    <w:rsid w:val="00476F3B"/>
    <w:rsid w:val="00520D15"/>
    <w:rsid w:val="00586C4A"/>
    <w:rsid w:val="00590505"/>
    <w:rsid w:val="005941B5"/>
    <w:rsid w:val="0059614C"/>
    <w:rsid w:val="005B670D"/>
    <w:rsid w:val="005C680C"/>
    <w:rsid w:val="005D7055"/>
    <w:rsid w:val="006212E8"/>
    <w:rsid w:val="00622455"/>
    <w:rsid w:val="006459B8"/>
    <w:rsid w:val="00681EF9"/>
    <w:rsid w:val="006A595A"/>
    <w:rsid w:val="006B2A78"/>
    <w:rsid w:val="006C1BA8"/>
    <w:rsid w:val="006D75D8"/>
    <w:rsid w:val="00740D57"/>
    <w:rsid w:val="00747FE3"/>
    <w:rsid w:val="00760479"/>
    <w:rsid w:val="00796677"/>
    <w:rsid w:val="007E6026"/>
    <w:rsid w:val="007E6ABE"/>
    <w:rsid w:val="00881EF9"/>
    <w:rsid w:val="00884E1F"/>
    <w:rsid w:val="008915AE"/>
    <w:rsid w:val="00905135"/>
    <w:rsid w:val="00966B9A"/>
    <w:rsid w:val="009A3AB7"/>
    <w:rsid w:val="009B2817"/>
    <w:rsid w:val="009F2D21"/>
    <w:rsid w:val="009F5614"/>
    <w:rsid w:val="00A37AEC"/>
    <w:rsid w:val="00A7017B"/>
    <w:rsid w:val="00A90BA2"/>
    <w:rsid w:val="00AD1FAE"/>
    <w:rsid w:val="00AE640D"/>
    <w:rsid w:val="00B3271A"/>
    <w:rsid w:val="00B53DBC"/>
    <w:rsid w:val="00B83A6A"/>
    <w:rsid w:val="00C657F3"/>
    <w:rsid w:val="00C768F3"/>
    <w:rsid w:val="00CD2131"/>
    <w:rsid w:val="00D03150"/>
    <w:rsid w:val="00D273CC"/>
    <w:rsid w:val="00DA5BBB"/>
    <w:rsid w:val="00DB1141"/>
    <w:rsid w:val="00E52EF2"/>
    <w:rsid w:val="00E5499E"/>
    <w:rsid w:val="00E94271"/>
    <w:rsid w:val="00F06A59"/>
    <w:rsid w:val="00F515A3"/>
    <w:rsid w:val="00FF7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8C60"/>
  <w15:chartTrackingRefBased/>
  <w15:docId w15:val="{888F539B-7632-4748-BD04-DFF61125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A59"/>
    <w:rPr>
      <w:rFonts w:ascii="Arial" w:hAnsi="Arial"/>
      <w:sz w:val="22"/>
      <w:lang w:val="en-GB"/>
    </w:rPr>
  </w:style>
  <w:style w:type="paragraph" w:styleId="1">
    <w:name w:val="heading 1"/>
    <w:basedOn w:val="a"/>
    <w:next w:val="a"/>
    <w:link w:val="10"/>
    <w:uiPriority w:val="9"/>
    <w:qFormat/>
    <w:rsid w:val="00F0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6A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6A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6A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6A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6A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6A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6A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A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6A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6A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6A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6A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6A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6A59"/>
    <w:rPr>
      <w:rFonts w:eastAsiaTheme="majorEastAsia" w:cstheme="majorBidi"/>
      <w:color w:val="595959" w:themeColor="text1" w:themeTint="A6"/>
    </w:rPr>
  </w:style>
  <w:style w:type="character" w:customStyle="1" w:styleId="80">
    <w:name w:val="Заголовок 8 Знак"/>
    <w:basedOn w:val="a0"/>
    <w:link w:val="8"/>
    <w:uiPriority w:val="9"/>
    <w:semiHidden/>
    <w:rsid w:val="00F06A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6A59"/>
    <w:rPr>
      <w:rFonts w:eastAsiaTheme="majorEastAsia" w:cstheme="majorBidi"/>
      <w:color w:val="272727" w:themeColor="text1" w:themeTint="D8"/>
    </w:rPr>
  </w:style>
  <w:style w:type="paragraph" w:styleId="a3">
    <w:name w:val="Title"/>
    <w:basedOn w:val="a"/>
    <w:next w:val="a"/>
    <w:link w:val="a4"/>
    <w:uiPriority w:val="10"/>
    <w:qFormat/>
    <w:rsid w:val="00F0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6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A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6A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6A59"/>
    <w:pPr>
      <w:spacing w:before="160"/>
      <w:jc w:val="center"/>
    </w:pPr>
    <w:rPr>
      <w:i/>
      <w:iCs/>
      <w:color w:val="404040" w:themeColor="text1" w:themeTint="BF"/>
    </w:rPr>
  </w:style>
  <w:style w:type="character" w:customStyle="1" w:styleId="22">
    <w:name w:val="Цитата 2 Знак"/>
    <w:basedOn w:val="a0"/>
    <w:link w:val="21"/>
    <w:uiPriority w:val="29"/>
    <w:rsid w:val="00F06A59"/>
    <w:rPr>
      <w:i/>
      <w:iCs/>
      <w:color w:val="404040" w:themeColor="text1" w:themeTint="BF"/>
    </w:rPr>
  </w:style>
  <w:style w:type="paragraph" w:styleId="a7">
    <w:name w:val="List Paragraph"/>
    <w:basedOn w:val="a"/>
    <w:uiPriority w:val="34"/>
    <w:qFormat/>
    <w:rsid w:val="00F06A59"/>
    <w:pPr>
      <w:ind w:left="720"/>
      <w:contextualSpacing/>
    </w:pPr>
  </w:style>
  <w:style w:type="character" w:styleId="a8">
    <w:name w:val="Intense Emphasis"/>
    <w:basedOn w:val="a0"/>
    <w:uiPriority w:val="21"/>
    <w:qFormat/>
    <w:rsid w:val="00F06A59"/>
    <w:rPr>
      <w:i/>
      <w:iCs/>
      <w:color w:val="0F4761" w:themeColor="accent1" w:themeShade="BF"/>
    </w:rPr>
  </w:style>
  <w:style w:type="paragraph" w:styleId="a9">
    <w:name w:val="Intense Quote"/>
    <w:basedOn w:val="a"/>
    <w:next w:val="a"/>
    <w:link w:val="aa"/>
    <w:uiPriority w:val="30"/>
    <w:qFormat/>
    <w:rsid w:val="00F0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6A59"/>
    <w:rPr>
      <w:i/>
      <w:iCs/>
      <w:color w:val="0F4761" w:themeColor="accent1" w:themeShade="BF"/>
    </w:rPr>
  </w:style>
  <w:style w:type="character" w:styleId="ab">
    <w:name w:val="Intense Reference"/>
    <w:basedOn w:val="a0"/>
    <w:uiPriority w:val="32"/>
    <w:qFormat/>
    <w:rsid w:val="00F06A59"/>
    <w:rPr>
      <w:b/>
      <w:bCs/>
      <w:smallCaps/>
      <w:color w:val="0F4761" w:themeColor="accent1" w:themeShade="BF"/>
      <w:spacing w:val="5"/>
    </w:rPr>
  </w:style>
  <w:style w:type="paragraph" w:styleId="ac">
    <w:name w:val="header"/>
    <w:basedOn w:val="a"/>
    <w:link w:val="ad"/>
    <w:uiPriority w:val="99"/>
    <w:unhideWhenUsed/>
    <w:rsid w:val="00F06A5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06A59"/>
  </w:style>
  <w:style w:type="paragraph" w:styleId="ae">
    <w:name w:val="footer"/>
    <w:basedOn w:val="a"/>
    <w:link w:val="af"/>
    <w:uiPriority w:val="99"/>
    <w:unhideWhenUsed/>
    <w:rsid w:val="00F06A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06A59"/>
  </w:style>
  <w:style w:type="table" w:styleId="af0">
    <w:name w:val="Table Grid"/>
    <w:basedOn w:val="a1"/>
    <w:uiPriority w:val="39"/>
    <w:rsid w:val="00F06A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1F25A9"/>
    <w:pPr>
      <w:spacing w:before="100" w:beforeAutospacing="1" w:after="100" w:afterAutospacing="1" w:line="240" w:lineRule="auto"/>
    </w:pPr>
    <w:rPr>
      <w:rFonts w:ascii="Times New Roman" w:eastAsia="Times New Roman" w:hAnsi="Times New Roman" w:cs="Times New Roman"/>
      <w:kern w:val="0"/>
      <w:sz w:val="24"/>
      <w:lang w:val="lt-LT" w:eastAsia="lt-LT"/>
      <w14:ligatures w14:val="none"/>
    </w:rPr>
  </w:style>
  <w:style w:type="paragraph" w:styleId="23">
    <w:name w:val="Body Text Indent 2"/>
    <w:basedOn w:val="a"/>
    <w:link w:val="24"/>
    <w:rsid w:val="00417439"/>
    <w:pPr>
      <w:spacing w:after="120" w:line="480" w:lineRule="auto"/>
      <w:ind w:left="283"/>
    </w:pPr>
    <w:rPr>
      <w:rFonts w:ascii="Times New Roman" w:eastAsia="Times New Roman" w:hAnsi="Times New Roman" w:cs="Times New Roman"/>
      <w:kern w:val="0"/>
      <w:sz w:val="24"/>
      <w:lang w:val="ru-RU" w:eastAsia="ru-RU"/>
      <w14:ligatures w14:val="none"/>
    </w:rPr>
  </w:style>
  <w:style w:type="character" w:customStyle="1" w:styleId="24">
    <w:name w:val="Основной текст с отступом 2 Знак"/>
    <w:basedOn w:val="a0"/>
    <w:link w:val="23"/>
    <w:rsid w:val="00417439"/>
    <w:rPr>
      <w:rFonts w:ascii="Times New Roman" w:eastAsia="Times New Roman" w:hAnsi="Times New Roman" w:cs="Times New Roman"/>
      <w:kern w:val="0"/>
      <w:lang w:val="ru-RU" w:eastAsia="ru-RU"/>
      <w14:ligatures w14:val="none"/>
    </w:rPr>
  </w:style>
  <w:style w:type="paragraph" w:styleId="af2">
    <w:name w:val="Body Text"/>
    <w:basedOn w:val="a"/>
    <w:link w:val="af3"/>
    <w:uiPriority w:val="99"/>
    <w:semiHidden/>
    <w:unhideWhenUsed/>
    <w:rsid w:val="000662DD"/>
    <w:pPr>
      <w:spacing w:after="120"/>
    </w:pPr>
  </w:style>
  <w:style w:type="character" w:customStyle="1" w:styleId="af3">
    <w:name w:val="Основной текст Знак"/>
    <w:basedOn w:val="a0"/>
    <w:link w:val="af2"/>
    <w:rsid w:val="000662D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48397-3B2C-400E-8125-B254BEF76DAA}">
  <ds:schemaRefs>
    <ds:schemaRef ds:uri="http://schemas.openxmlformats.org/officeDocument/2006/bibliography"/>
  </ds:schemaRefs>
</ds:datastoreItem>
</file>

<file path=customXml/itemProps2.xml><?xml version="1.0" encoding="utf-8"?>
<ds:datastoreItem xmlns:ds="http://schemas.openxmlformats.org/officeDocument/2006/customXml" ds:itemID="{2E0D8770-0BC7-4C50-A5FF-5DD122A8F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322EA-66A1-48FC-891A-B7C6C70BB125}">
  <ds:schemaRefs>
    <ds:schemaRef ds:uri="http://schemas.microsoft.com/sharepoint/v3/contenttype/forms"/>
  </ds:schemaRefs>
</ds:datastoreItem>
</file>

<file path=customXml/itemProps4.xml><?xml version="1.0" encoding="utf-8"?>
<ds:datastoreItem xmlns:ds="http://schemas.openxmlformats.org/officeDocument/2006/customXml" ds:itemID="{2CB92B0C-4278-48FD-92AD-ABDADB395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Vasiljeva</dc:creator>
  <cp:keywords/>
  <dc:description/>
  <cp:lastModifiedBy>Nadežda Šepliakova</cp:lastModifiedBy>
  <cp:revision>11</cp:revision>
  <dcterms:created xsi:type="dcterms:W3CDTF">2026-02-23T13:45:00Z</dcterms:created>
  <dcterms:modified xsi:type="dcterms:W3CDTF">2026-02-23T13:56:00Z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2025-12-18T10:27:45Z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12e8c062-233b-4339-aaf7-27f19e2424a8</vt:lpwstr>
  </property>
  <property fmtid="{D5CDD505-2E9C-101B-9397-08002B2CF9AE}" pid="8" name="MSIP_Label_5652a4bc-0c76-46cb-8b15-e5e0f68b9771_ContentBits">
    <vt:lpwstr>0</vt:lpwstr>
  </property>
  <property fmtid="{D5CDD505-2E9C-101B-9397-08002B2CF9AE}" pid="9" name="MSIP_Label_5652a4bc-0c76-46cb-8b15-e5e0f68b9771_Tag">
    <vt:lpwstr>10, 3, 0, 1</vt:lpwstr>
  </property>
  <property fmtid="{D5CDD505-2E9C-101B-9397-08002B2CF9AE}" pid="10" name="ContentTypeId">
    <vt:lpwstr>0x010100C63193AE96150145AA6C986EF8354E8E</vt:lpwstr>
  </property>
</Properties>
</file>