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EB1F25B"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B8517E">
            <w:rPr>
              <w:rFonts w:ascii="Times New Roman" w:eastAsia="Times New Roman" w:hAnsi="Times New Roman" w:cs="Times New Roman"/>
              <w:noProof/>
              <w:sz w:val="22"/>
              <w:szCs w:val="22"/>
            </w:rPr>
            <w:t>02</w:t>
          </w:r>
          <w:r>
            <w:rPr>
              <w:rFonts w:ascii="Times New Roman" w:eastAsia="Times New Roman" w:hAnsi="Times New Roman" w:cs="Times New Roman"/>
              <w:noProof/>
              <w:sz w:val="22"/>
              <w:szCs w:val="22"/>
            </w:rPr>
            <w:t>-</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299A21F1" w:rsidR="004340A0" w:rsidRDefault="00486D71" w:rsidP="007A232C">
          <w:pPr>
            <w:pStyle w:val="Betarp"/>
            <w:jc w:val="center"/>
            <w:rPr>
              <w:rFonts w:ascii="Times New Roman" w:hAnsi="Times New Roman" w:cs="Times New Roman"/>
              <w:b/>
              <w:bCs/>
              <w:sz w:val="24"/>
              <w:szCs w:val="24"/>
            </w:rPr>
          </w:pPr>
          <w:r w:rsidRPr="00486D71">
            <w:rPr>
              <w:rFonts w:ascii="Times New Roman" w:hAnsi="Times New Roman" w:cs="Times New Roman"/>
              <w:b/>
              <w:bCs/>
              <w:sz w:val="24"/>
              <w:szCs w:val="24"/>
            </w:rPr>
            <w:t>TARPTAUTINIO VIEŠOJO PIRKIMO „</w:t>
          </w:r>
          <w:r w:rsidR="007A232C" w:rsidRPr="007A232C">
            <w:rPr>
              <w:rFonts w:ascii="Times New Roman" w:eastAsia="LiberationSerif-Bold" w:hAnsi="Times New Roman" w:cs="Times New Roman"/>
              <w:b/>
              <w:bCs/>
              <w:sz w:val="24"/>
              <w:szCs w:val="24"/>
            </w:rPr>
            <w:t>VIENKARTINĖS MEDICINOS PRIEMONĖS. ATSIURBIMO KATETERIAI SU TRIŠAKIU</w:t>
          </w:r>
          <w:r w:rsidRPr="00486D71">
            <w:rPr>
              <w:rFonts w:ascii="Times New Roman" w:hAnsi="Times New Roman" w:cs="Times New Roman"/>
              <w:b/>
              <w:bCs/>
              <w:sz w:val="24"/>
              <w:szCs w:val="24"/>
            </w:rPr>
            <w:t>“</w:t>
          </w:r>
        </w:p>
        <w:p w14:paraId="51AEABFE" w14:textId="77777777" w:rsidR="00744517" w:rsidRPr="00486D71" w:rsidRDefault="00744517" w:rsidP="007A232C">
          <w:pPr>
            <w:pStyle w:val="Betarp"/>
            <w:jc w:val="center"/>
            <w:rPr>
              <w:rFonts w:ascii="Times New Roman" w:hAnsi="Times New Roman" w:cs="Times New Roman"/>
              <w:b/>
              <w:bCs/>
              <w:sz w:val="24"/>
              <w:szCs w:val="24"/>
            </w:rPr>
          </w:pPr>
        </w:p>
        <w:p w14:paraId="51C1C091" w14:textId="133E417F" w:rsidR="004340A0" w:rsidRPr="00486D71" w:rsidRDefault="00486D71" w:rsidP="00486D71">
          <w:pPr>
            <w:spacing w:line="259" w:lineRule="auto"/>
            <w:jc w:val="center"/>
            <w:rPr>
              <w:rFonts w:ascii="Times New Roman" w:hAnsi="Times New Roman" w:cs="Times New Roman"/>
              <w:b/>
              <w:bCs/>
              <w:sz w:val="24"/>
              <w:szCs w:val="24"/>
            </w:rPr>
          </w:pPr>
          <w:r w:rsidRPr="00486D71">
            <w:rPr>
              <w:rFonts w:ascii="Times New Roman" w:hAnsi="Times New Roman" w:cs="Times New Roman"/>
              <w:b/>
              <w:bCs/>
              <w:sz w:val="24"/>
              <w:szCs w:val="24"/>
            </w:rPr>
            <w:t>ATVIRO KONKURSO SPECIALIOSIOS SĄLYGOS</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41402BFA" w:rsidR="00A43106" w:rsidRPr="009F1735" w:rsidRDefault="00A43106" w:rsidP="00EC5E7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Pr="009F1735">
                  <w:rPr>
                    <w:noProof/>
                    <w:webHidden/>
                    <w:sz w:val="20"/>
                    <w:szCs w:val="20"/>
                  </w:rPr>
                  <w:tab/>
                </w:r>
              </w:hyperlink>
            </w:p>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29339A"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29339A">
        <w:rPr>
          <w:rFonts w:cs="Times New Roman"/>
          <w:color w:val="auto"/>
          <w:sz w:val="22"/>
          <w:szCs w:val="22"/>
          <w:lang w:val="lt-LT"/>
        </w:rPr>
        <w:t xml:space="preserve">Perkančioji organizacija - VšĮ Klaipėdos universiteto ligoninė, juridinio asmens kodas 306207585, adresas: Liepojos g. 41, LT-92288, Klaipėda. </w:t>
      </w:r>
      <w:r w:rsidRPr="0029339A">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29339A">
        <w:rPr>
          <w:rFonts w:cs="Times New Roman"/>
          <w:color w:val="auto"/>
          <w:sz w:val="22"/>
          <w:szCs w:val="22"/>
          <w:bdr w:val="nil"/>
          <w:lang w:val="lt-LT"/>
        </w:rPr>
        <w:t xml:space="preserve"> </w:t>
      </w:r>
    </w:p>
    <w:p w14:paraId="19615457" w14:textId="083C0880" w:rsidR="00FF1D57" w:rsidRPr="0029339A"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Pr>
          <w:rFonts w:ascii="Times New Roman" w:hAnsi="Times New Roman" w:cs="Times New Roman"/>
          <w:sz w:val="22"/>
          <w:szCs w:val="22"/>
        </w:rPr>
        <w:t>.</w:t>
      </w:r>
      <w:r w:rsidRPr="0029339A">
        <w:rPr>
          <w:rFonts w:ascii="Times New Roman" w:hAnsi="Times New Roman" w:cs="Times New Roman"/>
          <w:sz w:val="22"/>
          <w:szCs w:val="22"/>
        </w:rPr>
        <w:t xml:space="preserve"> </w:t>
      </w:r>
    </w:p>
    <w:p w14:paraId="39603E6D" w14:textId="58A82E42" w:rsidR="005E62F0" w:rsidRPr="0029339A"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29339A">
        <w:rPr>
          <w:rFonts w:ascii="Times New Roman" w:hAnsi="Times New Roman" w:cs="Times New Roman"/>
          <w:sz w:val="22"/>
          <w:szCs w:val="22"/>
        </w:rPr>
        <w:t xml:space="preserve">Atliekamas žaliasis pirkimas. Pirkimas vykdomas vadovaujantis </w:t>
      </w:r>
      <w:r w:rsidR="00575E64" w:rsidRPr="0029339A">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29339A">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29339A">
        <w:rPr>
          <w:rFonts w:ascii="Times New Roman" w:hAnsi="Times New Roman" w:cs="Times New Roman"/>
          <w:sz w:val="22"/>
          <w:szCs w:val="22"/>
        </w:rPr>
        <w:t>o patvirtinimo“,</w:t>
      </w:r>
      <w:r w:rsidR="0072730C"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4.4.4.</w:t>
      </w:r>
      <w:r w:rsidR="009D02C4" w:rsidRPr="0029339A">
        <w:rPr>
          <w:rFonts w:ascii="Times New Roman" w:hAnsi="Times New Roman" w:cs="Times New Roman"/>
          <w:sz w:val="22"/>
          <w:szCs w:val="22"/>
        </w:rPr>
        <w:t>1</w:t>
      </w:r>
      <w:r w:rsidR="009D4835" w:rsidRPr="0029339A">
        <w:rPr>
          <w:rFonts w:ascii="Times New Roman" w:hAnsi="Times New Roman" w:cs="Times New Roman"/>
          <w:sz w:val="22"/>
          <w:szCs w:val="22"/>
        </w:rPr>
        <w:t xml:space="preserve"> </w:t>
      </w:r>
      <w:r w:rsidRPr="0029339A">
        <w:rPr>
          <w:rFonts w:ascii="Times New Roman" w:hAnsi="Times New Roman" w:cs="Times New Roman"/>
          <w:sz w:val="22"/>
          <w:szCs w:val="22"/>
        </w:rPr>
        <w:t>punktu</w:t>
      </w:r>
      <w:r w:rsidR="009D4835" w:rsidRPr="0029339A">
        <w:rPr>
          <w:rFonts w:ascii="Times New Roman" w:hAnsi="Times New Roman" w:cs="Times New Roman"/>
          <w:sz w:val="22"/>
          <w:szCs w:val="22"/>
        </w:rPr>
        <w:t xml:space="preserve"> </w:t>
      </w:r>
      <w:r w:rsidR="009D02C4" w:rsidRPr="0029339A">
        <w:rPr>
          <w:rFonts w:ascii="Times New Roman" w:hAnsi="Times New Roman" w:cs="Times New Roman"/>
          <w:sz w:val="22"/>
          <w:szCs w:val="22"/>
        </w:rPr>
        <w:t>–</w:t>
      </w:r>
      <w:r w:rsidR="00014951" w:rsidRPr="0029339A">
        <w:rPr>
          <w:rFonts w:ascii="Times New Roman" w:hAnsi="Times New Roman" w:cs="Times New Roman"/>
          <w:sz w:val="22"/>
          <w:szCs w:val="22"/>
        </w:rPr>
        <w:t xml:space="preserve"> </w:t>
      </w:r>
      <w:r w:rsidR="009D4835" w:rsidRPr="0029339A">
        <w:rPr>
          <w:rFonts w:ascii="Times New Roman" w:hAnsi="Times New Roman" w:cs="Times New Roman"/>
          <w:sz w:val="22"/>
          <w:szCs w:val="22"/>
        </w:rPr>
        <w:t>pirkimo vykdytojas savarankiškai nustat</w:t>
      </w:r>
      <w:r w:rsidR="009D02C4" w:rsidRPr="0029339A">
        <w:rPr>
          <w:rFonts w:ascii="Times New Roman" w:hAnsi="Times New Roman" w:cs="Times New Roman"/>
          <w:sz w:val="22"/>
          <w:szCs w:val="22"/>
        </w:rPr>
        <w:t>ė</w:t>
      </w:r>
      <w:r w:rsidR="009D4835" w:rsidRPr="0029339A">
        <w:rPr>
          <w:rFonts w:ascii="Times New Roman" w:hAnsi="Times New Roman" w:cs="Times New Roman"/>
          <w:sz w:val="22"/>
          <w:szCs w:val="22"/>
        </w:rPr>
        <w:t xml:space="preserve"> aplinkos apsaugos kriterijus</w:t>
      </w:r>
      <w:r w:rsidR="009D02C4" w:rsidRPr="0029339A">
        <w:rPr>
          <w:rFonts w:ascii="Times New Roman" w:hAnsi="Times New Roman" w:cs="Times New Roman"/>
          <w:sz w:val="22"/>
          <w:szCs w:val="22"/>
        </w:rPr>
        <w:t>, susijusius su pirkimo objektu.</w:t>
      </w:r>
      <w:r w:rsidRPr="0029339A">
        <w:rPr>
          <w:rFonts w:ascii="Times New Roman" w:hAnsi="Times New Roman" w:cs="Times New Roman"/>
          <w:sz w:val="22"/>
          <w:szCs w:val="22"/>
        </w:rPr>
        <w:t xml:space="preserve"> Aplinkos apaugos kriterijai nustatyti </w:t>
      </w:r>
      <w:r w:rsidR="009D4835" w:rsidRPr="0029339A">
        <w:rPr>
          <w:rFonts w:ascii="Times New Roman" w:hAnsi="Times New Roman" w:cs="Times New Roman"/>
          <w:sz w:val="22"/>
          <w:szCs w:val="22"/>
        </w:rPr>
        <w:t>specialiųjų 1</w:t>
      </w:r>
      <w:r w:rsidR="00D5736C">
        <w:rPr>
          <w:rFonts w:ascii="Times New Roman" w:hAnsi="Times New Roman" w:cs="Times New Roman"/>
          <w:sz w:val="22"/>
          <w:szCs w:val="22"/>
        </w:rPr>
        <w:t>0</w:t>
      </w:r>
      <w:r w:rsidR="009D4835" w:rsidRPr="0029339A">
        <w:rPr>
          <w:rFonts w:ascii="Times New Roman" w:hAnsi="Times New Roman" w:cs="Times New Roman"/>
          <w:sz w:val="22"/>
          <w:szCs w:val="22"/>
        </w:rPr>
        <w:t xml:space="preserve"> priede – Sutarties projekte</w:t>
      </w:r>
      <w:r w:rsidR="000424C6" w:rsidRPr="0029339A">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29339A">
        <w:rPr>
          <w:rFonts w:ascii="Times New Roman" w:eastAsia="Arial" w:hAnsi="Times New Roman" w:cs="Times New Roman"/>
          <w:sz w:val="22"/>
          <w:szCs w:val="22"/>
        </w:rPr>
        <w:t xml:space="preserve">Išankstinis skelbimas apie </w:t>
      </w:r>
      <w:r w:rsidR="007A68AD" w:rsidRPr="0029339A">
        <w:rPr>
          <w:rFonts w:ascii="Times New Roman" w:eastAsia="Arial" w:hAnsi="Times New Roman" w:cs="Times New Roman"/>
          <w:sz w:val="22"/>
          <w:szCs w:val="22"/>
        </w:rPr>
        <w:t>p</w:t>
      </w:r>
      <w:r w:rsidRPr="0029339A">
        <w:rPr>
          <w:rFonts w:ascii="Times New Roman" w:eastAsia="Arial" w:hAnsi="Times New Roman" w:cs="Times New Roman"/>
          <w:sz w:val="22"/>
          <w:szCs w:val="22"/>
        </w:rPr>
        <w:t>irkimą neb</w:t>
      </w:r>
      <w:r w:rsidRPr="00AE7CE1">
        <w:rPr>
          <w:rFonts w:ascii="Times New Roman" w:eastAsia="Arial" w:hAnsi="Times New Roman" w:cs="Times New Roman"/>
          <w:sz w:val="22"/>
          <w:szCs w:val="22"/>
        </w:rPr>
        <w:t>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6A61DE89"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sidR="0050752E">
        <w:rPr>
          <w:rFonts w:ascii="Times New Roman" w:hAnsi="Times New Roman" w:cs="Times New Roman"/>
          <w:sz w:val="22"/>
          <w:szCs w:val="22"/>
        </w:rPr>
        <w:t>Birutė Navickienė</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w:t>
      </w:r>
      <w:r w:rsidR="0050752E">
        <w:rPr>
          <w:rFonts w:ascii="Times New Roman" w:hAnsi="Times New Roman" w:cs="Times New Roman"/>
          <w:sz w:val="22"/>
          <w:szCs w:val="22"/>
        </w:rPr>
        <w:t xml:space="preserve">riausioji </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 xml:space="preserve">46 </w:t>
      </w:r>
      <w:r w:rsidR="0050752E">
        <w:rPr>
          <w:rFonts w:ascii="Times New Roman" w:hAnsi="Times New Roman" w:cs="Times New Roman"/>
          <w:sz w:val="22"/>
          <w:szCs w:val="22"/>
        </w:rPr>
        <w:t>491014</w:t>
      </w:r>
      <w:r w:rsidRPr="00304C98">
        <w:rPr>
          <w:rFonts w:ascii="Times New Roman" w:hAnsi="Times New Roman" w:cs="Times New Roman"/>
          <w:sz w:val="22"/>
          <w:szCs w:val="22"/>
        </w:rPr>
        <w:t xml:space="preserve">, el. p. </w:t>
      </w:r>
      <w:r w:rsidR="0050752E">
        <w:rPr>
          <w:rFonts w:ascii="Times New Roman" w:hAnsi="Times New Roman" w:cs="Times New Roman"/>
          <w:sz w:val="22"/>
          <w:szCs w:val="22"/>
        </w:rPr>
        <w:t>birute.navickiene</w:t>
      </w:r>
      <w:r w:rsidRPr="00304C98">
        <w:rPr>
          <w:rFonts w:ascii="Times New Roman" w:hAnsi="Times New Roman" w:cs="Times New Roman"/>
          <w:sz w:val="22"/>
          <w:szCs w:val="22"/>
        </w:rPr>
        <w:t>@</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245E4452" w:rsidR="0002025E" w:rsidRPr="0029339A"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50752E">
        <w:rPr>
          <w:rFonts w:ascii="Times New Roman" w:eastAsia="Calibri" w:hAnsi="Times New Roman" w:cs="Times New Roman"/>
          <w:color w:val="000000" w:themeColor="text1"/>
          <w:sz w:val="22"/>
          <w:szCs w:val="22"/>
        </w:rPr>
        <w:t>Perkančioji organizacija numato įsigyti</w:t>
      </w:r>
      <w:r w:rsidR="00575E64" w:rsidRPr="0050752E">
        <w:rPr>
          <w:rFonts w:ascii="Times New Roman" w:eastAsia="Calibri" w:hAnsi="Times New Roman" w:cs="Times New Roman"/>
          <w:color w:val="000000" w:themeColor="text1"/>
          <w:sz w:val="22"/>
          <w:szCs w:val="22"/>
        </w:rPr>
        <w:t xml:space="preserve"> </w:t>
      </w:r>
      <w:r w:rsidR="00486D71" w:rsidRPr="002D31AD">
        <w:rPr>
          <w:rFonts w:ascii="Times New Roman" w:eastAsia="LiberationSerif-Bold" w:hAnsi="Times New Roman" w:cs="Times New Roman"/>
          <w:sz w:val="22"/>
          <w:szCs w:val="22"/>
          <w:lang w:eastAsia="en-US"/>
        </w:rPr>
        <w:t>Vienkartines medicinos priemones</w:t>
      </w:r>
      <w:r w:rsidR="00B8517E">
        <w:rPr>
          <w:rFonts w:ascii="Times New Roman" w:eastAsia="LiberationSerif-Bold" w:hAnsi="Times New Roman" w:cs="Times New Roman"/>
          <w:sz w:val="22"/>
          <w:szCs w:val="22"/>
          <w:lang w:eastAsia="en-US"/>
        </w:rPr>
        <w:t xml:space="preserve"> </w:t>
      </w:r>
      <w:r w:rsidR="006738B3">
        <w:rPr>
          <w:rFonts w:ascii="Times New Roman" w:eastAsia="LiberationSerif-Bold" w:hAnsi="Times New Roman" w:cs="Times New Roman"/>
          <w:sz w:val="22"/>
          <w:szCs w:val="22"/>
          <w:lang w:eastAsia="en-US"/>
        </w:rPr>
        <w:t>–</w:t>
      </w:r>
      <w:r w:rsidR="00486D71" w:rsidRPr="002D31AD">
        <w:rPr>
          <w:rFonts w:ascii="Times New Roman" w:eastAsia="LiberationSerif-Bold" w:hAnsi="Times New Roman" w:cs="Times New Roman"/>
          <w:sz w:val="22"/>
          <w:szCs w:val="22"/>
          <w:lang w:eastAsia="en-US"/>
        </w:rPr>
        <w:t xml:space="preserve"> </w:t>
      </w:r>
      <w:r w:rsidR="005A5DE1">
        <w:rPr>
          <w:rFonts w:ascii="Times New Roman" w:eastAsia="LiberationSerif-Bold" w:hAnsi="Times New Roman" w:cs="Times New Roman"/>
          <w:sz w:val="22"/>
          <w:szCs w:val="22"/>
          <w:lang w:eastAsia="en-US"/>
        </w:rPr>
        <w:t>Atsiurbimo kateterius</w:t>
      </w:r>
      <w:r w:rsidR="006738B3">
        <w:rPr>
          <w:rFonts w:ascii="Times New Roman" w:eastAsia="LiberationSerif-Bold" w:hAnsi="Times New Roman" w:cs="Times New Roman"/>
          <w:sz w:val="22"/>
          <w:szCs w:val="22"/>
          <w:lang w:eastAsia="en-US"/>
        </w:rPr>
        <w:t xml:space="preserve"> su trišakiu</w:t>
      </w:r>
      <w:r w:rsidR="005D2622">
        <w:rPr>
          <w:rFonts w:ascii="Times New Roman" w:eastAsia="LiberationSerif-Bold" w:hAnsi="Times New Roman" w:cs="Times New Roman"/>
          <w:sz w:val="22"/>
          <w:szCs w:val="22"/>
          <w:lang w:eastAsia="en-US"/>
        </w:rPr>
        <w:t xml:space="preserve"> ir kitas vienkartines medicinines priemones.</w:t>
      </w:r>
      <w:r w:rsidR="004E3CDF" w:rsidRPr="0050752E">
        <w:rPr>
          <w:rFonts w:ascii="Times New Roman" w:eastAsia="Calibri" w:hAnsi="Times New Roman" w:cs="Times New Roman"/>
          <w:color w:val="000000" w:themeColor="text1"/>
          <w:sz w:val="22"/>
          <w:szCs w:val="22"/>
        </w:rPr>
        <w:t xml:space="preserve"> </w:t>
      </w:r>
      <w:r w:rsidR="0002025E" w:rsidRPr="0050752E">
        <w:rPr>
          <w:rFonts w:ascii="Times New Roman" w:hAnsi="Times New Roman" w:cs="Times New Roman"/>
          <w:sz w:val="22"/>
          <w:szCs w:val="22"/>
        </w:rPr>
        <w:t xml:space="preserve">Reikalavimai pirkimo objektui nustatyti specialiųjų pirkimo sąlygų </w:t>
      </w:r>
      <w:r w:rsidR="00EE4732" w:rsidRPr="0050752E">
        <w:rPr>
          <w:rFonts w:ascii="Times New Roman" w:hAnsi="Times New Roman" w:cs="Times New Roman"/>
          <w:sz w:val="22"/>
          <w:szCs w:val="22"/>
        </w:rPr>
        <w:t>6</w:t>
      </w:r>
      <w:r w:rsidR="0002025E" w:rsidRPr="0050752E">
        <w:rPr>
          <w:rFonts w:ascii="Times New Roman" w:hAnsi="Times New Roman" w:cs="Times New Roman"/>
          <w:b/>
          <w:bCs/>
          <w:sz w:val="22"/>
          <w:szCs w:val="22"/>
        </w:rPr>
        <w:t xml:space="preserve"> </w:t>
      </w:r>
      <w:r w:rsidR="0002025E" w:rsidRPr="0029339A">
        <w:rPr>
          <w:rFonts w:ascii="Times New Roman" w:hAnsi="Times New Roman" w:cs="Times New Roman"/>
          <w:sz w:val="22"/>
          <w:szCs w:val="22"/>
        </w:rPr>
        <w:t>priede „</w:t>
      </w:r>
      <w:r w:rsidR="00EE4732" w:rsidRPr="0029339A">
        <w:rPr>
          <w:rFonts w:ascii="Times New Roman" w:hAnsi="Times New Roman" w:cs="Times New Roman"/>
          <w:sz w:val="22"/>
          <w:szCs w:val="22"/>
        </w:rPr>
        <w:t>Pasiūlymo forma</w:t>
      </w:r>
      <w:r w:rsidR="0002025E" w:rsidRPr="0029339A">
        <w:rPr>
          <w:rFonts w:ascii="Times New Roman" w:hAnsi="Times New Roman" w:cs="Times New Roman"/>
          <w:sz w:val="22"/>
          <w:szCs w:val="22"/>
        </w:rPr>
        <w:t>“</w:t>
      </w:r>
      <w:r w:rsidR="002F3F83" w:rsidRPr="0029339A">
        <w:rPr>
          <w:rFonts w:ascii="Times New Roman" w:hAnsi="Times New Roman" w:cs="Times New Roman"/>
          <w:sz w:val="22"/>
          <w:szCs w:val="22"/>
        </w:rPr>
        <w:t xml:space="preserve"> (šiame priede nurodyti perkamoms prekėms keliami techniniai parametrai)</w:t>
      </w:r>
      <w:r w:rsidR="00A76E59" w:rsidRPr="0029339A">
        <w:rPr>
          <w:rFonts w:ascii="Times New Roman" w:hAnsi="Times New Roman" w:cs="Times New Roman"/>
          <w:sz w:val="22"/>
          <w:szCs w:val="22"/>
        </w:rPr>
        <w:t xml:space="preserve"> ir </w:t>
      </w:r>
      <w:r w:rsidR="0002025E" w:rsidRPr="0029339A">
        <w:rPr>
          <w:rFonts w:ascii="Times New Roman" w:hAnsi="Times New Roman" w:cs="Times New Roman"/>
          <w:sz w:val="22"/>
          <w:szCs w:val="22"/>
        </w:rPr>
        <w:t>1</w:t>
      </w:r>
      <w:r w:rsidR="00615583">
        <w:rPr>
          <w:rFonts w:ascii="Times New Roman" w:hAnsi="Times New Roman" w:cs="Times New Roman"/>
          <w:sz w:val="22"/>
          <w:szCs w:val="22"/>
        </w:rPr>
        <w:t>0</w:t>
      </w:r>
      <w:r w:rsidR="0002025E" w:rsidRPr="0029339A">
        <w:rPr>
          <w:rFonts w:ascii="Times New Roman" w:hAnsi="Times New Roman" w:cs="Times New Roman"/>
          <w:sz w:val="22"/>
          <w:szCs w:val="22"/>
        </w:rPr>
        <w:t xml:space="preserve"> priede „Sutarties projektas“</w:t>
      </w:r>
      <w:r w:rsidR="00605E8B" w:rsidRPr="0029339A">
        <w:rPr>
          <w:rFonts w:ascii="Times New Roman" w:hAnsi="Times New Roman" w:cs="Times New Roman"/>
          <w:sz w:val="22"/>
          <w:szCs w:val="22"/>
        </w:rPr>
        <w:t>.</w:t>
      </w:r>
    </w:p>
    <w:p w14:paraId="2F5302FB" w14:textId="3F40C6A2" w:rsidR="00615583" w:rsidRDefault="006029C8" w:rsidP="006029C8">
      <w:pPr>
        <w:pStyle w:val="Betarp"/>
        <w:ind w:firstLine="567"/>
        <w:contextualSpacing/>
        <w:jc w:val="both"/>
        <w:rPr>
          <w:rFonts w:ascii="Times New Roman" w:hAnsi="Times New Roman" w:cs="Times New Roman"/>
          <w:sz w:val="22"/>
          <w:szCs w:val="22"/>
        </w:rPr>
      </w:pPr>
      <w:r w:rsidRPr="0029339A">
        <w:rPr>
          <w:rFonts w:ascii="Times New Roman" w:hAnsi="Times New Roman" w:cs="Times New Roman"/>
          <w:sz w:val="22"/>
          <w:szCs w:val="22"/>
        </w:rPr>
        <w:t xml:space="preserve">2.2. Pirkimo objektas skaidomas į </w:t>
      </w:r>
      <w:r w:rsidR="006738B3">
        <w:rPr>
          <w:rFonts w:ascii="Times New Roman" w:hAnsi="Times New Roman" w:cs="Times New Roman"/>
          <w:sz w:val="22"/>
          <w:szCs w:val="22"/>
        </w:rPr>
        <w:t>4</w:t>
      </w:r>
      <w:r w:rsidR="00615583">
        <w:rPr>
          <w:rFonts w:ascii="Times New Roman" w:hAnsi="Times New Roman" w:cs="Times New Roman"/>
          <w:sz w:val="22"/>
          <w:szCs w:val="22"/>
        </w:rPr>
        <w:t xml:space="preserve"> </w:t>
      </w:r>
      <w:r w:rsidRPr="0029339A">
        <w:rPr>
          <w:rFonts w:ascii="Times New Roman" w:hAnsi="Times New Roman" w:cs="Times New Roman"/>
          <w:sz w:val="22"/>
          <w:szCs w:val="22"/>
        </w:rPr>
        <w:t>dal</w:t>
      </w:r>
      <w:r w:rsidR="00486D71">
        <w:rPr>
          <w:rFonts w:ascii="Times New Roman" w:hAnsi="Times New Roman" w:cs="Times New Roman"/>
          <w:sz w:val="22"/>
          <w:szCs w:val="22"/>
        </w:rPr>
        <w:t>i</w:t>
      </w:r>
      <w:r w:rsidR="006738B3">
        <w:rPr>
          <w:rFonts w:ascii="Times New Roman" w:hAnsi="Times New Roman" w:cs="Times New Roman"/>
          <w:sz w:val="22"/>
          <w:szCs w:val="22"/>
        </w:rPr>
        <w:t>s</w:t>
      </w:r>
      <w:r w:rsidR="00486D71">
        <w:rPr>
          <w:rFonts w:ascii="Times New Roman" w:hAnsi="Times New Roman" w:cs="Times New Roman"/>
          <w:sz w:val="22"/>
          <w:szCs w:val="22"/>
        </w:rPr>
        <w:t xml:space="preserve">. </w:t>
      </w:r>
      <w:r w:rsidR="00615583">
        <w:rPr>
          <w:rFonts w:ascii="Times New Roman" w:hAnsi="Times New Roman" w:cs="Times New Roman"/>
          <w:sz w:val="22"/>
          <w:szCs w:val="22"/>
        </w:rPr>
        <w:t xml:space="preserve"> </w:t>
      </w:r>
    </w:p>
    <w:p w14:paraId="31098B77" w14:textId="24A453F3" w:rsidR="005F3C2B" w:rsidRDefault="004E3CDF" w:rsidP="006029C8">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9D02C4" w:rsidRPr="009D02C4">
        <w:rPr>
          <w:rFonts w:ascii="Times New Roman" w:hAnsi="Times New Roman" w:cs="Times New Roman"/>
          <w:sz w:val="22"/>
          <w:szCs w:val="22"/>
        </w:rPr>
        <w:t>Pasiūlymas gali būti pateiktas dėl vienos</w:t>
      </w:r>
      <w:r w:rsidR="00486D71">
        <w:rPr>
          <w:rFonts w:ascii="Times New Roman" w:hAnsi="Times New Roman" w:cs="Times New Roman"/>
          <w:sz w:val="22"/>
          <w:szCs w:val="22"/>
        </w:rPr>
        <w:t xml:space="preserve"> kelių</w:t>
      </w:r>
      <w:r w:rsidR="009B3A44">
        <w:rPr>
          <w:rFonts w:ascii="Times New Roman" w:hAnsi="Times New Roman" w:cs="Times New Roman"/>
          <w:sz w:val="22"/>
          <w:szCs w:val="22"/>
        </w:rPr>
        <w:t xml:space="preserve"> </w:t>
      </w:r>
      <w:r>
        <w:rPr>
          <w:rFonts w:ascii="Times New Roman" w:hAnsi="Times New Roman" w:cs="Times New Roman"/>
          <w:sz w:val="22"/>
          <w:szCs w:val="22"/>
        </w:rPr>
        <w:t xml:space="preserve">ar </w:t>
      </w:r>
      <w:r w:rsidR="00486D71">
        <w:rPr>
          <w:rFonts w:ascii="Times New Roman" w:hAnsi="Times New Roman" w:cs="Times New Roman"/>
          <w:sz w:val="22"/>
          <w:szCs w:val="22"/>
        </w:rPr>
        <w:t>visų</w:t>
      </w:r>
      <w:r>
        <w:rPr>
          <w:rFonts w:ascii="Times New Roman" w:hAnsi="Times New Roman" w:cs="Times New Roman"/>
          <w:sz w:val="22"/>
          <w:szCs w:val="22"/>
        </w:rPr>
        <w:t xml:space="preserve">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005F3C2B" w:rsidRPr="00AE7CE1">
        <w:rPr>
          <w:rFonts w:ascii="Times New Roman" w:hAnsi="Times New Roman" w:cs="Times New Roman"/>
          <w:sz w:val="22"/>
          <w:szCs w:val="22"/>
        </w:rPr>
        <w:t xml:space="preserve">Pasiūlymas turi būti pateiktas visai </w:t>
      </w:r>
      <w:r w:rsidR="00A76E59" w:rsidRPr="00AE7CE1">
        <w:rPr>
          <w:rFonts w:ascii="Times New Roman" w:hAnsi="Times New Roman" w:cs="Times New Roman"/>
          <w:sz w:val="22"/>
          <w:szCs w:val="22"/>
        </w:rPr>
        <w:t xml:space="preserve">specialiųjų pirkimo </w:t>
      </w:r>
      <w:r w:rsidR="005F3C2B"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005F3C2B"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005F3C2B" w:rsidRPr="00D7310F">
        <w:rPr>
          <w:rFonts w:ascii="Times New Roman" w:hAnsi="Times New Roman" w:cs="Times New Roman"/>
          <w:sz w:val="22"/>
          <w:szCs w:val="22"/>
        </w:rPr>
        <w:t>nurodytai apimčiai</w:t>
      </w:r>
      <w:r w:rsidR="005F3C2B" w:rsidRPr="00AE7CE1">
        <w:rPr>
          <w:rFonts w:ascii="Times New Roman" w:hAnsi="Times New Roman" w:cs="Times New Roman"/>
          <w:sz w:val="22"/>
          <w:szCs w:val="22"/>
        </w:rPr>
        <w:t xml:space="preserve">. </w:t>
      </w:r>
    </w:p>
    <w:p w14:paraId="0CA81FB8" w14:textId="7AF09621"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nurodytas konkretus modelis ar tiekimo šaltinis, konkretus procesas, būdingas konkretaus tiekėjo tiekiamoms prekėms ar teikiamoms paslaugoms, ar prekių ženklas, paten</w:t>
      </w:r>
      <w:r w:rsidR="00486D71">
        <w:rPr>
          <w:rFonts w:ascii="Times New Roman" w:hAnsi="Times New Roman" w:cs="Times New Roman"/>
          <w:sz w:val="22"/>
          <w:szCs w:val="22"/>
        </w:rPr>
        <w:t>S</w:t>
      </w:r>
      <w:r w:rsidR="00E53E12" w:rsidRPr="00AE7CE1">
        <w:rPr>
          <w:rFonts w:ascii="Times New Roman" w:hAnsi="Times New Roman" w:cs="Times New Roman"/>
          <w:sz w:val="22"/>
          <w:szCs w:val="22"/>
        </w:rPr>
        <w:t xml:space="preserve">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4BC17751"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15583">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xml:space="preserve">, </w:t>
      </w:r>
      <w:r w:rsidR="009B42DA" w:rsidRPr="00E874D7">
        <w:rPr>
          <w:rFonts w:ascii="Times New Roman" w:hAnsi="Times New Roman" w:cs="Times New Roman"/>
          <w:b/>
          <w:bCs/>
          <w:color w:val="000000" w:themeColor="text1"/>
          <w:sz w:val="22"/>
          <w:szCs w:val="22"/>
        </w:rPr>
        <w:t xml:space="preserve">EXCEL formatu,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AE7CE1">
        <w:rPr>
          <w:rFonts w:ascii="Times New Roman" w:hAnsi="Times New Roman" w:cs="Times New Roman"/>
          <w:sz w:val="22"/>
          <w:szCs w:val="22"/>
        </w:rPr>
        <w:lastRenderedPageBreak/>
        <w:t xml:space="preserve">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A3D0993" w14:textId="77777777" w:rsidR="001805C4"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p>
    <w:p w14:paraId="7B6AC08C" w14:textId="3665CB82"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3F5" w14:textId="77777777" w:rsidR="00755806" w:rsidRDefault="00755806" w:rsidP="00D05666">
      <w:r>
        <w:separator/>
      </w:r>
    </w:p>
  </w:endnote>
  <w:endnote w:type="continuationSeparator" w:id="0">
    <w:p w14:paraId="0C324D8B" w14:textId="77777777" w:rsidR="00755806" w:rsidRDefault="00755806" w:rsidP="00D05666">
      <w:r>
        <w:continuationSeparator/>
      </w:r>
    </w:p>
  </w:endnote>
  <w:endnote w:type="continuationNotice" w:id="1">
    <w:p w14:paraId="1CFD7CE3" w14:textId="77777777" w:rsidR="00755806" w:rsidRDefault="0075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8F4F" w14:textId="77777777" w:rsidR="00755806" w:rsidRDefault="00755806" w:rsidP="00D05666">
      <w:r>
        <w:separator/>
      </w:r>
    </w:p>
  </w:footnote>
  <w:footnote w:type="continuationSeparator" w:id="0">
    <w:p w14:paraId="16961D4A" w14:textId="77777777" w:rsidR="00755806" w:rsidRDefault="00755806" w:rsidP="00D05666">
      <w:r>
        <w:continuationSeparator/>
      </w:r>
    </w:p>
  </w:footnote>
  <w:footnote w:type="continuationNotice" w:id="1">
    <w:p w14:paraId="30145EA9" w14:textId="77777777" w:rsidR="00755806" w:rsidRDefault="00755806">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05C4"/>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B27"/>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85E"/>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5DE1"/>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622"/>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38B3"/>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517"/>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32C"/>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3B"/>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3A0"/>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17E"/>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69C"/>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0E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26</Pages>
  <Words>30465</Words>
  <Characters>17366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95</cp:revision>
  <cp:lastPrinted>2025-12-02T13:36:00Z</cp:lastPrinted>
  <dcterms:created xsi:type="dcterms:W3CDTF">2025-09-17T10:30:00Z</dcterms:created>
  <dcterms:modified xsi:type="dcterms:W3CDTF">2026-02-24T07:29:00Z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