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ED6" w:rsidRPr="00BB650B" w:rsidRDefault="00064ED6" w:rsidP="00064ED6">
      <w:pPr>
        <w:jc w:val="center"/>
        <w:rPr>
          <w:rFonts w:ascii="Times New Roman" w:hAnsi="Times New Roman" w:cs="Times New Roman"/>
          <w:b/>
          <w:sz w:val="24"/>
          <w:szCs w:val="24"/>
        </w:rPr>
      </w:pPr>
      <w:bookmarkStart w:id="0" w:name="_GoBack"/>
      <w:bookmarkEnd w:id="0"/>
      <w:r w:rsidRPr="00BB650B">
        <w:rPr>
          <w:rFonts w:ascii="Times New Roman" w:hAnsi="Times New Roman" w:cs="Times New Roman"/>
          <w:b/>
          <w:sz w:val="24"/>
          <w:szCs w:val="24"/>
        </w:rPr>
        <w:t>VŠĮ NACIONALINIS KRAUJO CENTRAS</w:t>
      </w:r>
    </w:p>
    <w:p w:rsidR="00064ED6" w:rsidRPr="00BB650B" w:rsidRDefault="00064ED6" w:rsidP="00BB650B">
      <w:pPr>
        <w:spacing w:after="0" w:line="240" w:lineRule="auto"/>
        <w:jc w:val="center"/>
        <w:rPr>
          <w:rFonts w:ascii="Times New Roman" w:hAnsi="Times New Roman" w:cs="Times New Roman"/>
          <w:b/>
          <w:sz w:val="24"/>
          <w:szCs w:val="24"/>
        </w:rPr>
      </w:pPr>
      <w:r w:rsidRPr="00BB650B">
        <w:rPr>
          <w:rFonts w:ascii="Times New Roman" w:hAnsi="Times New Roman" w:cs="Times New Roman"/>
          <w:b/>
          <w:sz w:val="24"/>
          <w:szCs w:val="24"/>
        </w:rPr>
        <w:t>KLAUSIMAI – ATSAKYMAI PO KONSULTACIJOS SU RINKOS DALYVIAIS</w:t>
      </w:r>
    </w:p>
    <w:p w:rsidR="00BB650B" w:rsidRDefault="00BB650B" w:rsidP="00BB650B">
      <w:pPr>
        <w:spacing w:after="0" w:line="240" w:lineRule="auto"/>
        <w:jc w:val="center"/>
        <w:rPr>
          <w:rFonts w:ascii="Times New Roman" w:hAnsi="Times New Roman" w:cs="Times New Roman"/>
          <w:b/>
          <w:sz w:val="24"/>
          <w:szCs w:val="24"/>
        </w:rPr>
      </w:pPr>
      <w:r w:rsidRPr="001C31BF">
        <w:rPr>
          <w:rFonts w:ascii="Times New Roman" w:hAnsi="Times New Roman" w:cs="Times New Roman"/>
          <w:b/>
          <w:sz w:val="24"/>
          <w:szCs w:val="24"/>
        </w:rPr>
        <w:t>DĖL</w:t>
      </w:r>
      <w:r>
        <w:rPr>
          <w:rFonts w:ascii="Times New Roman" w:hAnsi="Times New Roman" w:cs="Times New Roman"/>
          <w:b/>
          <w:sz w:val="24"/>
          <w:szCs w:val="24"/>
        </w:rPr>
        <w:t xml:space="preserve"> </w:t>
      </w:r>
      <w:r w:rsidRPr="00BA74A4">
        <w:rPr>
          <w:rFonts w:ascii="Times New Roman" w:eastAsia="Calibri" w:hAnsi="Times New Roman" w:cs="Times New Roman"/>
          <w:b/>
          <w:bCs/>
          <w:kern w:val="2"/>
          <w:sz w:val="24"/>
          <w14:ligatures w14:val="standardContextual"/>
        </w:rPr>
        <w:t xml:space="preserve">DONORŲ REGISTRAVIMO IR KRAUJO KOMPONENTŲ RUOŠIMO, APSKAITOS IR VALDYMO </w:t>
      </w:r>
      <w:r>
        <w:rPr>
          <w:rFonts w:ascii="Times New Roman" w:eastAsia="Calibri" w:hAnsi="Times New Roman" w:cs="Times New Roman"/>
          <w:b/>
          <w:bCs/>
          <w:kern w:val="2"/>
          <w:sz w:val="24"/>
          <w14:ligatures w14:val="standardContextual"/>
        </w:rPr>
        <w:t xml:space="preserve">PROGRAMOS LICENCIJOS </w:t>
      </w:r>
      <w:r w:rsidRPr="0004553F">
        <w:rPr>
          <w:rFonts w:ascii="Times New Roman" w:hAnsi="Times New Roman" w:cs="Times New Roman"/>
          <w:b/>
          <w:sz w:val="24"/>
          <w:szCs w:val="24"/>
        </w:rPr>
        <w:t>PIRKIMO</w:t>
      </w:r>
    </w:p>
    <w:p w:rsidR="00064ED6" w:rsidRPr="00551BC4" w:rsidRDefault="00064ED6" w:rsidP="00064ED6">
      <w:pPr>
        <w:ind w:left="810" w:firstLine="630"/>
        <w:jc w:val="center"/>
        <w:rPr>
          <w:b/>
          <w:bCs/>
          <w:szCs w:val="24"/>
        </w:rPr>
      </w:pPr>
    </w:p>
    <w:p w:rsidR="00064ED6" w:rsidRPr="00854609" w:rsidRDefault="00064ED6" w:rsidP="00EF21A5">
      <w:pPr>
        <w:ind w:firstLine="567"/>
        <w:jc w:val="both"/>
        <w:rPr>
          <w:rFonts w:ascii="Times New Roman" w:hAnsi="Times New Roman" w:cs="Times New Roman"/>
          <w:sz w:val="24"/>
          <w:szCs w:val="24"/>
        </w:rPr>
      </w:pPr>
      <w:proofErr w:type="spellStart"/>
      <w:r w:rsidRPr="00854609">
        <w:rPr>
          <w:rFonts w:ascii="Times New Roman" w:hAnsi="Times New Roman" w:cs="Times New Roman"/>
          <w:sz w:val="24"/>
          <w:szCs w:val="24"/>
        </w:rPr>
        <w:t>Viešoji</w:t>
      </w:r>
      <w:proofErr w:type="spellEnd"/>
      <w:r w:rsidRP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įstaiga</w:t>
      </w:r>
      <w:proofErr w:type="spellEnd"/>
      <w:r w:rsidRPr="00854609">
        <w:rPr>
          <w:rFonts w:ascii="Times New Roman" w:hAnsi="Times New Roman" w:cs="Times New Roman"/>
          <w:sz w:val="24"/>
          <w:szCs w:val="24"/>
        </w:rPr>
        <w:t xml:space="preserve"> </w:t>
      </w:r>
      <w:proofErr w:type="spellStart"/>
      <w:r w:rsidR="00BB650B" w:rsidRPr="00854609">
        <w:rPr>
          <w:rFonts w:ascii="Times New Roman" w:hAnsi="Times New Roman" w:cs="Times New Roman"/>
          <w:sz w:val="24"/>
          <w:szCs w:val="24"/>
        </w:rPr>
        <w:t>Nacionalinis</w:t>
      </w:r>
      <w:proofErr w:type="spellEnd"/>
      <w:r w:rsidR="00BB650B" w:rsidRPr="00854609">
        <w:rPr>
          <w:rFonts w:ascii="Times New Roman" w:hAnsi="Times New Roman" w:cs="Times New Roman"/>
          <w:sz w:val="24"/>
          <w:szCs w:val="24"/>
        </w:rPr>
        <w:t xml:space="preserve"> </w:t>
      </w:r>
      <w:proofErr w:type="spellStart"/>
      <w:r w:rsidR="00BB650B" w:rsidRPr="00854609">
        <w:rPr>
          <w:rFonts w:ascii="Times New Roman" w:hAnsi="Times New Roman" w:cs="Times New Roman"/>
          <w:sz w:val="24"/>
          <w:szCs w:val="24"/>
        </w:rPr>
        <w:t>kraujo</w:t>
      </w:r>
      <w:proofErr w:type="spellEnd"/>
      <w:r w:rsidR="00BB650B" w:rsidRPr="00854609">
        <w:rPr>
          <w:rFonts w:ascii="Times New Roman" w:hAnsi="Times New Roman" w:cs="Times New Roman"/>
          <w:sz w:val="24"/>
          <w:szCs w:val="24"/>
        </w:rPr>
        <w:t xml:space="preserve"> </w:t>
      </w:r>
      <w:proofErr w:type="spellStart"/>
      <w:r w:rsidR="00BB650B" w:rsidRPr="00854609">
        <w:rPr>
          <w:rFonts w:ascii="Times New Roman" w:hAnsi="Times New Roman" w:cs="Times New Roman"/>
          <w:sz w:val="24"/>
          <w:szCs w:val="24"/>
        </w:rPr>
        <w:t>centras</w:t>
      </w:r>
      <w:proofErr w:type="spellEnd"/>
      <w:r w:rsidR="00BB650B" w:rsidRPr="00854609">
        <w:rPr>
          <w:rFonts w:ascii="Times New Roman" w:hAnsi="Times New Roman" w:cs="Times New Roman"/>
          <w:sz w:val="24"/>
          <w:szCs w:val="24"/>
        </w:rPr>
        <w:t xml:space="preserve">  </w:t>
      </w:r>
      <w:r w:rsidRPr="00854609">
        <w:rPr>
          <w:rFonts w:ascii="Times New Roman" w:hAnsi="Times New Roman" w:cs="Times New Roman"/>
          <w:sz w:val="24"/>
          <w:szCs w:val="24"/>
        </w:rPr>
        <w:t>(</w:t>
      </w:r>
      <w:proofErr w:type="spellStart"/>
      <w:r w:rsidRPr="00854609">
        <w:rPr>
          <w:rFonts w:ascii="Times New Roman" w:hAnsi="Times New Roman" w:cs="Times New Roman"/>
          <w:sz w:val="24"/>
          <w:szCs w:val="24"/>
        </w:rPr>
        <w:t>toliau</w:t>
      </w:r>
      <w:proofErr w:type="spellEnd"/>
      <w:r w:rsidRPr="00854609">
        <w:rPr>
          <w:rFonts w:ascii="Times New Roman" w:hAnsi="Times New Roman" w:cs="Times New Roman"/>
          <w:sz w:val="24"/>
          <w:szCs w:val="24"/>
        </w:rPr>
        <w:t xml:space="preserve"> – </w:t>
      </w:r>
      <w:proofErr w:type="spellStart"/>
      <w:r w:rsidR="00BB650B" w:rsidRPr="00854609">
        <w:rPr>
          <w:rFonts w:ascii="Times New Roman" w:hAnsi="Times New Roman" w:cs="Times New Roman"/>
          <w:sz w:val="24"/>
          <w:szCs w:val="24"/>
        </w:rPr>
        <w:t>VšĮ</w:t>
      </w:r>
      <w:proofErr w:type="spellEnd"/>
      <w:r w:rsidR="00BB650B" w:rsidRPr="00854609">
        <w:rPr>
          <w:rFonts w:ascii="Times New Roman" w:hAnsi="Times New Roman" w:cs="Times New Roman"/>
          <w:sz w:val="24"/>
          <w:szCs w:val="24"/>
        </w:rPr>
        <w:t xml:space="preserve"> NKC</w:t>
      </w:r>
      <w:r w:rsidRPr="00854609">
        <w:rPr>
          <w:rFonts w:ascii="Times New Roman" w:hAnsi="Times New Roman" w:cs="Times New Roman"/>
          <w:sz w:val="24"/>
          <w:szCs w:val="24"/>
        </w:rPr>
        <w:t xml:space="preserve">) </w:t>
      </w:r>
      <w:bookmarkStart w:id="1" w:name="_Hlk93582290"/>
      <w:r w:rsidRP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Centrinės</w:t>
      </w:r>
      <w:proofErr w:type="spellEnd"/>
      <w:r w:rsidRP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viešųjų</w:t>
      </w:r>
      <w:proofErr w:type="spellEnd"/>
      <w:r w:rsidRP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pirkimų</w:t>
      </w:r>
      <w:proofErr w:type="spellEnd"/>
      <w:r w:rsidRP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informacinės</w:t>
      </w:r>
      <w:proofErr w:type="spellEnd"/>
      <w:r w:rsidRPr="00854609">
        <w:rPr>
          <w:rFonts w:ascii="Times New Roman" w:hAnsi="Times New Roman" w:cs="Times New Roman"/>
          <w:sz w:val="24"/>
          <w:szCs w:val="24"/>
        </w:rPr>
        <w:t xml:space="preserve"> sistemos </w:t>
      </w:r>
      <w:proofErr w:type="spellStart"/>
      <w:r w:rsidRPr="00854609">
        <w:rPr>
          <w:rFonts w:ascii="Times New Roman" w:hAnsi="Times New Roman" w:cs="Times New Roman"/>
          <w:sz w:val="24"/>
          <w:szCs w:val="24"/>
        </w:rPr>
        <w:t>priemonėmis</w:t>
      </w:r>
      <w:proofErr w:type="spellEnd"/>
      <w:r w:rsidRPr="00854609">
        <w:rPr>
          <w:rFonts w:ascii="Times New Roman" w:hAnsi="Times New Roman" w:cs="Times New Roman"/>
          <w:sz w:val="24"/>
          <w:szCs w:val="24"/>
        </w:rPr>
        <w:t xml:space="preserve"> (CVP IS) </w:t>
      </w:r>
      <w:proofErr w:type="spellStart"/>
      <w:r w:rsidRPr="00854609">
        <w:rPr>
          <w:rFonts w:ascii="Times New Roman" w:hAnsi="Times New Roman" w:cs="Times New Roman"/>
          <w:sz w:val="24"/>
          <w:szCs w:val="24"/>
        </w:rPr>
        <w:t>iki</w:t>
      </w:r>
      <w:proofErr w:type="spellEnd"/>
      <w:r w:rsidRPr="00854609">
        <w:rPr>
          <w:rFonts w:ascii="Times New Roman" w:hAnsi="Times New Roman" w:cs="Times New Roman"/>
          <w:sz w:val="24"/>
          <w:szCs w:val="24"/>
        </w:rPr>
        <w:t xml:space="preserve"> </w:t>
      </w:r>
      <w:r w:rsidRPr="00854609">
        <w:rPr>
          <w:rFonts w:ascii="Times New Roman" w:hAnsi="Times New Roman" w:cs="Times New Roman"/>
          <w:b/>
          <w:iCs/>
          <w:sz w:val="24"/>
          <w:szCs w:val="24"/>
        </w:rPr>
        <w:t>202</w:t>
      </w:r>
      <w:r w:rsidR="00FF3C23" w:rsidRPr="00854609">
        <w:rPr>
          <w:rFonts w:ascii="Times New Roman" w:hAnsi="Times New Roman" w:cs="Times New Roman"/>
          <w:b/>
          <w:iCs/>
          <w:sz w:val="24"/>
          <w:szCs w:val="24"/>
        </w:rPr>
        <w:t>4</w:t>
      </w:r>
      <w:r w:rsidRPr="00854609">
        <w:rPr>
          <w:rFonts w:ascii="Times New Roman" w:hAnsi="Times New Roman" w:cs="Times New Roman"/>
          <w:b/>
          <w:iCs/>
          <w:sz w:val="24"/>
          <w:szCs w:val="24"/>
        </w:rPr>
        <w:t xml:space="preserve"> m. </w:t>
      </w:r>
      <w:proofErr w:type="spellStart"/>
      <w:r w:rsidRPr="00854609">
        <w:rPr>
          <w:rFonts w:ascii="Times New Roman" w:hAnsi="Times New Roman" w:cs="Times New Roman"/>
          <w:b/>
          <w:iCs/>
          <w:sz w:val="24"/>
          <w:szCs w:val="24"/>
        </w:rPr>
        <w:t>gruodžio</w:t>
      </w:r>
      <w:proofErr w:type="spellEnd"/>
      <w:r w:rsidRPr="00854609">
        <w:rPr>
          <w:rFonts w:ascii="Times New Roman" w:hAnsi="Times New Roman" w:cs="Times New Roman"/>
          <w:b/>
          <w:iCs/>
          <w:sz w:val="24"/>
          <w:szCs w:val="24"/>
        </w:rPr>
        <w:t xml:space="preserve"> </w:t>
      </w:r>
      <w:r w:rsidR="00FF3C23" w:rsidRPr="00854609">
        <w:rPr>
          <w:rFonts w:ascii="Times New Roman" w:hAnsi="Times New Roman" w:cs="Times New Roman"/>
          <w:b/>
          <w:iCs/>
          <w:sz w:val="24"/>
          <w:szCs w:val="24"/>
        </w:rPr>
        <w:t>20</w:t>
      </w:r>
      <w:r w:rsidRPr="00854609">
        <w:rPr>
          <w:rFonts w:ascii="Times New Roman" w:hAnsi="Times New Roman" w:cs="Times New Roman"/>
          <w:b/>
          <w:iCs/>
          <w:sz w:val="24"/>
          <w:szCs w:val="24"/>
        </w:rPr>
        <w:t xml:space="preserve"> d.</w:t>
      </w:r>
      <w:r w:rsidRP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kvietė</w:t>
      </w:r>
      <w:proofErr w:type="spellEnd"/>
      <w:r w:rsidRP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tiekėjus</w:t>
      </w:r>
      <w:proofErr w:type="spellEnd"/>
      <w:r w:rsidRP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raštu</w:t>
      </w:r>
      <w:proofErr w:type="spellEnd"/>
      <w:r w:rsidRP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pateikti</w:t>
      </w:r>
      <w:proofErr w:type="spellEnd"/>
      <w:r w:rsidRP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siūlymus</w:t>
      </w:r>
      <w:proofErr w:type="spellEnd"/>
      <w:r w:rsidRPr="00854609">
        <w:rPr>
          <w:rFonts w:ascii="Times New Roman" w:hAnsi="Times New Roman" w:cs="Times New Roman"/>
          <w:sz w:val="24"/>
          <w:szCs w:val="24"/>
        </w:rPr>
        <w:t xml:space="preserve"> </w:t>
      </w:r>
      <w:proofErr w:type="spellStart"/>
      <w:r w:rsidR="00854609">
        <w:rPr>
          <w:rFonts w:ascii="Times New Roman" w:hAnsi="Times New Roman" w:cs="Times New Roman"/>
          <w:sz w:val="24"/>
          <w:szCs w:val="24"/>
        </w:rPr>
        <w:t>bei</w:t>
      </w:r>
      <w:proofErr w:type="spellEnd"/>
      <w:r w:rsidR="00854609">
        <w:rPr>
          <w:rFonts w:ascii="Times New Roman" w:hAnsi="Times New Roman" w:cs="Times New Roman"/>
          <w:sz w:val="24"/>
          <w:szCs w:val="24"/>
        </w:rPr>
        <w:t xml:space="preserve"> </w:t>
      </w:r>
      <w:proofErr w:type="spellStart"/>
      <w:r w:rsidR="00854609">
        <w:rPr>
          <w:rFonts w:ascii="Times New Roman" w:hAnsi="Times New Roman" w:cs="Times New Roman"/>
          <w:sz w:val="24"/>
          <w:szCs w:val="24"/>
        </w:rPr>
        <w:t>pastabas</w:t>
      </w:r>
      <w:proofErr w:type="spellEnd"/>
      <w:r w:rsid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dėl</w:t>
      </w:r>
      <w:proofErr w:type="spellEnd"/>
      <w:r w:rsidRPr="00854609">
        <w:rPr>
          <w:rFonts w:ascii="Times New Roman" w:hAnsi="Times New Roman" w:cs="Times New Roman"/>
          <w:sz w:val="24"/>
          <w:szCs w:val="24"/>
        </w:rPr>
        <w:t xml:space="preserve"> </w:t>
      </w:r>
      <w:proofErr w:type="spellStart"/>
      <w:r w:rsidR="00854609" w:rsidRPr="00BA74A4">
        <w:rPr>
          <w:rFonts w:ascii="Times New Roman" w:eastAsia="Calibri" w:hAnsi="Times New Roman" w:cs="Times New Roman"/>
          <w:b/>
          <w:bCs/>
          <w:kern w:val="2"/>
          <w:sz w:val="24"/>
          <w14:ligatures w14:val="standardContextual"/>
        </w:rPr>
        <w:t>donorų</w:t>
      </w:r>
      <w:proofErr w:type="spellEnd"/>
      <w:r w:rsidR="00854609" w:rsidRPr="00BA74A4">
        <w:rPr>
          <w:rFonts w:ascii="Times New Roman" w:eastAsia="Calibri" w:hAnsi="Times New Roman" w:cs="Times New Roman"/>
          <w:b/>
          <w:bCs/>
          <w:kern w:val="2"/>
          <w:sz w:val="24"/>
          <w14:ligatures w14:val="standardContextual"/>
        </w:rPr>
        <w:t xml:space="preserve"> </w:t>
      </w:r>
      <w:proofErr w:type="spellStart"/>
      <w:r w:rsidR="00854609" w:rsidRPr="00BA74A4">
        <w:rPr>
          <w:rFonts w:ascii="Times New Roman" w:eastAsia="Calibri" w:hAnsi="Times New Roman" w:cs="Times New Roman"/>
          <w:b/>
          <w:bCs/>
          <w:kern w:val="2"/>
          <w:sz w:val="24"/>
          <w14:ligatures w14:val="standardContextual"/>
        </w:rPr>
        <w:t>registravimo</w:t>
      </w:r>
      <w:proofErr w:type="spellEnd"/>
      <w:r w:rsidR="00854609" w:rsidRPr="00BA74A4">
        <w:rPr>
          <w:rFonts w:ascii="Times New Roman" w:eastAsia="Calibri" w:hAnsi="Times New Roman" w:cs="Times New Roman"/>
          <w:b/>
          <w:bCs/>
          <w:kern w:val="2"/>
          <w:sz w:val="24"/>
          <w14:ligatures w14:val="standardContextual"/>
        </w:rPr>
        <w:t xml:space="preserve"> </w:t>
      </w:r>
      <w:proofErr w:type="spellStart"/>
      <w:r w:rsidR="00854609" w:rsidRPr="00BA74A4">
        <w:rPr>
          <w:rFonts w:ascii="Times New Roman" w:eastAsia="Calibri" w:hAnsi="Times New Roman" w:cs="Times New Roman"/>
          <w:b/>
          <w:bCs/>
          <w:kern w:val="2"/>
          <w:sz w:val="24"/>
          <w14:ligatures w14:val="standardContextual"/>
        </w:rPr>
        <w:t>ir</w:t>
      </w:r>
      <w:proofErr w:type="spellEnd"/>
      <w:r w:rsidR="00854609" w:rsidRPr="00BA74A4">
        <w:rPr>
          <w:rFonts w:ascii="Times New Roman" w:eastAsia="Calibri" w:hAnsi="Times New Roman" w:cs="Times New Roman"/>
          <w:b/>
          <w:bCs/>
          <w:kern w:val="2"/>
          <w:sz w:val="24"/>
          <w14:ligatures w14:val="standardContextual"/>
        </w:rPr>
        <w:t xml:space="preserve"> </w:t>
      </w:r>
      <w:proofErr w:type="spellStart"/>
      <w:r w:rsidR="00854609" w:rsidRPr="00BA74A4">
        <w:rPr>
          <w:rFonts w:ascii="Times New Roman" w:eastAsia="Calibri" w:hAnsi="Times New Roman" w:cs="Times New Roman"/>
          <w:b/>
          <w:bCs/>
          <w:kern w:val="2"/>
          <w:sz w:val="24"/>
          <w14:ligatures w14:val="standardContextual"/>
        </w:rPr>
        <w:t>kraujo</w:t>
      </w:r>
      <w:proofErr w:type="spellEnd"/>
      <w:r w:rsidR="00854609" w:rsidRPr="00BA74A4">
        <w:rPr>
          <w:rFonts w:ascii="Times New Roman" w:eastAsia="Calibri" w:hAnsi="Times New Roman" w:cs="Times New Roman"/>
          <w:b/>
          <w:bCs/>
          <w:kern w:val="2"/>
          <w:sz w:val="24"/>
          <w14:ligatures w14:val="standardContextual"/>
        </w:rPr>
        <w:t xml:space="preserve"> </w:t>
      </w:r>
      <w:proofErr w:type="spellStart"/>
      <w:r w:rsidR="00854609" w:rsidRPr="00BA74A4">
        <w:rPr>
          <w:rFonts w:ascii="Times New Roman" w:eastAsia="Calibri" w:hAnsi="Times New Roman" w:cs="Times New Roman"/>
          <w:b/>
          <w:bCs/>
          <w:kern w:val="2"/>
          <w:sz w:val="24"/>
          <w14:ligatures w14:val="standardContextual"/>
        </w:rPr>
        <w:t>komponentų</w:t>
      </w:r>
      <w:proofErr w:type="spellEnd"/>
      <w:r w:rsidR="00854609" w:rsidRPr="00BA74A4">
        <w:rPr>
          <w:rFonts w:ascii="Times New Roman" w:eastAsia="Calibri" w:hAnsi="Times New Roman" w:cs="Times New Roman"/>
          <w:b/>
          <w:bCs/>
          <w:kern w:val="2"/>
          <w:sz w:val="24"/>
          <w14:ligatures w14:val="standardContextual"/>
        </w:rPr>
        <w:t xml:space="preserve"> </w:t>
      </w:r>
      <w:proofErr w:type="spellStart"/>
      <w:r w:rsidR="00854609" w:rsidRPr="00BA74A4">
        <w:rPr>
          <w:rFonts w:ascii="Times New Roman" w:eastAsia="Calibri" w:hAnsi="Times New Roman" w:cs="Times New Roman"/>
          <w:b/>
          <w:bCs/>
          <w:kern w:val="2"/>
          <w:sz w:val="24"/>
          <w14:ligatures w14:val="standardContextual"/>
        </w:rPr>
        <w:t>ruošimo</w:t>
      </w:r>
      <w:proofErr w:type="spellEnd"/>
      <w:r w:rsidR="00854609" w:rsidRPr="00BA74A4">
        <w:rPr>
          <w:rFonts w:ascii="Times New Roman" w:eastAsia="Calibri" w:hAnsi="Times New Roman" w:cs="Times New Roman"/>
          <w:b/>
          <w:bCs/>
          <w:kern w:val="2"/>
          <w:sz w:val="24"/>
          <w14:ligatures w14:val="standardContextual"/>
        </w:rPr>
        <w:t xml:space="preserve">, </w:t>
      </w:r>
      <w:proofErr w:type="spellStart"/>
      <w:r w:rsidR="00854609" w:rsidRPr="00BA74A4">
        <w:rPr>
          <w:rFonts w:ascii="Times New Roman" w:eastAsia="Calibri" w:hAnsi="Times New Roman" w:cs="Times New Roman"/>
          <w:b/>
          <w:bCs/>
          <w:kern w:val="2"/>
          <w:sz w:val="24"/>
          <w14:ligatures w14:val="standardContextual"/>
        </w:rPr>
        <w:t>apskaitos</w:t>
      </w:r>
      <w:proofErr w:type="spellEnd"/>
      <w:r w:rsidR="00854609" w:rsidRPr="00BA74A4">
        <w:rPr>
          <w:rFonts w:ascii="Times New Roman" w:eastAsia="Calibri" w:hAnsi="Times New Roman" w:cs="Times New Roman"/>
          <w:b/>
          <w:bCs/>
          <w:kern w:val="2"/>
          <w:sz w:val="24"/>
          <w14:ligatures w14:val="standardContextual"/>
        </w:rPr>
        <w:t xml:space="preserve"> </w:t>
      </w:r>
      <w:proofErr w:type="spellStart"/>
      <w:r w:rsidR="00854609" w:rsidRPr="00BA74A4">
        <w:rPr>
          <w:rFonts w:ascii="Times New Roman" w:eastAsia="Calibri" w:hAnsi="Times New Roman" w:cs="Times New Roman"/>
          <w:b/>
          <w:bCs/>
          <w:kern w:val="2"/>
          <w:sz w:val="24"/>
          <w14:ligatures w14:val="standardContextual"/>
        </w:rPr>
        <w:t>ir</w:t>
      </w:r>
      <w:proofErr w:type="spellEnd"/>
      <w:r w:rsidR="00854609" w:rsidRPr="00BA74A4">
        <w:rPr>
          <w:rFonts w:ascii="Times New Roman" w:eastAsia="Calibri" w:hAnsi="Times New Roman" w:cs="Times New Roman"/>
          <w:b/>
          <w:bCs/>
          <w:kern w:val="2"/>
          <w:sz w:val="24"/>
          <w14:ligatures w14:val="standardContextual"/>
        </w:rPr>
        <w:t xml:space="preserve"> </w:t>
      </w:r>
      <w:proofErr w:type="spellStart"/>
      <w:r w:rsidR="00854609" w:rsidRPr="00BA74A4">
        <w:rPr>
          <w:rFonts w:ascii="Times New Roman" w:eastAsia="Calibri" w:hAnsi="Times New Roman" w:cs="Times New Roman"/>
          <w:b/>
          <w:bCs/>
          <w:kern w:val="2"/>
          <w:sz w:val="24"/>
          <w14:ligatures w14:val="standardContextual"/>
        </w:rPr>
        <w:t>valdymo</w:t>
      </w:r>
      <w:proofErr w:type="spellEnd"/>
      <w:r w:rsidR="00854609" w:rsidRPr="00BA74A4">
        <w:rPr>
          <w:rFonts w:ascii="Times New Roman" w:eastAsia="Calibri" w:hAnsi="Times New Roman" w:cs="Times New Roman"/>
          <w:b/>
          <w:bCs/>
          <w:kern w:val="2"/>
          <w:sz w:val="24"/>
          <w14:ligatures w14:val="standardContextual"/>
        </w:rPr>
        <w:t xml:space="preserve"> </w:t>
      </w:r>
      <w:proofErr w:type="spellStart"/>
      <w:r w:rsidR="00854609">
        <w:rPr>
          <w:rFonts w:ascii="Times New Roman" w:eastAsia="Calibri" w:hAnsi="Times New Roman" w:cs="Times New Roman"/>
          <w:b/>
          <w:bCs/>
          <w:kern w:val="2"/>
          <w:sz w:val="24"/>
          <w14:ligatures w14:val="standardContextual"/>
        </w:rPr>
        <w:t>programos</w:t>
      </w:r>
      <w:proofErr w:type="spellEnd"/>
      <w:r w:rsidR="00854609">
        <w:rPr>
          <w:rFonts w:ascii="Times New Roman" w:eastAsia="Calibri" w:hAnsi="Times New Roman" w:cs="Times New Roman"/>
          <w:b/>
          <w:bCs/>
          <w:kern w:val="2"/>
          <w:sz w:val="24"/>
          <w14:ligatures w14:val="standardContextual"/>
        </w:rPr>
        <w:t xml:space="preserve"> </w:t>
      </w:r>
      <w:proofErr w:type="spellStart"/>
      <w:r w:rsidR="00854609">
        <w:rPr>
          <w:rFonts w:ascii="Times New Roman" w:eastAsia="Calibri" w:hAnsi="Times New Roman" w:cs="Times New Roman"/>
          <w:b/>
          <w:bCs/>
          <w:kern w:val="2"/>
          <w:sz w:val="24"/>
          <w14:ligatures w14:val="standardContextual"/>
        </w:rPr>
        <w:t>licencijos</w:t>
      </w:r>
      <w:proofErr w:type="spellEnd"/>
      <w:r w:rsidR="00854609">
        <w:rPr>
          <w:rFonts w:ascii="Times New Roman" w:eastAsia="Calibri" w:hAnsi="Times New Roman" w:cs="Times New Roman"/>
          <w:b/>
          <w:bCs/>
          <w:kern w:val="2"/>
          <w:sz w:val="24"/>
          <w14:ligatures w14:val="standardContextual"/>
        </w:rPr>
        <w:t xml:space="preserve"> </w:t>
      </w:r>
      <w:proofErr w:type="spellStart"/>
      <w:r w:rsidR="00854609" w:rsidRPr="0004553F">
        <w:rPr>
          <w:rFonts w:ascii="Times New Roman" w:hAnsi="Times New Roman" w:cs="Times New Roman"/>
          <w:b/>
          <w:sz w:val="24"/>
          <w:szCs w:val="24"/>
        </w:rPr>
        <w:t>pirkimo</w:t>
      </w:r>
      <w:proofErr w:type="spellEnd"/>
      <w:r w:rsidR="00854609" w:rsidRPr="00854609">
        <w:rPr>
          <w:rFonts w:ascii="Times New Roman" w:hAnsi="Times New Roman" w:cs="Times New Roman"/>
          <w:sz w:val="24"/>
          <w:szCs w:val="24"/>
        </w:rPr>
        <w:t xml:space="preserve"> </w:t>
      </w:r>
      <w:proofErr w:type="spellStart"/>
      <w:r w:rsidR="00854609">
        <w:rPr>
          <w:rFonts w:ascii="Times New Roman" w:hAnsi="Times New Roman" w:cs="Times New Roman"/>
          <w:sz w:val="24"/>
          <w:szCs w:val="24"/>
        </w:rPr>
        <w:t>dokumentų</w:t>
      </w:r>
      <w:proofErr w:type="spellEnd"/>
      <w:r w:rsidR="00854609">
        <w:rPr>
          <w:rFonts w:ascii="Times New Roman" w:hAnsi="Times New Roman" w:cs="Times New Roman"/>
          <w:sz w:val="24"/>
          <w:szCs w:val="24"/>
        </w:rPr>
        <w:t xml:space="preserve"> </w:t>
      </w:r>
      <w:r w:rsidRPr="00854609">
        <w:rPr>
          <w:rFonts w:ascii="Times New Roman" w:hAnsi="Times New Roman" w:cs="Times New Roman"/>
          <w:sz w:val="24"/>
          <w:szCs w:val="24"/>
        </w:rPr>
        <w:t>–</w:t>
      </w:r>
      <w:r w:rsid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technin</w:t>
      </w:r>
      <w:r w:rsidR="00854609">
        <w:rPr>
          <w:rFonts w:ascii="Times New Roman" w:hAnsi="Times New Roman" w:cs="Times New Roman"/>
          <w:sz w:val="24"/>
          <w:szCs w:val="24"/>
        </w:rPr>
        <w:t>ės</w:t>
      </w:r>
      <w:proofErr w:type="spellEnd"/>
      <w:r w:rsidRP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specifikacij</w:t>
      </w:r>
      <w:r w:rsidR="00854609">
        <w:rPr>
          <w:rFonts w:ascii="Times New Roman" w:hAnsi="Times New Roman" w:cs="Times New Roman"/>
          <w:sz w:val="24"/>
          <w:szCs w:val="24"/>
        </w:rPr>
        <w:t>os</w:t>
      </w:r>
      <w:proofErr w:type="spellEnd"/>
      <w:r w:rsidR="00854609">
        <w:rPr>
          <w:rFonts w:ascii="Times New Roman" w:hAnsi="Times New Roman" w:cs="Times New Roman"/>
          <w:sz w:val="24"/>
          <w:szCs w:val="24"/>
        </w:rPr>
        <w:t>.</w:t>
      </w:r>
    </w:p>
    <w:bookmarkEnd w:id="1"/>
    <w:p w:rsidR="00064ED6" w:rsidRPr="00DA408B" w:rsidRDefault="00854609" w:rsidP="00EF21A5">
      <w:pPr>
        <w:ind w:firstLine="567"/>
        <w:jc w:val="both"/>
        <w:rPr>
          <w:rFonts w:ascii="Times New Roman" w:hAnsi="Times New Roman" w:cs="Times New Roman"/>
          <w:bCs/>
          <w:iCs/>
          <w:szCs w:val="24"/>
        </w:rPr>
      </w:pPr>
      <w:proofErr w:type="spellStart"/>
      <w:r w:rsidRPr="00DA408B">
        <w:rPr>
          <w:rFonts w:ascii="Times New Roman" w:hAnsi="Times New Roman" w:cs="Times New Roman"/>
          <w:sz w:val="24"/>
          <w:szCs w:val="24"/>
        </w:rPr>
        <w:t>VšĮ</w:t>
      </w:r>
      <w:proofErr w:type="spellEnd"/>
      <w:r w:rsidRPr="00DA408B">
        <w:rPr>
          <w:rFonts w:ascii="Times New Roman" w:hAnsi="Times New Roman" w:cs="Times New Roman"/>
          <w:sz w:val="24"/>
          <w:szCs w:val="24"/>
        </w:rPr>
        <w:t xml:space="preserve"> NKC</w:t>
      </w:r>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gavusi</w:t>
      </w:r>
      <w:proofErr w:type="spellEnd"/>
      <w:r w:rsidR="00064ED6" w:rsidRPr="00DA408B">
        <w:rPr>
          <w:rFonts w:ascii="Times New Roman" w:hAnsi="Times New Roman" w:cs="Times New Roman"/>
          <w:bCs/>
          <w:iCs/>
          <w:szCs w:val="24"/>
        </w:rPr>
        <w:t xml:space="preserve"> </w:t>
      </w:r>
      <w:proofErr w:type="spellStart"/>
      <w:r w:rsidR="00DA408B">
        <w:rPr>
          <w:rFonts w:ascii="Times New Roman" w:hAnsi="Times New Roman" w:cs="Times New Roman"/>
          <w:bCs/>
          <w:iCs/>
          <w:szCs w:val="24"/>
        </w:rPr>
        <w:t>vieno</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rinkos</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dalyvi</w:t>
      </w:r>
      <w:r w:rsidR="00DA408B">
        <w:rPr>
          <w:rFonts w:ascii="Times New Roman" w:hAnsi="Times New Roman" w:cs="Times New Roman"/>
          <w:bCs/>
          <w:iCs/>
          <w:szCs w:val="24"/>
        </w:rPr>
        <w:t>o</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atsakymus</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pastabas</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ir</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pasiūlymus</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juos</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išnagrinėjo</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apibendrino</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ir</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teikia</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informaciją</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apie</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priimtus</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sprendimus</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Žemiau</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lentelėje</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pateikiami</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tik</w:t>
      </w:r>
      <w:proofErr w:type="spellEnd"/>
      <w:r w:rsidR="00064ED6" w:rsidRPr="00DA408B">
        <w:rPr>
          <w:rFonts w:ascii="Times New Roman" w:hAnsi="Times New Roman" w:cs="Times New Roman"/>
          <w:bCs/>
          <w:iCs/>
          <w:szCs w:val="24"/>
        </w:rPr>
        <w:t xml:space="preserve"> tie </w:t>
      </w:r>
      <w:proofErr w:type="spellStart"/>
      <w:r w:rsidR="00064ED6" w:rsidRPr="00DA408B">
        <w:rPr>
          <w:rFonts w:ascii="Times New Roman" w:hAnsi="Times New Roman" w:cs="Times New Roman"/>
          <w:bCs/>
          <w:iCs/>
          <w:szCs w:val="24"/>
        </w:rPr>
        <w:t>rinkos</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konsultacijos</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metu</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kelti</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klausimai</w:t>
      </w:r>
      <w:proofErr w:type="spellEnd"/>
      <w:r w:rsidR="00064ED6" w:rsidRPr="00DA408B">
        <w:rPr>
          <w:rFonts w:ascii="Times New Roman" w:hAnsi="Times New Roman" w:cs="Times New Roman"/>
          <w:bCs/>
          <w:iCs/>
          <w:szCs w:val="24"/>
        </w:rPr>
        <w:t xml:space="preserve">, </w:t>
      </w:r>
      <w:proofErr w:type="spellStart"/>
      <w:proofErr w:type="gramStart"/>
      <w:r w:rsidR="00064ED6" w:rsidRPr="00DA408B">
        <w:rPr>
          <w:rFonts w:ascii="Times New Roman" w:hAnsi="Times New Roman" w:cs="Times New Roman"/>
          <w:bCs/>
          <w:iCs/>
          <w:szCs w:val="24"/>
        </w:rPr>
        <w:t>dėl</w:t>
      </w:r>
      <w:proofErr w:type="spellEnd"/>
      <w:proofErr w:type="gram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kurių</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buvo</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gauti</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pasiūlymai</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ir</w:t>
      </w:r>
      <w:proofErr w:type="spellEnd"/>
      <w:r w:rsidR="00064ED6" w:rsidRPr="00DA408B">
        <w:rPr>
          <w:rFonts w:ascii="Times New Roman" w:hAnsi="Times New Roman" w:cs="Times New Roman"/>
          <w:bCs/>
          <w:iCs/>
          <w:szCs w:val="24"/>
        </w:rPr>
        <w:t>/</w:t>
      </w:r>
      <w:proofErr w:type="spellStart"/>
      <w:r w:rsidR="00064ED6" w:rsidRPr="00DA408B">
        <w:rPr>
          <w:rFonts w:ascii="Times New Roman" w:hAnsi="Times New Roman" w:cs="Times New Roman"/>
          <w:bCs/>
          <w:iCs/>
          <w:szCs w:val="24"/>
        </w:rPr>
        <w:t>ar</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pastabos</w:t>
      </w:r>
      <w:proofErr w:type="spellEnd"/>
      <w:r w:rsidR="00064ED6" w:rsidRPr="00DA408B">
        <w:rPr>
          <w:rFonts w:ascii="Times New Roman" w:hAnsi="Times New Roman" w:cs="Times New Roman"/>
          <w:bCs/>
          <w:iCs/>
          <w:szCs w:val="24"/>
        </w:rPr>
        <w:t>.</w:t>
      </w:r>
    </w:p>
    <w:tbl>
      <w:tblPr>
        <w:tblStyle w:val="TableGrid"/>
        <w:tblW w:w="14630" w:type="dxa"/>
        <w:tblInd w:w="-318" w:type="dxa"/>
        <w:tblLayout w:type="fixed"/>
        <w:tblLook w:val="04A0" w:firstRow="1" w:lastRow="0" w:firstColumn="1" w:lastColumn="0" w:noHBand="0" w:noVBand="1"/>
      </w:tblPr>
      <w:tblGrid>
        <w:gridCol w:w="597"/>
        <w:gridCol w:w="4536"/>
        <w:gridCol w:w="4791"/>
        <w:gridCol w:w="4706"/>
      </w:tblGrid>
      <w:tr w:rsidR="00971B52" w:rsidRPr="00DD0365" w:rsidTr="00DA408B">
        <w:trPr>
          <w:trHeight w:val="326"/>
        </w:trPr>
        <w:tc>
          <w:tcPr>
            <w:tcW w:w="597" w:type="dxa"/>
            <w:vAlign w:val="center"/>
          </w:tcPr>
          <w:p w:rsidR="00971B52" w:rsidRPr="00DA408B" w:rsidRDefault="00971B52" w:rsidP="008537AF">
            <w:pPr>
              <w:jc w:val="center"/>
              <w:rPr>
                <w:rFonts w:ascii="Times New Roman" w:hAnsi="Times New Roman" w:cs="Times New Roman"/>
              </w:rPr>
            </w:pPr>
            <w:r w:rsidRPr="00DA408B">
              <w:rPr>
                <w:rFonts w:ascii="Times New Roman" w:hAnsi="Times New Roman" w:cs="Times New Roman"/>
              </w:rPr>
              <w:t>Eil. Nr.</w:t>
            </w:r>
          </w:p>
        </w:tc>
        <w:tc>
          <w:tcPr>
            <w:tcW w:w="9327" w:type="dxa"/>
            <w:gridSpan w:val="2"/>
            <w:vAlign w:val="center"/>
          </w:tcPr>
          <w:p w:rsidR="00DA408B" w:rsidRDefault="00971B52" w:rsidP="00DA408B">
            <w:pPr>
              <w:ind w:left="-108" w:right="-136"/>
              <w:jc w:val="center"/>
              <w:rPr>
                <w:rFonts w:ascii="Times New Roman" w:hAnsi="Times New Roman" w:cs="Times New Roman"/>
                <w:bCs/>
              </w:rPr>
            </w:pPr>
            <w:r w:rsidRPr="00DA408B">
              <w:rPr>
                <w:rFonts w:ascii="Times New Roman" w:hAnsi="Times New Roman" w:cs="Times New Roman"/>
                <w:bCs/>
              </w:rPr>
              <w:t xml:space="preserve">Rinkos konsultacijos metu pateiktas klausimas ir gautas </w:t>
            </w:r>
          </w:p>
          <w:p w:rsidR="00971B52" w:rsidRPr="00DA408B" w:rsidRDefault="00971B52" w:rsidP="00DA408B">
            <w:pPr>
              <w:ind w:left="-108" w:right="-136"/>
              <w:jc w:val="center"/>
              <w:rPr>
                <w:rFonts w:ascii="Times New Roman" w:hAnsi="Times New Roman" w:cs="Times New Roman"/>
              </w:rPr>
            </w:pPr>
            <w:r w:rsidRPr="00DA408B">
              <w:rPr>
                <w:rFonts w:ascii="Times New Roman" w:hAnsi="Times New Roman" w:cs="Times New Roman"/>
                <w:bCs/>
              </w:rPr>
              <w:t>pasiūlymas</w:t>
            </w:r>
            <w:r w:rsidR="00DA408B">
              <w:rPr>
                <w:rFonts w:ascii="Times New Roman" w:hAnsi="Times New Roman" w:cs="Times New Roman"/>
                <w:bCs/>
              </w:rPr>
              <w:t xml:space="preserve"> </w:t>
            </w:r>
            <w:r w:rsidRPr="00DA408B">
              <w:rPr>
                <w:rFonts w:ascii="Times New Roman" w:hAnsi="Times New Roman" w:cs="Times New Roman"/>
                <w:bCs/>
              </w:rPr>
              <w:t>/</w:t>
            </w:r>
            <w:r w:rsidR="00DA408B">
              <w:rPr>
                <w:rFonts w:ascii="Times New Roman" w:hAnsi="Times New Roman" w:cs="Times New Roman"/>
                <w:bCs/>
              </w:rPr>
              <w:t xml:space="preserve"> </w:t>
            </w:r>
            <w:r w:rsidRPr="00DA408B">
              <w:rPr>
                <w:rFonts w:ascii="Times New Roman" w:hAnsi="Times New Roman" w:cs="Times New Roman"/>
                <w:bCs/>
              </w:rPr>
              <w:t>pastaba</w:t>
            </w:r>
            <w:r w:rsidR="00DA408B">
              <w:rPr>
                <w:rFonts w:ascii="Times New Roman" w:hAnsi="Times New Roman" w:cs="Times New Roman"/>
                <w:bCs/>
              </w:rPr>
              <w:t xml:space="preserve"> / a</w:t>
            </w:r>
            <w:r w:rsidRPr="00DA408B">
              <w:rPr>
                <w:rFonts w:ascii="Times New Roman" w:hAnsi="Times New Roman" w:cs="Times New Roman"/>
                <w:bCs/>
              </w:rPr>
              <w:t xml:space="preserve">tsakymas / komentaras </w:t>
            </w:r>
          </w:p>
        </w:tc>
        <w:tc>
          <w:tcPr>
            <w:tcW w:w="4706" w:type="dxa"/>
            <w:vAlign w:val="center"/>
          </w:tcPr>
          <w:p w:rsidR="00971B52" w:rsidRPr="00DA408B" w:rsidRDefault="00971B52" w:rsidP="00DA408B">
            <w:pPr>
              <w:jc w:val="center"/>
              <w:rPr>
                <w:rFonts w:ascii="Times New Roman" w:hAnsi="Times New Roman" w:cs="Times New Roman"/>
                <w:bCs/>
              </w:rPr>
            </w:pPr>
            <w:r w:rsidRPr="00DA408B">
              <w:rPr>
                <w:rFonts w:ascii="Times New Roman" w:hAnsi="Times New Roman" w:cs="Times New Roman"/>
              </w:rPr>
              <w:t>VšĮ NKC</w:t>
            </w:r>
            <w:r w:rsidRPr="00DA408B">
              <w:rPr>
                <w:rFonts w:ascii="Times New Roman" w:hAnsi="Times New Roman" w:cs="Times New Roman"/>
                <w:bCs/>
              </w:rPr>
              <w:t xml:space="preserve"> priimti sprendimai ir paaiškinimai</w:t>
            </w:r>
          </w:p>
        </w:tc>
      </w:tr>
      <w:tr w:rsidR="00367703" w:rsidRPr="00DD0365" w:rsidTr="00DA408B">
        <w:trPr>
          <w:trHeight w:val="784"/>
        </w:trPr>
        <w:tc>
          <w:tcPr>
            <w:tcW w:w="597" w:type="dxa"/>
            <w:vAlign w:val="center"/>
          </w:tcPr>
          <w:p w:rsidR="00367703" w:rsidRPr="00DA408B" w:rsidRDefault="00367703" w:rsidP="008537AF">
            <w:pPr>
              <w:jc w:val="center"/>
              <w:rPr>
                <w:rFonts w:ascii="Times New Roman" w:hAnsi="Times New Roman" w:cs="Times New Roman"/>
              </w:rPr>
            </w:pPr>
            <w:r w:rsidRPr="00DA408B">
              <w:rPr>
                <w:rFonts w:ascii="Times New Roman" w:hAnsi="Times New Roman" w:cs="Times New Roman"/>
              </w:rPr>
              <w:t>1.</w:t>
            </w:r>
          </w:p>
        </w:tc>
        <w:tc>
          <w:tcPr>
            <w:tcW w:w="4536" w:type="dxa"/>
            <w:vAlign w:val="center"/>
          </w:tcPr>
          <w:p w:rsidR="00367703" w:rsidRPr="00DA408B" w:rsidRDefault="00367703" w:rsidP="008537AF">
            <w:pPr>
              <w:jc w:val="both"/>
              <w:rPr>
                <w:rFonts w:ascii="Times New Roman" w:eastAsia="Times New Roman" w:hAnsi="Times New Roman" w:cs="Times New Roman"/>
                <w:iCs/>
              </w:rPr>
            </w:pPr>
            <w:r w:rsidRPr="00DA408B">
              <w:rPr>
                <w:rFonts w:ascii="Times New Roman" w:eastAsia="Times New Roman" w:hAnsi="Times New Roman" w:cs="Times New Roman"/>
                <w:iCs/>
              </w:rPr>
              <w:t>Ar Jūsų teikiama informacinė sistema ir jos techninės charakteristikos pakankamos donorų registravimo ir kraujo komponentų ruošimo, apskaitos ir valdymo programos techninės specifikacijos projekte nustatytiems techninės platformos, funkcionalumo, palaikymo ir priežiūros, pajėgumo, saugumo bei kitiems reikalavimams įgyvendinti?</w:t>
            </w:r>
          </w:p>
          <w:p w:rsidR="00367703" w:rsidRPr="00DA408B" w:rsidRDefault="00367703" w:rsidP="008537AF">
            <w:pPr>
              <w:rPr>
                <w:rFonts w:ascii="Times New Roman" w:hAnsi="Times New Roman" w:cs="Times New Roman"/>
              </w:rPr>
            </w:pPr>
          </w:p>
        </w:tc>
        <w:tc>
          <w:tcPr>
            <w:tcW w:w="4791" w:type="dxa"/>
            <w:vAlign w:val="center"/>
          </w:tcPr>
          <w:p w:rsidR="00367703" w:rsidRPr="00DA408B" w:rsidRDefault="00971B52" w:rsidP="007F033E">
            <w:pPr>
              <w:pStyle w:val="Default"/>
              <w:rPr>
                <w:sz w:val="22"/>
                <w:szCs w:val="22"/>
              </w:rPr>
            </w:pPr>
            <w:r w:rsidRPr="00DA408B">
              <w:rPr>
                <w:sz w:val="22"/>
                <w:szCs w:val="22"/>
              </w:rPr>
              <w:t xml:space="preserve">UAB „Labdata“ siūloma sistema visiškai atitiktų NKC atliekamų funkcijų profilį: LabdataLIMS ir jos modulių visuma yra daugiau nei pakankama donorų registravimo ir kraujo komponentų ruošimo, apskaitos ir valdymo programos techninės specifikacijos projekte nustatytiems techninės platformos, funkcionalumo, palaikymo ir priežiūros, pajėgumo, saugumo bei kitiems donorystės procesui reikalingoms funkcijoms įgyvendinti. </w:t>
            </w:r>
          </w:p>
        </w:tc>
        <w:tc>
          <w:tcPr>
            <w:tcW w:w="4706" w:type="dxa"/>
          </w:tcPr>
          <w:p w:rsidR="00367703" w:rsidRPr="00DA408B" w:rsidRDefault="00367703" w:rsidP="00DA408B">
            <w:pPr>
              <w:jc w:val="both"/>
              <w:rPr>
                <w:rFonts w:ascii="Times New Roman" w:hAnsi="Times New Roman" w:cs="Times New Roman"/>
              </w:rPr>
            </w:pPr>
          </w:p>
        </w:tc>
      </w:tr>
      <w:tr w:rsidR="00367703" w:rsidRPr="00DD0365" w:rsidTr="007F033E">
        <w:trPr>
          <w:trHeight w:val="1527"/>
        </w:trPr>
        <w:tc>
          <w:tcPr>
            <w:tcW w:w="597" w:type="dxa"/>
            <w:vAlign w:val="center"/>
          </w:tcPr>
          <w:p w:rsidR="00367703" w:rsidRPr="00DA408B" w:rsidRDefault="00367703" w:rsidP="008537AF">
            <w:pPr>
              <w:jc w:val="center"/>
              <w:rPr>
                <w:rFonts w:ascii="Times New Roman" w:hAnsi="Times New Roman" w:cs="Times New Roman"/>
              </w:rPr>
            </w:pPr>
            <w:r w:rsidRPr="00DA408B">
              <w:rPr>
                <w:rFonts w:ascii="Times New Roman" w:hAnsi="Times New Roman" w:cs="Times New Roman"/>
              </w:rPr>
              <w:t>2.</w:t>
            </w:r>
          </w:p>
        </w:tc>
        <w:tc>
          <w:tcPr>
            <w:tcW w:w="4536" w:type="dxa"/>
            <w:vAlign w:val="center"/>
          </w:tcPr>
          <w:p w:rsidR="00367703" w:rsidRPr="00DA408B" w:rsidRDefault="00367703" w:rsidP="00971B52">
            <w:pPr>
              <w:jc w:val="both"/>
              <w:rPr>
                <w:rFonts w:ascii="Times New Roman" w:hAnsi="Times New Roman" w:cs="Times New Roman"/>
              </w:rPr>
            </w:pPr>
            <w:r w:rsidRPr="00DA408B">
              <w:rPr>
                <w:rFonts w:ascii="Times New Roman" w:eastAsia="Times New Roman" w:hAnsi="Times New Roman" w:cs="Times New Roman"/>
                <w:iCs/>
              </w:rPr>
              <w:t xml:space="preserve">Ar LR viešųjų pirkimų įstatyme (60 str.) nustatyti pasiūlymų pateikimo terminai yra pakankami susipažinti su nustatytais reikalavimais bei tinkamai parengti ir pateikti pasiūlymą?    </w:t>
            </w:r>
          </w:p>
        </w:tc>
        <w:tc>
          <w:tcPr>
            <w:tcW w:w="4791" w:type="dxa"/>
            <w:vAlign w:val="center"/>
          </w:tcPr>
          <w:p w:rsidR="00367703" w:rsidRPr="00DA408B" w:rsidRDefault="00971B52" w:rsidP="007F033E">
            <w:pPr>
              <w:pStyle w:val="Default"/>
              <w:ind w:firstLine="34"/>
              <w:rPr>
                <w:sz w:val="22"/>
                <w:szCs w:val="22"/>
              </w:rPr>
            </w:pPr>
            <w:r w:rsidRPr="00DA408B">
              <w:rPr>
                <w:sz w:val="22"/>
                <w:szCs w:val="22"/>
              </w:rPr>
              <w:t xml:space="preserve">Pasiūlymo pateikimo terminas yra pakankamas su sąlyga, jeigu Perkančioji organizacija turininguoju požiūriu įvertina klausimus ir teikia atsakymus į prašymus patikslinti ir paaiškinti atskirus reikalavimus. </w:t>
            </w:r>
          </w:p>
        </w:tc>
        <w:tc>
          <w:tcPr>
            <w:tcW w:w="4706" w:type="dxa"/>
            <w:vAlign w:val="center"/>
          </w:tcPr>
          <w:p w:rsidR="00367703" w:rsidRPr="00DD0365" w:rsidRDefault="007F033E" w:rsidP="005D080C">
            <w:pPr>
              <w:rPr>
                <w:rFonts w:ascii="Times New Roman" w:hAnsi="Times New Roman" w:cs="Times New Roman"/>
                <w:sz w:val="20"/>
              </w:rPr>
            </w:pPr>
            <w:r w:rsidRPr="007F033E">
              <w:rPr>
                <w:rStyle w:val="cf01"/>
                <w:rFonts w:ascii="Times New Roman" w:hAnsi="Times New Roman" w:cs="Times New Roman"/>
                <w:sz w:val="22"/>
                <w:szCs w:val="22"/>
              </w:rPr>
              <w:t>Perkančioji organizacija operatyviai atsakys į tiekėjų klausimus, t</w:t>
            </w:r>
            <w:r w:rsidR="005D080C">
              <w:rPr>
                <w:rStyle w:val="cf01"/>
                <w:rFonts w:ascii="Times New Roman" w:hAnsi="Times New Roman" w:cs="Times New Roman"/>
                <w:sz w:val="22"/>
                <w:szCs w:val="22"/>
              </w:rPr>
              <w:t>e</w:t>
            </w:r>
            <w:r w:rsidRPr="007F033E">
              <w:rPr>
                <w:rStyle w:val="cf01"/>
                <w:rFonts w:ascii="Times New Roman" w:hAnsi="Times New Roman" w:cs="Times New Roman"/>
                <w:sz w:val="22"/>
                <w:szCs w:val="22"/>
              </w:rPr>
              <w:t>iks paaiškinimus ir patikslinimus.</w:t>
            </w:r>
          </w:p>
        </w:tc>
      </w:tr>
      <w:tr w:rsidR="00367703" w:rsidRPr="00DD0365" w:rsidTr="007F033E">
        <w:trPr>
          <w:trHeight w:val="562"/>
        </w:trPr>
        <w:tc>
          <w:tcPr>
            <w:tcW w:w="597" w:type="dxa"/>
            <w:vAlign w:val="center"/>
          </w:tcPr>
          <w:p w:rsidR="00367703" w:rsidRPr="00DA408B" w:rsidRDefault="00367703" w:rsidP="008537AF">
            <w:pPr>
              <w:jc w:val="center"/>
              <w:rPr>
                <w:rFonts w:ascii="Times New Roman" w:hAnsi="Times New Roman" w:cs="Times New Roman"/>
              </w:rPr>
            </w:pPr>
            <w:r w:rsidRPr="00DA408B">
              <w:rPr>
                <w:rFonts w:ascii="Times New Roman" w:hAnsi="Times New Roman" w:cs="Times New Roman"/>
              </w:rPr>
              <w:t>3.</w:t>
            </w:r>
          </w:p>
        </w:tc>
        <w:tc>
          <w:tcPr>
            <w:tcW w:w="4536" w:type="dxa"/>
            <w:vAlign w:val="center"/>
          </w:tcPr>
          <w:p w:rsidR="00367703" w:rsidRPr="00DA408B" w:rsidRDefault="00367703" w:rsidP="008537AF">
            <w:pPr>
              <w:jc w:val="both"/>
              <w:rPr>
                <w:rFonts w:ascii="Times New Roman" w:hAnsi="Times New Roman" w:cs="Times New Roman"/>
              </w:rPr>
            </w:pPr>
          </w:p>
          <w:p w:rsidR="00367703" w:rsidRPr="00DA408B" w:rsidRDefault="00367703" w:rsidP="007F033E">
            <w:pPr>
              <w:jc w:val="both"/>
              <w:rPr>
                <w:rFonts w:ascii="Times New Roman" w:hAnsi="Times New Roman" w:cs="Times New Roman"/>
              </w:rPr>
            </w:pPr>
            <w:r w:rsidRPr="00DA408B">
              <w:rPr>
                <w:rFonts w:ascii="Times New Roman" w:hAnsi="Times New Roman" w:cs="Times New Roman"/>
              </w:rPr>
              <w:t xml:space="preserve">Pakomentuokite, ar, Jūsų vertinimu, </w:t>
            </w:r>
            <w:r w:rsidRPr="00DA408B">
              <w:rPr>
                <w:rFonts w:ascii="Times New Roman" w:eastAsia="Times New Roman" w:hAnsi="Times New Roman" w:cs="Times New Roman"/>
              </w:rPr>
              <w:t xml:space="preserve">perkančiosios organizcijos techninėje specifikacijoje nurodyti darbų atlikimo terminai (t.y. 2 savaitės parengimui ir suderinimui detalaus projekto vykdymo plano, 2 mėnesiai detaliai situacijos analizei, 4 mėnesiai programinės įrangos testavimui, 2 mėnesiai duomenų migravimui nuo įrangos įdiegimo, testavimo, paleidimo, 2 mėnesiai validavimui </w:t>
            </w:r>
            <w:r w:rsidRPr="00DA408B">
              <w:rPr>
                <w:rFonts w:ascii="Times New Roman" w:eastAsia="Times New Roman" w:hAnsi="Times New Roman" w:cs="Times New Roman"/>
                <w:bCs/>
              </w:rPr>
              <w:t xml:space="preserve">nuo duomenų </w:t>
            </w:r>
            <w:r w:rsidRPr="00DA408B">
              <w:rPr>
                <w:rFonts w:ascii="Times New Roman" w:eastAsia="Times New Roman" w:hAnsi="Times New Roman" w:cs="Times New Roman"/>
                <w:bCs/>
              </w:rPr>
              <w:lastRenderedPageBreak/>
              <w:t xml:space="preserve">migravimo proceso pabaigos, bendrai 12 mėnesių visų darbų atlikimui) </w:t>
            </w:r>
            <w:r w:rsidRPr="00DA408B">
              <w:rPr>
                <w:rFonts w:ascii="Times New Roman" w:eastAsia="Times New Roman" w:hAnsi="Times New Roman" w:cs="Times New Roman"/>
              </w:rPr>
              <w:t>yra pakankami?</w:t>
            </w:r>
          </w:p>
        </w:tc>
        <w:tc>
          <w:tcPr>
            <w:tcW w:w="4791" w:type="dxa"/>
            <w:vAlign w:val="center"/>
          </w:tcPr>
          <w:p w:rsidR="00971B52" w:rsidRPr="00DA408B" w:rsidRDefault="00971B52" w:rsidP="00971B52">
            <w:pPr>
              <w:pStyle w:val="Default"/>
              <w:rPr>
                <w:sz w:val="22"/>
                <w:szCs w:val="22"/>
              </w:rPr>
            </w:pPr>
            <w:r w:rsidRPr="00DA408B">
              <w:rPr>
                <w:sz w:val="22"/>
                <w:szCs w:val="22"/>
              </w:rPr>
              <w:lastRenderedPageBreak/>
              <w:t>Ne, nepakankami.</w:t>
            </w:r>
          </w:p>
          <w:p w:rsidR="00971B52" w:rsidRPr="00DA408B" w:rsidRDefault="00971B52" w:rsidP="00971B52">
            <w:pPr>
              <w:pStyle w:val="Default"/>
              <w:rPr>
                <w:sz w:val="22"/>
                <w:szCs w:val="22"/>
              </w:rPr>
            </w:pPr>
            <w:r w:rsidRPr="00DA408B">
              <w:rPr>
                <w:sz w:val="22"/>
                <w:szCs w:val="22"/>
              </w:rPr>
              <w:t xml:space="preserve">Perkančioji organizacija privalo būti paskyrusi pakankamus įgaliojimus bei techninį pasirengimą turinčius asmenis, kad tokia komanda galėtų nuolat ir neatsitraukdama teikti duomenis tiekėjui, sisteminti perkeliamą informaciją ir būti pasirengusi atsakyti į paslaugos teikėjo klausimus. </w:t>
            </w:r>
          </w:p>
          <w:p w:rsidR="00971B52" w:rsidRPr="00DA408B" w:rsidRDefault="00971B52" w:rsidP="00971B52">
            <w:pPr>
              <w:pStyle w:val="Default"/>
              <w:rPr>
                <w:sz w:val="22"/>
                <w:szCs w:val="22"/>
              </w:rPr>
            </w:pPr>
            <w:r w:rsidRPr="00DA408B">
              <w:rPr>
                <w:sz w:val="22"/>
                <w:szCs w:val="22"/>
              </w:rPr>
              <w:t xml:space="preserve">Svarbu įvertinti ir trečiųjų asmenų dalyvavimą projekte ir jų valdomos informacijos savalaikį teikimą, kurį turėtų užtikrinti Perkančioji organizacija. </w:t>
            </w:r>
          </w:p>
          <w:p w:rsidR="00367703" w:rsidRPr="00DA408B" w:rsidRDefault="00367703" w:rsidP="00971B52">
            <w:pPr>
              <w:rPr>
                <w:rFonts w:ascii="Times New Roman" w:hAnsi="Times New Roman" w:cs="Times New Roman"/>
              </w:rPr>
            </w:pPr>
          </w:p>
        </w:tc>
        <w:tc>
          <w:tcPr>
            <w:tcW w:w="4706" w:type="dxa"/>
            <w:vAlign w:val="center"/>
          </w:tcPr>
          <w:p w:rsidR="00367703" w:rsidRPr="00DD0365" w:rsidRDefault="005D080C" w:rsidP="005D080C">
            <w:pPr>
              <w:rPr>
                <w:rFonts w:ascii="Times New Roman" w:hAnsi="Times New Roman" w:cs="Times New Roman"/>
                <w:sz w:val="20"/>
              </w:rPr>
            </w:pPr>
            <w:r w:rsidRPr="007F033E">
              <w:rPr>
                <w:rStyle w:val="cf01"/>
                <w:rFonts w:ascii="Times New Roman" w:hAnsi="Times New Roman" w:cs="Times New Roman"/>
                <w:sz w:val="22"/>
                <w:szCs w:val="22"/>
              </w:rPr>
              <w:lastRenderedPageBreak/>
              <w:t>Perkančioji organizacija</w:t>
            </w:r>
            <w:r>
              <w:rPr>
                <w:rStyle w:val="cf01"/>
                <w:rFonts w:ascii="Times New Roman" w:hAnsi="Times New Roman" w:cs="Times New Roman"/>
                <w:sz w:val="22"/>
                <w:szCs w:val="22"/>
              </w:rPr>
              <w:t xml:space="preserve"> atsižvelgs į komentarą ir peržiūrės techninėje specifikacijoje nurodytus darbų atlikimo terminus.</w:t>
            </w:r>
          </w:p>
        </w:tc>
      </w:tr>
      <w:tr w:rsidR="007F033E" w:rsidRPr="00DD0365" w:rsidTr="00B97E5D">
        <w:trPr>
          <w:trHeight w:val="2036"/>
        </w:trPr>
        <w:tc>
          <w:tcPr>
            <w:tcW w:w="597" w:type="dxa"/>
            <w:vAlign w:val="center"/>
          </w:tcPr>
          <w:p w:rsidR="007F033E" w:rsidRPr="00DA408B" w:rsidRDefault="007F033E" w:rsidP="007F033E">
            <w:pPr>
              <w:jc w:val="center"/>
              <w:rPr>
                <w:rFonts w:ascii="Times New Roman" w:hAnsi="Times New Roman" w:cs="Times New Roman"/>
              </w:rPr>
            </w:pPr>
            <w:r w:rsidRPr="00DA408B">
              <w:rPr>
                <w:rFonts w:ascii="Times New Roman" w:hAnsi="Times New Roman" w:cs="Times New Roman"/>
              </w:rPr>
              <w:t>4.</w:t>
            </w:r>
          </w:p>
        </w:tc>
        <w:tc>
          <w:tcPr>
            <w:tcW w:w="4536" w:type="dxa"/>
            <w:vAlign w:val="center"/>
          </w:tcPr>
          <w:p w:rsidR="007F033E" w:rsidRPr="00DA408B" w:rsidRDefault="007F033E" w:rsidP="007F033E">
            <w:pPr>
              <w:jc w:val="both"/>
              <w:rPr>
                <w:rFonts w:ascii="Times New Roman" w:hAnsi="Times New Roman" w:cs="Times New Roman"/>
              </w:rPr>
            </w:pPr>
            <w:r w:rsidRPr="00DA408B">
              <w:rPr>
                <w:rFonts w:ascii="Times New Roman" w:eastAsia="Times New Roman" w:hAnsi="Times New Roman" w:cs="Times New Roman"/>
              </w:rPr>
              <w:t>Ar perkančiosios organizacijos reikalavimai turėti „TOGAF“ ,</w:t>
            </w:r>
            <w:r w:rsidRPr="00DA408B">
              <w:t xml:space="preserve"> “</w:t>
            </w:r>
            <w:r w:rsidRPr="00DA408B">
              <w:rPr>
                <w:rFonts w:ascii="Times New Roman" w:eastAsia="Times New Roman" w:hAnsi="Times New Roman" w:cs="Times New Roman"/>
              </w:rPr>
              <w:t>ITIL 4 Foundation Certificate in IT Service Management“, „Prince2/PMP/Comptia Project“, „BCS Foundation certificate in business analysis“, „OMG Certifies UML professional intermediate“ sertifiktus neapriboja Jūsų galimybių teikti pasiūlymus?</w:t>
            </w:r>
          </w:p>
        </w:tc>
        <w:tc>
          <w:tcPr>
            <w:tcW w:w="4791" w:type="dxa"/>
            <w:vAlign w:val="center"/>
          </w:tcPr>
          <w:p w:rsidR="007F033E" w:rsidRPr="00DA408B" w:rsidRDefault="007F033E" w:rsidP="007F033E">
            <w:pPr>
              <w:pStyle w:val="Default"/>
              <w:rPr>
                <w:sz w:val="22"/>
                <w:szCs w:val="22"/>
              </w:rPr>
            </w:pPr>
            <w:r w:rsidRPr="00DA408B">
              <w:rPr>
                <w:sz w:val="22"/>
                <w:szCs w:val="22"/>
              </w:rPr>
              <w:t xml:space="preserve">Apriboja. </w:t>
            </w:r>
          </w:p>
          <w:p w:rsidR="007F033E" w:rsidRPr="00DA408B" w:rsidRDefault="007F033E" w:rsidP="007F033E">
            <w:pPr>
              <w:pStyle w:val="Default"/>
              <w:ind w:firstLine="34"/>
              <w:rPr>
                <w:sz w:val="22"/>
                <w:szCs w:val="22"/>
              </w:rPr>
            </w:pPr>
          </w:p>
        </w:tc>
        <w:tc>
          <w:tcPr>
            <w:tcW w:w="4706" w:type="dxa"/>
            <w:vAlign w:val="center"/>
          </w:tcPr>
          <w:p w:rsidR="007F033E" w:rsidRPr="00DD0365" w:rsidRDefault="007F033E" w:rsidP="00EF21A5">
            <w:pPr>
              <w:rPr>
                <w:rFonts w:ascii="Times New Roman" w:hAnsi="Times New Roman" w:cs="Times New Roman"/>
                <w:sz w:val="20"/>
              </w:rPr>
            </w:pPr>
            <w:r w:rsidRPr="007F033E">
              <w:rPr>
                <w:rStyle w:val="cf01"/>
                <w:rFonts w:ascii="Times New Roman" w:hAnsi="Times New Roman" w:cs="Times New Roman"/>
                <w:sz w:val="22"/>
                <w:szCs w:val="22"/>
              </w:rPr>
              <w:t>Perkančioji organizacija</w:t>
            </w:r>
            <w:r>
              <w:rPr>
                <w:rStyle w:val="cf01"/>
                <w:rFonts w:ascii="Times New Roman" w:hAnsi="Times New Roman" w:cs="Times New Roman"/>
                <w:sz w:val="22"/>
                <w:szCs w:val="22"/>
              </w:rPr>
              <w:t xml:space="preserve"> atsižvelgs į komentarą ir peržiūrės techninėje specifikacijoje nurodytus </w:t>
            </w:r>
            <w:r w:rsidR="00EF21A5">
              <w:rPr>
                <w:rStyle w:val="cf01"/>
                <w:rFonts w:ascii="Times New Roman" w:hAnsi="Times New Roman" w:cs="Times New Roman"/>
                <w:sz w:val="22"/>
                <w:szCs w:val="22"/>
              </w:rPr>
              <w:t>kvalifikacijos reikalavimus</w:t>
            </w:r>
            <w:r>
              <w:rPr>
                <w:rStyle w:val="cf01"/>
                <w:rFonts w:ascii="Times New Roman" w:hAnsi="Times New Roman" w:cs="Times New Roman"/>
                <w:sz w:val="22"/>
                <w:szCs w:val="22"/>
              </w:rPr>
              <w:t>.</w:t>
            </w:r>
          </w:p>
        </w:tc>
      </w:tr>
      <w:tr w:rsidR="00EF21A5" w:rsidRPr="00DD0365" w:rsidTr="005A727A">
        <w:trPr>
          <w:trHeight w:val="1545"/>
        </w:trPr>
        <w:tc>
          <w:tcPr>
            <w:tcW w:w="597" w:type="dxa"/>
            <w:vAlign w:val="center"/>
          </w:tcPr>
          <w:p w:rsidR="00EF21A5" w:rsidRPr="00DA408B" w:rsidRDefault="00EF21A5" w:rsidP="00EF21A5">
            <w:pPr>
              <w:jc w:val="center"/>
              <w:rPr>
                <w:rFonts w:ascii="Times New Roman" w:hAnsi="Times New Roman" w:cs="Times New Roman"/>
              </w:rPr>
            </w:pPr>
            <w:r w:rsidRPr="00DA408B">
              <w:rPr>
                <w:rFonts w:ascii="Times New Roman" w:hAnsi="Times New Roman" w:cs="Times New Roman"/>
              </w:rPr>
              <w:t>5.</w:t>
            </w:r>
          </w:p>
        </w:tc>
        <w:tc>
          <w:tcPr>
            <w:tcW w:w="4536" w:type="dxa"/>
            <w:vAlign w:val="center"/>
          </w:tcPr>
          <w:p w:rsidR="00EF21A5" w:rsidRPr="00DA408B" w:rsidRDefault="00EF21A5" w:rsidP="00EF21A5">
            <w:pPr>
              <w:jc w:val="both"/>
              <w:rPr>
                <w:rFonts w:ascii="Times New Roman" w:eastAsia="Times New Roman" w:hAnsi="Times New Roman" w:cs="Times New Roman"/>
              </w:rPr>
            </w:pPr>
            <w:r w:rsidRPr="00DA408B">
              <w:rPr>
                <w:rFonts w:ascii="Times New Roman" w:eastAsia="Times New Roman" w:hAnsi="Times New Roman" w:cs="Times New Roman"/>
              </w:rPr>
              <w:t>Ar perkančiosios organizacijos reikalavimai turėti ne trumpesnę nei 3 (trejų) metų per pastaruosius 5 (penkerius) metus informacinių sistemų analitiko darbo, informacinių sistemų projektavimo, valdant projektus susijusius su informacinių sistemų projektavimu, patirtį, bei ne trumpesnę kaip 3 metų darbo patirtį informacinių sistemų kūrimo/plėtros srityje neapriboja Jūsų galimybių teikti pasiūlymus?</w:t>
            </w:r>
          </w:p>
        </w:tc>
        <w:tc>
          <w:tcPr>
            <w:tcW w:w="4791" w:type="dxa"/>
            <w:vAlign w:val="center"/>
          </w:tcPr>
          <w:p w:rsidR="00EF21A5" w:rsidRPr="00DA408B" w:rsidRDefault="00EF21A5" w:rsidP="00EF21A5">
            <w:pPr>
              <w:pStyle w:val="Default"/>
              <w:rPr>
                <w:sz w:val="22"/>
                <w:szCs w:val="22"/>
              </w:rPr>
            </w:pPr>
            <w:r w:rsidRPr="00DA408B">
              <w:rPr>
                <w:sz w:val="22"/>
                <w:szCs w:val="22"/>
              </w:rPr>
              <w:t xml:space="preserve">Apriboja. </w:t>
            </w:r>
          </w:p>
          <w:p w:rsidR="00EF21A5" w:rsidRPr="00DA408B" w:rsidRDefault="00EF21A5" w:rsidP="00EF21A5">
            <w:pPr>
              <w:ind w:firstLine="34"/>
              <w:jc w:val="center"/>
              <w:rPr>
                <w:rFonts w:ascii="Times New Roman" w:hAnsi="Times New Roman" w:cs="Times New Roman"/>
              </w:rPr>
            </w:pPr>
          </w:p>
        </w:tc>
        <w:tc>
          <w:tcPr>
            <w:tcW w:w="4706" w:type="dxa"/>
            <w:vAlign w:val="center"/>
          </w:tcPr>
          <w:p w:rsidR="00EF21A5" w:rsidRPr="00DD0365" w:rsidRDefault="00EF21A5" w:rsidP="00EF21A5">
            <w:pPr>
              <w:rPr>
                <w:rFonts w:ascii="Times New Roman" w:hAnsi="Times New Roman" w:cs="Times New Roman"/>
                <w:sz w:val="20"/>
              </w:rPr>
            </w:pPr>
            <w:r w:rsidRPr="007F033E">
              <w:rPr>
                <w:rStyle w:val="cf01"/>
                <w:rFonts w:ascii="Times New Roman" w:hAnsi="Times New Roman" w:cs="Times New Roman"/>
                <w:sz w:val="22"/>
                <w:szCs w:val="22"/>
              </w:rPr>
              <w:t>Perkančioji organizacija</w:t>
            </w:r>
            <w:r>
              <w:rPr>
                <w:rStyle w:val="cf01"/>
                <w:rFonts w:ascii="Times New Roman" w:hAnsi="Times New Roman" w:cs="Times New Roman"/>
                <w:sz w:val="22"/>
                <w:szCs w:val="22"/>
              </w:rPr>
              <w:t xml:space="preserve"> atsižvelgs į komentarą ir peržiūrės techninėje specifikacijoje nurodytus darbo patirties reikalavimus.</w:t>
            </w:r>
          </w:p>
        </w:tc>
      </w:tr>
      <w:tr w:rsidR="00EF21A5" w:rsidRPr="00DD0365" w:rsidTr="00DA408B">
        <w:trPr>
          <w:trHeight w:val="569"/>
        </w:trPr>
        <w:tc>
          <w:tcPr>
            <w:tcW w:w="597" w:type="dxa"/>
            <w:vAlign w:val="center"/>
          </w:tcPr>
          <w:p w:rsidR="00EF21A5" w:rsidRPr="00DA408B" w:rsidRDefault="00EF21A5" w:rsidP="00EF21A5">
            <w:pPr>
              <w:jc w:val="center"/>
              <w:rPr>
                <w:rFonts w:ascii="Times New Roman" w:hAnsi="Times New Roman" w:cs="Times New Roman"/>
              </w:rPr>
            </w:pPr>
            <w:r w:rsidRPr="00DA408B">
              <w:rPr>
                <w:rFonts w:ascii="Times New Roman" w:hAnsi="Times New Roman" w:cs="Times New Roman"/>
              </w:rPr>
              <w:t>6.</w:t>
            </w:r>
          </w:p>
        </w:tc>
        <w:tc>
          <w:tcPr>
            <w:tcW w:w="4536" w:type="dxa"/>
            <w:vAlign w:val="center"/>
          </w:tcPr>
          <w:p w:rsidR="00EF21A5" w:rsidRPr="00DA408B" w:rsidRDefault="00EF21A5" w:rsidP="00EF21A5">
            <w:pPr>
              <w:rPr>
                <w:rFonts w:ascii="Times New Roman" w:hAnsi="Times New Roman" w:cs="Times New Roman"/>
              </w:rPr>
            </w:pPr>
            <w:r w:rsidRPr="00DA408B">
              <w:rPr>
                <w:rFonts w:ascii="Times New Roman" w:hAnsi="Times New Roman" w:cs="Times New Roman"/>
              </w:rPr>
              <w:t>Ar turite kitų pastebėjimų ar pasiūlymų? (</w:t>
            </w:r>
            <w:r w:rsidRPr="00DA408B">
              <w:rPr>
                <w:rFonts w:ascii="Times New Roman" w:hAnsi="Times New Roman" w:cs="Times New Roman"/>
                <w:i/>
              </w:rPr>
              <w:t>prašome pateikti</w:t>
            </w:r>
            <w:r w:rsidRPr="00DA408B">
              <w:rPr>
                <w:rFonts w:ascii="Times New Roman" w:hAnsi="Times New Roman" w:cs="Times New Roman"/>
              </w:rPr>
              <w:t>)</w:t>
            </w:r>
          </w:p>
        </w:tc>
        <w:tc>
          <w:tcPr>
            <w:tcW w:w="4791" w:type="dxa"/>
            <w:vAlign w:val="center"/>
          </w:tcPr>
          <w:p w:rsidR="00EF21A5" w:rsidRPr="00DA408B" w:rsidRDefault="00EF21A5" w:rsidP="00EF21A5">
            <w:pPr>
              <w:pStyle w:val="Default"/>
              <w:rPr>
                <w:sz w:val="22"/>
                <w:szCs w:val="22"/>
              </w:rPr>
            </w:pPr>
            <w:r w:rsidRPr="00DA408B">
              <w:rPr>
                <w:sz w:val="22"/>
                <w:szCs w:val="22"/>
              </w:rPr>
              <w:t xml:space="preserve">UAB „Labdata“ teikė daug pastebėjimų ir pasiūlymų dėl NKC pradėtų pirkimų (2023-02-01, 2023-03-23, 2023-06-27, 2023-08-30, 2024-02-20, 2024-03-25, 2024-03-26) reikalavimų turinio, ir toliau laikosi nuomonės, kad Perkančiajai organizacijai naudingiausia būtų įvertinti jau pateiktas pastabas ir pasiūlymus, siekiant, kad techniniai ir funkciniai reikalavimai ne tik būtų aiškiai apibrėžti, bet ir galėtų faktiškai būti įgyvendinami. </w:t>
            </w:r>
          </w:p>
        </w:tc>
        <w:tc>
          <w:tcPr>
            <w:tcW w:w="4706" w:type="dxa"/>
          </w:tcPr>
          <w:p w:rsidR="00EF21A5" w:rsidRPr="00DD0365" w:rsidRDefault="00EF21A5" w:rsidP="00EF21A5">
            <w:pPr>
              <w:jc w:val="center"/>
              <w:rPr>
                <w:rFonts w:ascii="Times New Roman" w:hAnsi="Times New Roman" w:cs="Times New Roman"/>
                <w:sz w:val="20"/>
              </w:rPr>
            </w:pPr>
          </w:p>
        </w:tc>
      </w:tr>
    </w:tbl>
    <w:p w:rsidR="00064ED6" w:rsidRDefault="00064ED6" w:rsidP="00071456">
      <w:pPr>
        <w:ind w:firstLine="567"/>
        <w:rPr>
          <w:rFonts w:ascii="Times New Roman" w:hAnsi="Times New Roman" w:cs="Times New Roman"/>
          <w:sz w:val="24"/>
          <w:szCs w:val="24"/>
        </w:rPr>
      </w:pPr>
    </w:p>
    <w:sectPr w:rsidR="00064ED6" w:rsidSect="00064ED6">
      <w:pgSz w:w="15840" w:h="12240" w:orient="landscape"/>
      <w:pgMar w:top="709" w:right="170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372593"/>
    <w:multiLevelType w:val="hybridMultilevel"/>
    <w:tmpl w:val="8B5CE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2411B2"/>
    <w:multiLevelType w:val="hybridMultilevel"/>
    <w:tmpl w:val="6EAC3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0CA"/>
    <w:rsid w:val="000110CA"/>
    <w:rsid w:val="00064ED6"/>
    <w:rsid w:val="00071456"/>
    <w:rsid w:val="00367703"/>
    <w:rsid w:val="00370738"/>
    <w:rsid w:val="005379A5"/>
    <w:rsid w:val="005B6A8E"/>
    <w:rsid w:val="005D080C"/>
    <w:rsid w:val="007F033E"/>
    <w:rsid w:val="00854609"/>
    <w:rsid w:val="00971B52"/>
    <w:rsid w:val="00BB650B"/>
    <w:rsid w:val="00DA408B"/>
    <w:rsid w:val="00EF21A5"/>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4A707-7BF5-4B17-8B28-74D712B9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10C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0110CA"/>
    <w:pPr>
      <w:ind w:left="720"/>
      <w:contextualSpacing/>
    </w:pPr>
  </w:style>
  <w:style w:type="character" w:styleId="Hyperlink">
    <w:name w:val="Hyperlink"/>
    <w:basedOn w:val="DefaultParagraphFont"/>
    <w:uiPriority w:val="99"/>
    <w:unhideWhenUsed/>
    <w:rsid w:val="00064ED6"/>
    <w:rPr>
      <w:color w:val="0563C1" w:themeColor="hyperlink"/>
      <w:u w:val="single"/>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064ED6"/>
  </w:style>
  <w:style w:type="table" w:styleId="TableGrid">
    <w:name w:val="Table Grid"/>
    <w:basedOn w:val="TableNormal"/>
    <w:uiPriority w:val="39"/>
    <w:rsid w:val="00064ED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4E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Vaitekenaite</dc:creator>
  <cp:keywords/>
  <dc:description/>
  <cp:lastModifiedBy>Algimantė Misiūnienė</cp:lastModifiedBy>
  <cp:revision>2</cp:revision>
  <dcterms:created xsi:type="dcterms:W3CDTF">2025-01-03T08:55:00Z</dcterms:created>
  <dcterms:modified xsi:type="dcterms:W3CDTF">2025-01-03T08:55:00Z</dcterms:modified>
</cp:coreProperties>
</file>