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72B0C6D1" w14:textId="559657A6" w:rsidR="007D5DDE" w:rsidRDefault="007D5DDE" w:rsidP="003D3B1D">
                <w:pPr>
                  <w:rPr>
                    <w:rFonts w:ascii="Calibri" w:eastAsia="Times New Roman" w:hAnsi="Calibri" w:cs="Calibri"/>
                    <w:b/>
                    <w:bCs/>
                    <w:color w:val="000000" w:themeColor="text1"/>
                    <w:spacing w:val="-8"/>
                    <w:lang w:val="lt-LT"/>
                  </w:rPr>
                </w:pPr>
                <w:r w:rsidRPr="007D5DDE">
                  <w:rPr>
                    <w:rFonts w:ascii="Calibri" w:eastAsia="Times New Roman" w:hAnsi="Calibri" w:cs="Calibri"/>
                    <w:b/>
                    <w:bCs/>
                    <w:color w:val="000000" w:themeColor="text1"/>
                    <w:spacing w:val="-8"/>
                    <w:lang w:val="lt-LT"/>
                  </w:rPr>
                  <w:t>HIRE OF PASSENGER TRANSPORT VEHICLES WITH DRIVER</w:t>
                </w:r>
              </w:p>
              <w:p w14:paraId="67794F7E" w14:textId="5EB22135" w:rsidR="00C6399A" w:rsidRPr="00CD19E7" w:rsidRDefault="00B66515" w:rsidP="003D3B1D">
                <w:pPr>
                  <w:rPr>
                    <w:rFonts w:ascii="Calibri" w:eastAsia="Times New Roman" w:hAnsi="Calibri" w:cs="Calibri"/>
                    <w:color w:val="000000" w:themeColor="text1"/>
                    <w:spacing w:val="-8"/>
                    <w:lang w:val="en-GB"/>
                  </w:rPr>
                </w:pPr>
                <w:r w:rsidRPr="00CD19E7">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CD19E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tcBorders>
                  <w:right w:val="single" w:sz="4" w:space="0" w:color="auto"/>
                </w:tcBorders>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tcBorders>
                  <w:left w:val="single" w:sz="4" w:space="0" w:color="auto"/>
                </w:tcBorders>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address: S. Konarskio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09ACDA3A"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vAlign w:val="center"/>
              </w:tcPr>
              <w:p w14:paraId="5CA36912" w14:textId="52D71A1A" w:rsidR="00B32B37" w:rsidRPr="003B3F02" w:rsidRDefault="00CD19E7" w:rsidP="003B3F02">
                <w:pPr>
                  <w:rPr>
                    <w:rFonts w:ascii="Calibri" w:eastAsia="Times New Roman" w:hAnsi="Calibri" w:cs="Calibri"/>
                    <w:color w:val="000000" w:themeColor="text1"/>
                    <w:spacing w:val="-8"/>
                    <w:lang w:val="en-GB"/>
                  </w:rPr>
                </w:pPr>
                <w:r w:rsidRPr="003B3F02">
                  <w:rPr>
                    <w:rFonts w:ascii="Calibri" w:eastAsia="Times New Roman" w:hAnsi="Calibri" w:cs="Calibri"/>
                    <w:iCs/>
                    <w:color w:val="000000" w:themeColor="text1"/>
                    <w:spacing w:val="-8"/>
                    <w:lang w:val="lt-LT"/>
                  </w:rPr>
                  <w:t>Laura Sungailaitė-Jurčė,</w:t>
                </w:r>
                <w:r w:rsidRPr="003B3F02">
                  <w:rPr>
                    <w:rFonts w:ascii="Calibri" w:eastAsia="Times New Roman" w:hAnsi="Calibri" w:cs="Calibri"/>
                    <w:iCs/>
                    <w:color w:val="000000" w:themeColor="text1"/>
                    <w:spacing w:val="-8"/>
                    <w:lang w:val="en-GB"/>
                  </w:rPr>
                  <w:t xml:space="preserve"> Senior procurement specialist, Legal and Procurement Department, e-mail: </w:t>
                </w:r>
                <w:hyperlink r:id="rId11" w:history="1">
                  <w:r w:rsidRPr="003B3F02">
                    <w:rPr>
                      <w:rStyle w:val="Hyperlink"/>
                      <w:rFonts w:ascii="Calibri" w:eastAsia="Times New Roman" w:hAnsi="Calibri" w:cs="Calibri"/>
                      <w:iCs/>
                      <w:spacing w:val="-8"/>
                      <w:lang w:val="lt-LT"/>
                    </w:rPr>
                    <w:t>L.Sungailaite-Jurce@cpva.lt</w:t>
                  </w:r>
                </w:hyperlink>
                <w:r w:rsidRPr="003B3F02">
                  <w:rPr>
                    <w:rFonts w:ascii="Calibri" w:eastAsia="Times New Roman" w:hAnsi="Calibri" w:cs="Calibri"/>
                    <w:iCs/>
                    <w:color w:val="000000" w:themeColor="text1"/>
                    <w:spacing w:val="-8"/>
                    <w:lang w:val="lt-LT"/>
                  </w:rPr>
                  <w:t>, tel. +37064912635</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3343E97B" w14:textId="3A1FCD1E" w:rsidR="00967031" w:rsidRPr="00CD19E7" w:rsidRDefault="00BC5E21" w:rsidP="00967031">
                <w:pPr>
                  <w:rPr>
                    <w:rFonts w:ascii="Calibri" w:eastAsia="Times New Roman" w:hAnsi="Calibri" w:cs="Calibri"/>
                    <w:color w:val="000000" w:themeColor="text1"/>
                    <w:spacing w:val="-8"/>
                    <w:lang w:val="lt-LT"/>
                  </w:rPr>
                </w:pPr>
                <w:r w:rsidRPr="00BC5E21">
                  <w:rPr>
                    <w:rFonts w:ascii="Calibri" w:eastAsia="Times New Roman" w:hAnsi="Calibri" w:cs="Calibri"/>
                    <w:color w:val="000000" w:themeColor="text1"/>
                    <w:spacing w:val="-8"/>
                    <w:lang w:val="lt-LT"/>
                  </w:rPr>
                  <w:t xml:space="preserve">CPO LT e-catalogue does not meet CPVA's demand for </w:t>
                </w:r>
                <w:r>
                  <w:rPr>
                    <w:rFonts w:ascii="Calibri" w:eastAsia="Times New Roman" w:hAnsi="Calibri" w:cs="Calibri"/>
                    <w:color w:val="000000" w:themeColor="text1"/>
                    <w:spacing w:val="-8"/>
                    <w:lang w:val="lt-LT"/>
                  </w:rPr>
                  <w:t>passenger transport vehiles</w:t>
                </w:r>
                <w:r w:rsidRPr="00BC5E21">
                  <w:rPr>
                    <w:rFonts w:ascii="Calibri" w:eastAsia="Times New Roman" w:hAnsi="Calibri" w:cs="Calibri"/>
                    <w:color w:val="000000" w:themeColor="text1"/>
                    <w:spacing w:val="-8"/>
                    <w:lang w:val="lt-LT"/>
                  </w:rPr>
                  <w:t xml:space="preserve"> hire with driver services</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159E58B6" w:rsidR="00765F97" w:rsidRPr="00CD19E7" w:rsidRDefault="00CD19E7" w:rsidP="00765F97">
                <w:pPr>
                  <w:rPr>
                    <w:rFonts w:ascii="Calibri" w:eastAsia="Times New Roman" w:hAnsi="Calibri" w:cs="Calibri"/>
                    <w:color w:val="000000" w:themeColor="text1"/>
                    <w:spacing w:val="-8"/>
                    <w:lang w:val="lt-LT"/>
                  </w:rPr>
                </w:pPr>
                <w:r w:rsidRPr="00CD19E7">
                  <w:rPr>
                    <w:rFonts w:ascii="Calibri" w:eastAsia="Times New Roman" w:hAnsi="Calibri" w:cs="Calibri"/>
                    <w:color w:val="000000" w:themeColor="text1"/>
                    <w:spacing w:val="-8"/>
                    <w:lang w:val="lt-LT"/>
                  </w:rPr>
                  <w:t>Timeframe for provision of services</w:t>
                </w:r>
              </w:p>
            </w:tc>
            <w:tc>
              <w:tcPr>
                <w:tcW w:w="2345" w:type="pct"/>
                <w:vAlign w:val="center"/>
              </w:tcPr>
              <w:p w14:paraId="3DA43C4C" w14:textId="18E69604" w:rsidR="00BF1C07" w:rsidRPr="001C0D43" w:rsidRDefault="00B107A5" w:rsidP="0067513A">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24</w:t>
                </w:r>
                <w:r w:rsidR="001D669F" w:rsidRPr="001C0D43">
                  <w:rPr>
                    <w:rFonts w:ascii="Calibri" w:eastAsia="Times New Roman" w:hAnsi="Calibri" w:cs="Calibri"/>
                    <w:color w:val="000000" w:themeColor="text1"/>
                    <w:spacing w:val="-8"/>
                    <w:lang w:val="en-GB"/>
                  </w:rPr>
                  <w:t xml:space="preserve"> months from the entry into force of the Contract</w:t>
                </w:r>
                <w:r w:rsidR="001D669F">
                  <w:rPr>
                    <w:rFonts w:ascii="Calibri" w:eastAsia="Times New Roman" w:hAnsi="Calibri" w:cs="Calibri"/>
                    <w:color w:val="000000" w:themeColor="text1"/>
                    <w:spacing w:val="-8"/>
                    <w:lang w:val="en-GB"/>
                  </w:rPr>
                  <w:t xml:space="preserve">, or until the </w:t>
                </w:r>
                <w:r w:rsidR="001D669F" w:rsidRPr="00F05B50">
                  <w:rPr>
                    <w:rFonts w:eastAsia="Times New Roman" w:cstheme="minorHAnsi"/>
                  </w:rPr>
                  <w:t xml:space="preserve">Contract </w:t>
                </w:r>
                <w:r w:rsidR="001D669F">
                  <w:rPr>
                    <w:rFonts w:eastAsia="Times New Roman" w:cstheme="minorHAnsi"/>
                  </w:rPr>
                  <w:t>price</w:t>
                </w:r>
                <w:r w:rsidR="001D669F" w:rsidRPr="00F05B50">
                  <w:rPr>
                    <w:rFonts w:eastAsia="Times New Roman" w:cstheme="minorHAnsi"/>
                  </w:rPr>
                  <w:t xml:space="preserve"> has been exhausted</w:t>
                </w:r>
                <w:r w:rsidR="001D669F">
                  <w:rPr>
                    <w:rFonts w:eastAsia="Times New Roman" w:cstheme="minorHAnsi"/>
                  </w:rPr>
                  <w:t>.</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69414060"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Options for extending the </w:t>
                </w:r>
                <w:r w:rsidR="008C2945">
                  <w:rPr>
                    <w:rFonts w:ascii="Calibri" w:eastAsia="Times New Roman" w:hAnsi="Calibri" w:cs="Calibri"/>
                    <w:color w:val="000000" w:themeColor="text1"/>
                    <w:spacing w:val="-8"/>
                    <w:lang w:val="en-GB"/>
                  </w:rPr>
                  <w:t>services provision</w:t>
                </w:r>
                <w:r w:rsidRPr="001C0D43">
                  <w:rPr>
                    <w:rFonts w:ascii="Calibri" w:eastAsia="Times New Roman" w:hAnsi="Calibri" w:cs="Calibri"/>
                    <w:color w:val="000000" w:themeColor="text1"/>
                    <w:spacing w:val="-8"/>
                    <w:lang w:val="en-GB"/>
                  </w:rPr>
                  <w:t xml:space="preserve"> period</w:t>
                </w:r>
              </w:p>
            </w:tc>
            <w:tc>
              <w:tcPr>
                <w:tcW w:w="2345" w:type="pct"/>
                <w:vAlign w:val="center"/>
              </w:tcPr>
              <w:p w14:paraId="4B1FE043" w14:textId="684D3BA2" w:rsidR="00642366" w:rsidRPr="001C0D43" w:rsidRDefault="00835AC9" w:rsidP="00642366">
                <w:pPr>
                  <w:rPr>
                    <w:rFonts w:ascii="Calibri" w:eastAsia="Times New Roman" w:hAnsi="Calibri" w:cs="Calibri"/>
                    <w:color w:val="000000" w:themeColor="text1"/>
                    <w:spacing w:val="-8"/>
                    <w:lang w:val="en-GB"/>
                  </w:rPr>
                </w:pPr>
                <w:r w:rsidRPr="00835AC9">
                  <w:rPr>
                    <w:rFonts w:cstheme="minorHAnsi"/>
                    <w:lang w:val="en-GB" w:bidi="en-GB"/>
                  </w:rPr>
                  <w:t>Not foreseen</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75A826FE"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4EECDAA7"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Date, time of getting acquainted with the tenders submitted </w:t>
                </w:r>
              </w:p>
            </w:tc>
            <w:tc>
              <w:tcPr>
                <w:tcW w:w="2345" w:type="pct"/>
                <w:vAlign w:val="center"/>
              </w:tcPr>
              <w:p w14:paraId="377B2B8D" w14:textId="6F8D2696"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C616E28" w14:textId="72664E94" w:rsidR="003F6524" w:rsidRPr="00B50564" w:rsidRDefault="00EB4B59" w:rsidP="00B1613B">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The maximum</w:t>
                </w:r>
                <w:r w:rsidR="00B1613B" w:rsidRPr="001C0D43">
                  <w:rPr>
                    <w:rFonts w:ascii="Calibri" w:eastAsia="Times New Roman" w:hAnsi="Calibri" w:cs="Calibri"/>
                    <w:color w:val="000000" w:themeColor="text1"/>
                    <w:spacing w:val="-8"/>
                    <w:lang w:val="en-GB"/>
                  </w:rPr>
                  <w:t xml:space="preserve"> amount of funds available for the procurement</w:t>
                </w:r>
              </w:p>
            </w:tc>
            <w:tc>
              <w:tcPr>
                <w:tcW w:w="2345" w:type="pct"/>
                <w:vAlign w:val="center"/>
              </w:tcPr>
              <w:p w14:paraId="00CBCEF9" w14:textId="16B28C5C" w:rsidR="00765F97" w:rsidRPr="00835AC9" w:rsidRDefault="00835AC9" w:rsidP="000450A1">
                <w:pPr>
                  <w:rPr>
                    <w:rFonts w:ascii="Calibri" w:eastAsia="Times New Roman" w:hAnsi="Calibri" w:cs="Calibri"/>
                    <w:iCs/>
                    <w:spacing w:val="-8"/>
                    <w:lang w:val="en-GB"/>
                  </w:rPr>
                </w:pPr>
                <w:r w:rsidRPr="00835AC9">
                  <w:rPr>
                    <w:rFonts w:ascii="Calibri" w:hAnsi="Calibri" w:cs="Calibri"/>
                    <w:iCs/>
                    <w:spacing w:val="-8"/>
                    <w:lang w:val="en-GB"/>
                  </w:rPr>
                  <w:t>210 000,00</w:t>
                </w:r>
                <w:r w:rsidR="00E65FA0" w:rsidRPr="00835AC9">
                  <w:rPr>
                    <w:rFonts w:ascii="Calibri" w:hAnsi="Calibri" w:cs="Calibri"/>
                    <w:iCs/>
                    <w:spacing w:val="-8"/>
                    <w:lang w:val="en-GB"/>
                  </w:rPr>
                  <w:t xml:space="preserve"> Eur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150E343E"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Part;</w:t>
                </w:r>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6 and 8 to 10 of the General Part;</w:t>
                </w:r>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22E6F9EA"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00EB4B59">
                  <w:rPr>
                    <w:rFonts w:ascii="Calibri" w:eastAsia="Times New Roman" w:hAnsi="Calibri" w:cs="Calibri"/>
                    <w:color w:val="000000" w:themeColor="text1"/>
                    <w:spacing w:val="-8"/>
                    <w:lang w:val="en-GB"/>
                  </w:rPr>
                  <w:t>Conditions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3E667B3F" w:rsidR="00765F97" w:rsidRPr="00642366" w:rsidRDefault="0028453C"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rate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0773DE3A" w:rsidR="00765F97" w:rsidRPr="001C0D43" w:rsidRDefault="00F129AA" w:rsidP="00765F97">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Contract</w:t>
                </w:r>
                <w:r w:rsidRPr="001C0D43">
                  <w:rPr>
                    <w:rFonts w:ascii="Calibri" w:eastAsia="Times New Roman" w:hAnsi="Calibri" w:cs="Calibri"/>
                    <w:color w:val="000000" w:themeColor="text1"/>
                    <w:spacing w:val="-8"/>
                    <w:lang w:val="en-GB"/>
                  </w:rPr>
                  <w:t xml:space="preserve"> </w:t>
                </w:r>
                <w:r w:rsidR="00D41908" w:rsidRPr="001C0D43">
                  <w:rPr>
                    <w:rFonts w:ascii="Calibri" w:eastAsia="Times New Roman" w:hAnsi="Calibri" w:cs="Calibri"/>
                    <w:color w:val="000000" w:themeColor="text1"/>
                    <w:spacing w:val="-8"/>
                    <w:lang w:val="en-GB"/>
                  </w:rPr>
                  <w:t xml:space="preserve">provisions / Draft </w:t>
                </w:r>
                <w:r>
                  <w:rPr>
                    <w:rFonts w:ascii="Calibri" w:eastAsia="Times New Roman" w:hAnsi="Calibri" w:cs="Calibri"/>
                    <w:color w:val="000000" w:themeColor="text1"/>
                    <w:spacing w:val="-8"/>
                    <w:lang w:val="en-GB"/>
                  </w:rPr>
                  <w:t>contract</w:t>
                </w:r>
              </w:p>
            </w:tc>
            <w:tc>
              <w:tcPr>
                <w:tcW w:w="2345" w:type="pct"/>
                <w:vAlign w:val="center"/>
              </w:tcPr>
              <w:p w14:paraId="4718E350" w14:textId="4DB326E3"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00EB4B59">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835AC9">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835AC9">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4C284F13"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w:t>
                </w:r>
                <w:r w:rsidR="00C33280">
                  <w:rPr>
                    <w:rFonts w:ascii="Calibri" w:eastAsia="Calibri" w:hAnsi="Calibri" w:cs="Calibri"/>
                    <w:color w:val="000000" w:themeColor="text1"/>
                    <w:spacing w:val="-8"/>
                    <w:sz w:val="22"/>
                    <w:szCs w:val="22"/>
                    <w:lang w:val="en-GB" w:eastAsia="en-US"/>
                  </w:rPr>
                  <w:t>procurement</w:t>
                </w:r>
                <w:r w:rsidR="00C33280"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1494C732" w:rsidR="00EC613D" w:rsidRPr="001C0D43" w:rsidRDefault="00835AC9"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divided into lots</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7134CDE4" w14:textId="77777777" w:rsidR="009C03D4" w:rsidRDefault="00061A99" w:rsidP="009C03D4">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w:t>
          </w:r>
          <w:r w:rsidR="004177D9" w:rsidRPr="001C0D43">
            <w:rPr>
              <w:rFonts w:ascii="Calibri" w:eastAsia="Times New Roman" w:hAnsi="Calibri" w:cs="Calibri"/>
              <w:color w:val="000000" w:themeColor="text1"/>
              <w:spacing w:val="-8"/>
              <w:lang w:val="en-GB"/>
            </w:rPr>
            <w:t xml:space="preserve">Procurement </w:t>
          </w:r>
          <w:r w:rsidR="004177D9">
            <w:rPr>
              <w:rFonts w:ascii="Calibri" w:eastAsia="Times New Roman" w:hAnsi="Calibri" w:cs="Calibri"/>
              <w:color w:val="000000" w:themeColor="text1"/>
              <w:spacing w:val="-8"/>
              <w:lang w:val="en-GB"/>
            </w:rPr>
            <w:t xml:space="preserve">Conditions </w:t>
          </w:r>
          <w:r w:rsidRPr="001C0D43">
            <w:rPr>
              <w:rFonts w:ascii="Calibri" w:eastAsia="Times New Roman" w:hAnsi="Calibri" w:cs="Calibri"/>
              <w:color w:val="000000" w:themeColor="text1"/>
              <w:spacing w:val="-8"/>
              <w:sz w:val="22"/>
              <w:szCs w:val="22"/>
              <w:lang w:val="en-GB" w:eastAsia="en-US"/>
            </w:rPr>
            <w:t>'List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5135FA70" w14:textId="3E377949" w:rsidR="009C03D4" w:rsidRPr="009C03D4" w:rsidRDefault="009C03D4" w:rsidP="009C03D4">
          <w:pPr>
            <w:numPr>
              <w:ilvl w:val="1"/>
              <w:numId w:val="5"/>
            </w:numPr>
            <w:tabs>
              <w:tab w:val="left" w:pos="284"/>
            </w:tabs>
            <w:spacing w:line="240" w:lineRule="auto"/>
            <w:contextualSpacing/>
            <w:jc w:val="both"/>
            <w:rPr>
              <w:rFonts w:eastAsia="Times New Roman" w:cstheme="minorHAnsi"/>
              <w:color w:val="000000" w:themeColor="text1"/>
              <w:spacing w:val="-8"/>
              <w:sz w:val="20"/>
              <w:szCs w:val="20"/>
              <w:lang w:val="en-GB" w:eastAsia="en-US"/>
            </w:rPr>
          </w:pPr>
          <w:r w:rsidRPr="009C03D4">
            <w:rPr>
              <w:rFonts w:eastAsia="Times New Roman" w:cstheme="minorHAnsi"/>
              <w:sz w:val="22"/>
              <w:szCs w:val="22"/>
            </w:rPr>
            <w:t>The supplier must declare in the ESPD, when submitting a tender, that it has participated directly or indirectly in the preparation of the procurement procedure (ground for exclusion C13) if it has participated in a market consultation or market research</w:t>
          </w:r>
        </w:p>
        <w:p w14:paraId="0294C931" w14:textId="77777777" w:rsidR="00237340" w:rsidRDefault="00A85FD4" w:rsidP="00237340">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Contracting Authority shall not check the grounds for exclusion of natural persons (professionals) on whose capacity the supplier relies in accordance with Article 49 of the </w:t>
          </w:r>
          <w:r w:rsidR="00333523">
            <w:rPr>
              <w:rFonts w:ascii="Calibri" w:eastAsia="Times New Roman" w:hAnsi="Calibri" w:cs="Calibri"/>
              <w:color w:val="000000" w:themeColor="text1"/>
              <w:spacing w:val="-8"/>
              <w:sz w:val="22"/>
              <w:szCs w:val="22"/>
              <w:lang w:val="en-GB" w:eastAsia="en-US"/>
            </w:rPr>
            <w:t>LPP</w:t>
          </w:r>
          <w:r w:rsidR="0033352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and who, in the event of the award of the contract, the supplier intends to employ (quasi-suppliers).</w:t>
          </w:r>
        </w:p>
        <w:p w14:paraId="63448EEC" w14:textId="1E0498FB" w:rsidR="00237340" w:rsidRPr="00237340" w:rsidRDefault="00237340" w:rsidP="00237340">
          <w:pPr>
            <w:numPr>
              <w:ilvl w:val="1"/>
              <w:numId w:val="5"/>
            </w:numPr>
            <w:tabs>
              <w:tab w:val="left" w:pos="284"/>
            </w:tabs>
            <w:spacing w:line="240" w:lineRule="auto"/>
            <w:ind w:hanging="425"/>
            <w:contextualSpacing/>
            <w:jc w:val="both"/>
            <w:rPr>
              <w:rFonts w:eastAsia="Times New Roman" w:cstheme="minorHAnsi"/>
              <w:color w:val="000000" w:themeColor="text1"/>
              <w:spacing w:val="-8"/>
              <w:sz w:val="20"/>
              <w:szCs w:val="20"/>
              <w:lang w:val="en-GB" w:eastAsia="en-US"/>
            </w:rPr>
          </w:pPr>
          <w:r w:rsidRPr="00237340">
            <w:rPr>
              <w:rFonts w:eastAsia="Times New Roman" w:cstheme="minorHAnsi"/>
              <w:b/>
              <w:bCs/>
              <w:sz w:val="22"/>
              <w:szCs w:val="22"/>
            </w:rPr>
            <w:t xml:space="preserve">The proposal shall be accompanied only by the </w:t>
          </w:r>
          <w:r>
            <w:rPr>
              <w:rFonts w:eastAsia="Times New Roman" w:cstheme="minorHAnsi"/>
              <w:b/>
              <w:bCs/>
              <w:sz w:val="22"/>
              <w:szCs w:val="22"/>
            </w:rPr>
            <w:t>ESPD</w:t>
          </w:r>
          <w:r w:rsidRPr="00237340">
            <w:rPr>
              <w:rFonts w:eastAsia="Times New Roman" w:cstheme="minorHAnsi"/>
              <w:sz w:val="22"/>
              <w:szCs w:val="22"/>
            </w:rPr>
            <w:t xml:space="preserve">. Certificates confirming the absence of any of the grounds for exclusion referred to in </w:t>
          </w:r>
          <w:r>
            <w:rPr>
              <w:rFonts w:eastAsia="Times New Roman" w:cstheme="minorHAnsi"/>
              <w:sz w:val="22"/>
              <w:szCs w:val="22"/>
            </w:rPr>
            <w:t xml:space="preserve">Annex 5 of the Procurement Conditions </w:t>
          </w:r>
          <w:r w:rsidRPr="00237340">
            <w:rPr>
              <w:rFonts w:eastAsia="Times New Roman" w:cstheme="minorHAnsi"/>
              <w:sz w:val="22"/>
              <w:szCs w:val="22"/>
            </w:rPr>
            <w:t xml:space="preserve">are not required. The Contracting Authority may require certificates attesting to the absence of grounds for exclusion from the supplier only if it has reasonable doubts </w:t>
          </w:r>
          <w:r>
            <w:rPr>
              <w:rFonts w:eastAsia="Times New Roman" w:cstheme="minorHAnsi"/>
              <w:sz w:val="22"/>
              <w:szCs w:val="22"/>
            </w:rPr>
            <w:t>about the reliability of the supplier</w:t>
          </w:r>
          <w:r w:rsidRPr="00237340">
            <w:rPr>
              <w:rFonts w:eastAsia="Times New Roman" w:cstheme="minorHAnsi"/>
              <w:sz w:val="22"/>
              <w:szCs w:val="22"/>
            </w:rPr>
            <w:t>.</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2418AC"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70D45E71" w14:textId="1E8B85C2" w:rsidR="000E5D93" w:rsidRPr="007E510D" w:rsidRDefault="00022A5D" w:rsidP="007E510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4157B3" w:rsidRPr="001C0D43" w14:paraId="3F60E644" w14:textId="77777777" w:rsidTr="000B1459">
            <w:trPr>
              <w:trHeight w:val="257"/>
            </w:trPr>
            <w:tc>
              <w:tcPr>
                <w:tcW w:w="356" w:type="pct"/>
                <w:shd w:val="clear" w:color="auto" w:fill="F2F2F2"/>
                <w:vAlign w:val="center"/>
              </w:tcPr>
              <w:p w14:paraId="76ABDF46" w14:textId="77777777" w:rsidR="004157B3" w:rsidRPr="001C0D43" w:rsidRDefault="004157B3" w:rsidP="004157B3">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1E1CD00F" w14:textId="289AE85A" w:rsidR="004157B3" w:rsidRPr="007E510D" w:rsidRDefault="004157B3" w:rsidP="004157B3">
                <w:pPr>
                  <w:widowControl w:val="0"/>
                  <w:tabs>
                    <w:tab w:val="left" w:pos="1276"/>
                  </w:tabs>
                  <w:spacing w:line="240" w:lineRule="auto"/>
                  <w:jc w:val="both"/>
                  <w:outlineLvl w:val="1"/>
                  <w:rPr>
                    <w:rFonts w:ascii="Calibri" w:eastAsia="Times New Roman" w:hAnsi="Calibri" w:cs="Calibri"/>
                    <w:iCs/>
                    <w:sz w:val="22"/>
                    <w:szCs w:val="22"/>
                    <w:lang w:eastAsia="en-US"/>
                  </w:rPr>
                </w:pPr>
                <w:r w:rsidRPr="007E510D">
                  <w:rPr>
                    <w:rFonts w:ascii="Calibri" w:eastAsia="Times New Roman" w:hAnsi="Calibri" w:cs="Calibri"/>
                    <w:iCs/>
                    <w:sz w:val="22"/>
                    <w:szCs w:val="22"/>
                    <w:lang w:eastAsia="en-US"/>
                  </w:rPr>
                  <w:t xml:space="preserve">The Supplier has, within the last 3 years, or within the period from the date of registration of the Supplier (if the Supplier has been in business for less than 3 years) until the closing date for the submission of tenders, on the basis of one or more contracts, </w:t>
                </w:r>
                <w:r w:rsidRPr="00483F1C">
                  <w:rPr>
                    <w:rFonts w:ascii="Calibri" w:eastAsia="Times New Roman" w:hAnsi="Calibri" w:cs="Calibri"/>
                    <w:b/>
                    <w:bCs/>
                    <w:iCs/>
                    <w:sz w:val="22"/>
                    <w:szCs w:val="22"/>
                    <w:lang w:eastAsia="en-US"/>
                  </w:rPr>
                  <w:t>satisfactorily</w:t>
                </w:r>
                <w:r w:rsidRPr="007E510D">
                  <w:rPr>
                    <w:rFonts w:ascii="Calibri" w:eastAsia="Times New Roman" w:hAnsi="Calibri" w:cs="Calibri"/>
                    <w:iCs/>
                    <w:sz w:val="22"/>
                    <w:szCs w:val="22"/>
                    <w:lang w:eastAsia="en-US"/>
                  </w:rPr>
                  <w:t xml:space="preserve"> provided, </w:t>
                </w:r>
                <w:r w:rsidRPr="00483F1C">
                  <w:rPr>
                    <w:rFonts w:ascii="Calibri" w:eastAsia="Times New Roman" w:hAnsi="Calibri" w:cs="Calibri"/>
                    <w:b/>
                    <w:bCs/>
                    <w:iCs/>
                    <w:sz w:val="22"/>
                    <w:szCs w:val="22"/>
                    <w:lang w:eastAsia="en-US"/>
                  </w:rPr>
                  <w:t>on its own account</w:t>
                </w:r>
                <w:r w:rsidRPr="007E510D">
                  <w:rPr>
                    <w:rFonts w:ascii="Calibri" w:eastAsia="Times New Roman" w:hAnsi="Calibri" w:cs="Calibri"/>
                    <w:iCs/>
                    <w:sz w:val="22"/>
                    <w:szCs w:val="22"/>
                    <w:lang w:eastAsia="en-US"/>
                  </w:rPr>
                  <w:t xml:space="preserve">, </w:t>
                </w:r>
                <w:r w:rsidR="00232EC7" w:rsidRPr="00232EC7">
                  <w:rPr>
                    <w:rFonts w:ascii="Calibri" w:eastAsia="Times New Roman" w:hAnsi="Calibri" w:cs="Calibri"/>
                    <w:iCs/>
                    <w:sz w:val="22"/>
                    <w:szCs w:val="22"/>
                    <w:lang w:eastAsia="en-US"/>
                  </w:rPr>
                  <w:t>vehicle rental services and/or passenger transport services</w:t>
                </w:r>
                <w:r w:rsidRPr="007E510D">
                  <w:rPr>
                    <w:rFonts w:ascii="Calibri" w:eastAsia="Times New Roman" w:hAnsi="Calibri" w:cs="Calibri"/>
                    <w:iCs/>
                    <w:sz w:val="22"/>
                    <w:szCs w:val="22"/>
                    <w:lang w:eastAsia="en-US"/>
                  </w:rPr>
                  <w:t xml:space="preserve">, the value of which is equal to </w:t>
                </w:r>
                <w:r w:rsidRPr="007E510D">
                  <w:rPr>
                    <w:rFonts w:ascii="Calibri" w:eastAsia="Times New Roman" w:hAnsi="Calibri" w:cs="Calibri"/>
                    <w:b/>
                    <w:bCs/>
                    <w:iCs/>
                    <w:sz w:val="22"/>
                    <w:szCs w:val="22"/>
                    <w:lang w:eastAsia="en-US"/>
                  </w:rPr>
                  <w:t xml:space="preserve">at least EUR </w:t>
                </w:r>
                <w:r w:rsidR="00483F1C">
                  <w:rPr>
                    <w:rFonts w:ascii="Calibri" w:eastAsia="Times New Roman" w:hAnsi="Calibri" w:cs="Calibri"/>
                    <w:b/>
                    <w:bCs/>
                    <w:iCs/>
                    <w:sz w:val="22"/>
                    <w:szCs w:val="22"/>
                    <w:lang w:eastAsia="en-US"/>
                  </w:rPr>
                  <w:t>6</w:t>
                </w:r>
                <w:r w:rsidRPr="007E510D">
                  <w:rPr>
                    <w:rFonts w:ascii="Calibri" w:eastAsia="Times New Roman" w:hAnsi="Calibri" w:cs="Calibri"/>
                    <w:b/>
                    <w:bCs/>
                    <w:iCs/>
                    <w:sz w:val="22"/>
                    <w:szCs w:val="22"/>
                    <w:lang w:eastAsia="en-US"/>
                  </w:rPr>
                  <w:t>0</w:t>
                </w:r>
                <w:r w:rsidR="00483F1C">
                  <w:rPr>
                    <w:rFonts w:ascii="Calibri" w:eastAsia="Times New Roman" w:hAnsi="Calibri" w:cs="Calibri"/>
                    <w:b/>
                    <w:bCs/>
                    <w:iCs/>
                    <w:sz w:val="22"/>
                    <w:szCs w:val="22"/>
                    <w:lang w:eastAsia="en-US"/>
                  </w:rPr>
                  <w:t> </w:t>
                </w:r>
                <w:r w:rsidRPr="007E510D">
                  <w:rPr>
                    <w:rFonts w:ascii="Calibri" w:eastAsia="Times New Roman" w:hAnsi="Calibri" w:cs="Calibri"/>
                    <w:b/>
                    <w:bCs/>
                    <w:iCs/>
                    <w:sz w:val="22"/>
                    <w:szCs w:val="22"/>
                    <w:lang w:eastAsia="en-US"/>
                  </w:rPr>
                  <w:t>000</w:t>
                </w:r>
                <w:r w:rsidR="00483F1C">
                  <w:rPr>
                    <w:rFonts w:ascii="Calibri" w:eastAsia="Times New Roman" w:hAnsi="Calibri" w:cs="Calibri"/>
                    <w:b/>
                    <w:bCs/>
                    <w:iCs/>
                    <w:sz w:val="22"/>
                    <w:szCs w:val="22"/>
                    <w:lang w:eastAsia="en-US"/>
                  </w:rPr>
                  <w:t>,00</w:t>
                </w:r>
                <w:r w:rsidRPr="007E510D">
                  <w:rPr>
                    <w:rFonts w:ascii="Calibri" w:eastAsia="Times New Roman" w:hAnsi="Calibri" w:cs="Calibri"/>
                    <w:b/>
                    <w:bCs/>
                    <w:iCs/>
                    <w:sz w:val="22"/>
                    <w:szCs w:val="22"/>
                    <w:lang w:eastAsia="en-US"/>
                  </w:rPr>
                  <w:t xml:space="preserve"> exclusive of VAT </w:t>
                </w:r>
                <w:r w:rsidRPr="007E510D">
                  <w:rPr>
                    <w:rFonts w:ascii="Calibri" w:eastAsia="Times New Roman" w:hAnsi="Calibri" w:cs="Calibri"/>
                    <w:iCs/>
                    <w:sz w:val="22"/>
                    <w:szCs w:val="22"/>
                    <w:lang w:eastAsia="en-US"/>
                  </w:rPr>
                  <w:lastRenderedPageBreak/>
                  <w:t>(</w:t>
                </w:r>
                <w:r w:rsidRPr="00AD7F5C">
                  <w:rPr>
                    <w:rFonts w:ascii="Calibri" w:eastAsia="Times New Roman" w:hAnsi="Calibri" w:cs="Calibri"/>
                    <w:iCs/>
                    <w:sz w:val="22"/>
                    <w:szCs w:val="22"/>
                    <w:lang w:val="en-GB" w:eastAsia="en-US"/>
                  </w:rPr>
                  <w:t xml:space="preserve">the total value of the implemented part, if </w:t>
                </w:r>
                <w:r w:rsidR="00483F1C">
                  <w:rPr>
                    <w:rFonts w:ascii="Calibri" w:eastAsia="Times New Roman" w:hAnsi="Calibri" w:cs="Calibri"/>
                    <w:iCs/>
                    <w:sz w:val="22"/>
                    <w:szCs w:val="22"/>
                    <w:lang w:val="en-GB" w:eastAsia="en-US"/>
                  </w:rPr>
                  <w:t xml:space="preserve">contract </w:t>
                </w:r>
                <w:r w:rsidRPr="00AD7F5C">
                  <w:rPr>
                    <w:rFonts w:ascii="Calibri" w:eastAsia="Times New Roman" w:hAnsi="Calibri" w:cs="Calibri"/>
                    <w:iCs/>
                    <w:sz w:val="22"/>
                    <w:szCs w:val="22"/>
                    <w:lang w:val="en-GB" w:eastAsia="en-US"/>
                  </w:rPr>
                  <w:t>implementation is in progress</w:t>
                </w:r>
                <w:r w:rsidRPr="007E510D">
                  <w:rPr>
                    <w:rFonts w:ascii="Calibri" w:eastAsia="Times New Roman" w:hAnsi="Calibri" w:cs="Calibri"/>
                    <w:iCs/>
                    <w:sz w:val="22"/>
                    <w:szCs w:val="22"/>
                    <w:lang w:eastAsia="en-US"/>
                  </w:rPr>
                  <w:t>).</w:t>
                </w:r>
              </w:p>
              <w:p w14:paraId="6A8DD1E6" w14:textId="77777777" w:rsidR="004157B3" w:rsidRDefault="004157B3" w:rsidP="004157B3">
                <w:pPr>
                  <w:widowControl w:val="0"/>
                  <w:tabs>
                    <w:tab w:val="left" w:pos="1276"/>
                  </w:tabs>
                  <w:spacing w:line="240" w:lineRule="auto"/>
                  <w:jc w:val="both"/>
                  <w:outlineLvl w:val="1"/>
                  <w:rPr>
                    <w:rFonts w:ascii="Calibri" w:eastAsia="Times New Roman" w:hAnsi="Calibri" w:cs="Calibri"/>
                    <w:iCs/>
                    <w:sz w:val="22"/>
                    <w:szCs w:val="22"/>
                    <w:lang w:eastAsia="en-US"/>
                  </w:rPr>
                </w:pPr>
              </w:p>
              <w:p w14:paraId="3E8096B0" w14:textId="77777777" w:rsidR="00483F1C" w:rsidRPr="00483F1C" w:rsidRDefault="00483F1C" w:rsidP="00483F1C">
                <w:pPr>
                  <w:widowControl w:val="0"/>
                  <w:tabs>
                    <w:tab w:val="left" w:pos="1276"/>
                  </w:tabs>
                  <w:spacing w:line="240" w:lineRule="auto"/>
                  <w:jc w:val="both"/>
                  <w:outlineLvl w:val="1"/>
                  <w:rPr>
                    <w:rFonts w:ascii="Calibri" w:eastAsia="Times New Roman" w:hAnsi="Calibri" w:cs="Calibri"/>
                    <w:iCs/>
                    <w:sz w:val="22"/>
                    <w:szCs w:val="22"/>
                    <w:lang w:eastAsia="en-US"/>
                  </w:rPr>
                </w:pPr>
                <w:r w:rsidRPr="00483F1C">
                  <w:rPr>
                    <w:rFonts w:ascii="Calibri" w:eastAsia="Times New Roman" w:hAnsi="Calibri" w:cs="Calibri"/>
                    <w:b/>
                    <w:bCs/>
                    <w:i/>
                    <w:iCs/>
                    <w:sz w:val="22"/>
                    <w:szCs w:val="22"/>
                    <w:lang w:eastAsia="en-US"/>
                  </w:rPr>
                  <w:t>Remark:</w:t>
                </w:r>
              </w:p>
              <w:p w14:paraId="6621AB43" w14:textId="71F262FA" w:rsidR="00483F1C" w:rsidRPr="00483F1C" w:rsidRDefault="00483F1C" w:rsidP="00483F1C">
                <w:pPr>
                  <w:widowControl w:val="0"/>
                  <w:tabs>
                    <w:tab w:val="left" w:pos="1276"/>
                  </w:tabs>
                  <w:spacing w:line="240" w:lineRule="auto"/>
                  <w:jc w:val="both"/>
                  <w:outlineLvl w:val="1"/>
                  <w:rPr>
                    <w:rFonts w:ascii="Calibri" w:eastAsia="Times New Roman" w:hAnsi="Calibri" w:cs="Calibri"/>
                    <w:i/>
                    <w:iCs/>
                    <w:sz w:val="22"/>
                    <w:szCs w:val="22"/>
                    <w:lang w:eastAsia="en-US"/>
                  </w:rPr>
                </w:pPr>
                <w:r w:rsidRPr="00483F1C">
                  <w:rPr>
                    <w:rFonts w:ascii="Calibri" w:eastAsia="Times New Roman" w:hAnsi="Calibri" w:cs="Calibri"/>
                    <w:i/>
                    <w:iCs/>
                    <w:sz w:val="22"/>
                    <w:szCs w:val="22"/>
                    <w:lang w:eastAsia="en-US"/>
                  </w:rPr>
                  <w:t>If</w:t>
                </w:r>
                <w:r w:rsidRPr="00483F1C">
                  <w:rPr>
                    <w:rFonts w:ascii="Calibri" w:eastAsia="Times New Roman" w:hAnsi="Calibri" w:cs="Calibri"/>
                    <w:iCs/>
                    <w:sz w:val="22"/>
                    <w:szCs w:val="22"/>
                    <w:lang w:eastAsia="en-US"/>
                  </w:rPr>
                  <w:t xml:space="preserve"> </w:t>
                </w:r>
                <w:r w:rsidRPr="00483F1C">
                  <w:rPr>
                    <w:rFonts w:ascii="Calibri" w:eastAsia="Times New Roman" w:hAnsi="Calibri" w:cs="Calibri"/>
                    <w:i/>
                    <w:iCs/>
                    <w:sz w:val="22"/>
                    <w:szCs w:val="22"/>
                    <w:lang w:eastAsia="en-US"/>
                  </w:rPr>
                  <w:t xml:space="preserve">the contract </w:t>
                </w:r>
                <w:r w:rsidR="00722B8E">
                  <w:rPr>
                    <w:rFonts w:ascii="Calibri" w:eastAsia="Times New Roman" w:hAnsi="Calibri" w:cs="Calibri"/>
                    <w:i/>
                    <w:iCs/>
                    <w:sz w:val="22"/>
                    <w:szCs w:val="22"/>
                    <w:lang w:eastAsia="en-US"/>
                  </w:rPr>
                  <w:t>was started more than 3 years before the deadline for tender submission, only the part of the contract executed by own effort during the last 3 years before the deadline for tender submission</w:t>
                </w:r>
                <w:r w:rsidRPr="00483F1C">
                  <w:rPr>
                    <w:rFonts w:ascii="Calibri" w:eastAsia="Times New Roman" w:hAnsi="Calibri" w:cs="Calibri"/>
                    <w:i/>
                    <w:iCs/>
                    <w:sz w:val="22"/>
                    <w:szCs w:val="22"/>
                    <w:lang w:eastAsia="en-US"/>
                  </w:rPr>
                  <w:t xml:space="preserve"> will be evaluated.</w:t>
                </w:r>
              </w:p>
              <w:p w14:paraId="3AA18368" w14:textId="77777777" w:rsidR="00483F1C" w:rsidRPr="007E510D" w:rsidRDefault="00483F1C" w:rsidP="004157B3">
                <w:pPr>
                  <w:widowControl w:val="0"/>
                  <w:tabs>
                    <w:tab w:val="left" w:pos="1276"/>
                  </w:tabs>
                  <w:spacing w:line="240" w:lineRule="auto"/>
                  <w:jc w:val="both"/>
                  <w:outlineLvl w:val="1"/>
                  <w:rPr>
                    <w:rFonts w:ascii="Calibri" w:eastAsia="Times New Roman" w:hAnsi="Calibri" w:cs="Calibri"/>
                    <w:iCs/>
                    <w:sz w:val="22"/>
                    <w:szCs w:val="22"/>
                    <w:lang w:eastAsia="en-US"/>
                  </w:rPr>
                </w:pPr>
              </w:p>
            </w:tc>
            <w:tc>
              <w:tcPr>
                <w:tcW w:w="1946" w:type="pct"/>
              </w:tcPr>
              <w:p w14:paraId="52669D60" w14:textId="77777777" w:rsidR="004157B3" w:rsidRPr="007E510D" w:rsidRDefault="004157B3" w:rsidP="004157B3">
                <w:pPr>
                  <w:spacing w:line="240" w:lineRule="auto"/>
                  <w:jc w:val="both"/>
                  <w:rPr>
                    <w:rFonts w:ascii="Calibri" w:eastAsia="Calibri" w:hAnsi="Calibri" w:cs="Calibri"/>
                    <w:b/>
                    <w:i/>
                    <w:iCs/>
                    <w:color w:val="000000" w:themeColor="text1"/>
                    <w:spacing w:val="-8"/>
                    <w:sz w:val="22"/>
                    <w:szCs w:val="22"/>
                    <w:lang w:val="en-GB" w:eastAsia="en-US"/>
                  </w:rPr>
                </w:pPr>
                <w:r w:rsidRPr="007E510D">
                  <w:rPr>
                    <w:rFonts w:ascii="Calibri" w:eastAsia="Calibri" w:hAnsi="Calibri" w:cs="Calibri"/>
                    <w:b/>
                    <w:i/>
                    <w:iCs/>
                    <w:color w:val="000000" w:themeColor="text1"/>
                    <w:spacing w:val="-8"/>
                    <w:sz w:val="22"/>
                    <w:szCs w:val="22"/>
                    <w:lang w:val="en-GB" w:eastAsia="en-US"/>
                  </w:rPr>
                  <w:lastRenderedPageBreak/>
                  <w:t xml:space="preserve">Submitted with the proposal: </w:t>
                </w:r>
              </w:p>
              <w:p w14:paraId="45B0421E" w14:textId="77777777" w:rsidR="004157B3" w:rsidRPr="0072259C" w:rsidRDefault="004157B3" w:rsidP="004157B3">
                <w:pPr>
                  <w:spacing w:line="240" w:lineRule="auto"/>
                  <w:jc w:val="both"/>
                  <w:rPr>
                    <w:rFonts w:ascii="Calibri" w:eastAsia="Calibri" w:hAnsi="Calibri" w:cs="Calibri"/>
                    <w:bCs/>
                    <w:color w:val="000000" w:themeColor="text1"/>
                    <w:spacing w:val="-8"/>
                    <w:sz w:val="22"/>
                    <w:szCs w:val="22"/>
                    <w:lang w:val="en-GB" w:eastAsia="en-US"/>
                  </w:rPr>
                </w:pPr>
                <w:r w:rsidRPr="0072259C">
                  <w:rPr>
                    <w:rFonts w:ascii="Calibri" w:eastAsia="Calibri" w:hAnsi="Calibri" w:cs="Calibri"/>
                    <w:bCs/>
                    <w:color w:val="000000" w:themeColor="text1"/>
                    <w:spacing w:val="-8"/>
                    <w:sz w:val="22"/>
                    <w:szCs w:val="22"/>
                    <w:lang w:val="en-GB" w:eastAsia="en-US"/>
                  </w:rPr>
                  <w:t xml:space="preserve">1. completed ESPD (tick YES or NO in section IV "Selection criteria"). </w:t>
                </w:r>
              </w:p>
              <w:p w14:paraId="15E5555D" w14:textId="77777777" w:rsidR="004157B3" w:rsidRDefault="004157B3" w:rsidP="004157B3">
                <w:pPr>
                  <w:spacing w:line="240" w:lineRule="auto"/>
                  <w:jc w:val="both"/>
                  <w:rPr>
                    <w:rFonts w:ascii="Calibri" w:eastAsia="Calibri" w:hAnsi="Calibri" w:cs="Calibri"/>
                    <w:b/>
                    <w:color w:val="000000" w:themeColor="text1"/>
                    <w:spacing w:val="-8"/>
                    <w:sz w:val="22"/>
                    <w:szCs w:val="22"/>
                    <w:lang w:val="en-GB" w:eastAsia="en-US"/>
                  </w:rPr>
                </w:pPr>
              </w:p>
              <w:p w14:paraId="1A0889CF" w14:textId="77777777" w:rsidR="004157B3" w:rsidRPr="001C0D43" w:rsidRDefault="004157B3" w:rsidP="004157B3">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The Supplier who, on the basis of the results of the evaluation, may be declared successful will be required to submit, at the request of the Contracting Authority:</w:t>
                </w:r>
              </w:p>
              <w:p w14:paraId="549B8671" w14:textId="01B3EA54" w:rsidR="004157B3" w:rsidRPr="001C0D43" w:rsidRDefault="004157B3" w:rsidP="004157B3">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Pr="001C0D43">
                  <w:rPr>
                    <w:rFonts w:ascii="Calibri" w:hAnsi="Calibri" w:cs="Calibri"/>
                    <w:lang w:val="en-GB"/>
                  </w:rPr>
                  <w:t xml:space="preserve"> </w:t>
                </w:r>
                <w:r w:rsidRPr="001C0D43">
                  <w:rPr>
                    <w:rFonts w:ascii="Calibri" w:eastAsia="Calibri" w:hAnsi="Calibri" w:cs="Calibri"/>
                    <w:color w:val="000000" w:themeColor="text1"/>
                    <w:spacing w:val="-8"/>
                    <w:sz w:val="22"/>
                    <w:szCs w:val="22"/>
                    <w:lang w:val="en-GB" w:eastAsia="en-US"/>
                  </w:rPr>
                  <w:t xml:space="preserve">A list of </w:t>
                </w:r>
                <w:r w:rsidRPr="007E510D">
                  <w:rPr>
                    <w:rFonts w:ascii="Calibri" w:eastAsia="Calibri" w:hAnsi="Calibri" w:cs="Calibri"/>
                    <w:color w:val="000000" w:themeColor="text1"/>
                    <w:spacing w:val="-8"/>
                    <w:sz w:val="22"/>
                    <w:szCs w:val="22"/>
                    <w:lang w:val="en-GB" w:eastAsia="en-US"/>
                  </w:rPr>
                  <w:t xml:space="preserve">services provided </w:t>
                </w:r>
                <w:r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Pr="00726EA9">
                  <w:rPr>
                    <w:rFonts w:ascii="Calibri" w:eastAsia="Calibri" w:hAnsi="Calibri" w:cs="Calibri"/>
                    <w:i/>
                    <w:iCs/>
                    <w:color w:val="000000" w:themeColor="text1"/>
                    <w:spacing w:val="-8"/>
                    <w:sz w:val="22"/>
                    <w:szCs w:val="22"/>
                    <w:lang w:val="en-GB" w:eastAsia="en-US"/>
                  </w:rPr>
                  <w:t>Annex 6 to the</w:t>
                </w:r>
                <w:r w:rsidRPr="001C0D43">
                  <w:rPr>
                    <w:rFonts w:ascii="Calibri" w:eastAsia="Calibri" w:hAnsi="Calibri" w:cs="Calibri"/>
                    <w:i/>
                    <w:iCs/>
                    <w:color w:val="000000" w:themeColor="text1"/>
                    <w:spacing w:val="-8"/>
                    <w:sz w:val="22"/>
                    <w:szCs w:val="22"/>
                    <w:lang w:val="en-GB" w:eastAsia="en-US"/>
                  </w:rPr>
                  <w:t xml:space="preserve"> </w:t>
                </w:r>
                <w:r w:rsidR="00A015BE">
                  <w:rPr>
                    <w:rFonts w:ascii="Calibri" w:eastAsia="Calibri" w:hAnsi="Calibri" w:cs="Calibri"/>
                    <w:i/>
                    <w:iCs/>
                    <w:color w:val="000000" w:themeColor="text1"/>
                    <w:spacing w:val="-8"/>
                    <w:sz w:val="22"/>
                    <w:szCs w:val="22"/>
                    <w:lang w:val="en-GB" w:eastAsia="en-US"/>
                  </w:rPr>
                  <w:t>Procurement</w:t>
                </w:r>
                <w:r w:rsidRPr="001C0D43">
                  <w:rPr>
                    <w:rFonts w:ascii="Calibri" w:eastAsia="Calibri" w:hAnsi="Calibri" w:cs="Calibri"/>
                    <w:i/>
                    <w:iCs/>
                    <w:color w:val="000000" w:themeColor="text1"/>
                    <w:spacing w:val="-8"/>
                    <w:sz w:val="22"/>
                    <w:szCs w:val="22"/>
                    <w:lang w:val="en-GB" w:eastAsia="en-US"/>
                  </w:rPr>
                  <w:t xml:space="preserve"> Conditions, "List of </w:t>
                </w:r>
                <w:r>
                  <w:rPr>
                    <w:rFonts w:ascii="Calibri" w:eastAsia="Calibri" w:hAnsi="Calibri" w:cs="Calibri"/>
                    <w:i/>
                    <w:iCs/>
                    <w:color w:val="000000" w:themeColor="text1"/>
                    <w:spacing w:val="-8"/>
                    <w:sz w:val="22"/>
                    <w:szCs w:val="22"/>
                    <w:lang w:val="en-GB" w:eastAsia="en-US"/>
                  </w:rPr>
                  <w:t xml:space="preserve">Supplier Services </w:t>
                </w:r>
                <w:r w:rsidRPr="00346B1B">
                  <w:rPr>
                    <w:rFonts w:ascii="Calibri" w:eastAsia="Times New Roman" w:hAnsi="Calibri" w:cs="Calibri"/>
                    <w:i/>
                    <w:iCs/>
                    <w:color w:val="000000" w:themeColor="text1"/>
                    <w:spacing w:val="-8"/>
                    <w:sz w:val="22"/>
                    <w:szCs w:val="22"/>
                    <w:lang w:val="en-GB" w:eastAsia="en-US"/>
                  </w:rPr>
                  <w:t>provided</w:t>
                </w:r>
                <w:r w:rsidRPr="001C0D43">
                  <w:rPr>
                    <w:rFonts w:ascii="Calibri" w:eastAsia="Calibri" w:hAnsi="Calibri" w:cs="Calibri"/>
                    <w:i/>
                    <w:iCs/>
                    <w:color w:val="000000" w:themeColor="text1"/>
                    <w:spacing w:val="-8"/>
                    <w:sz w:val="22"/>
                    <w:szCs w:val="22"/>
                    <w:lang w:val="en-GB" w:eastAsia="en-US"/>
                  </w:rPr>
                  <w:t>".</w:t>
                </w:r>
              </w:p>
              <w:p w14:paraId="5045C609" w14:textId="77777777" w:rsidR="00A015BE" w:rsidRDefault="004157B3" w:rsidP="00A015BE">
                <w:pPr>
                  <w:spacing w:line="240" w:lineRule="auto"/>
                  <w:jc w:val="both"/>
                  <w:rPr>
                    <w:rFonts w:ascii="Calibri" w:eastAsia="Calibri" w:hAnsi="Calibri" w:cs="Calibri"/>
                    <w:color w:val="000000" w:themeColor="text1"/>
                    <w:spacing w:val="-8"/>
                    <w:sz w:val="22"/>
                    <w:szCs w:val="22"/>
                    <w:lang w:eastAsia="en-US"/>
                  </w:rPr>
                </w:pPr>
                <w:r w:rsidRPr="00B13905">
                  <w:rPr>
                    <w:rFonts w:ascii="Calibri" w:eastAsia="Calibri" w:hAnsi="Calibri" w:cs="Calibri"/>
                    <w:color w:val="000000" w:themeColor="text1"/>
                    <w:spacing w:val="-8"/>
                    <w:sz w:val="22"/>
                    <w:szCs w:val="22"/>
                    <w:lang w:val="en-GB" w:eastAsia="en-US"/>
                  </w:rPr>
                  <w:t xml:space="preserve">2) </w:t>
                </w:r>
                <w:r w:rsidR="00A015BE" w:rsidRPr="00A015BE">
                  <w:rPr>
                    <w:rFonts w:ascii="Calibri" w:eastAsia="Calibri" w:hAnsi="Calibri" w:cs="Calibri"/>
                    <w:color w:val="000000" w:themeColor="text1"/>
                    <w:spacing w:val="-8"/>
                    <w:sz w:val="22"/>
                    <w:szCs w:val="22"/>
                    <w:lang w:eastAsia="en-US"/>
                  </w:rPr>
                  <w:t xml:space="preserve">Certificates of </w:t>
                </w:r>
                <w:r w:rsidR="00A015BE" w:rsidRPr="00A015BE">
                  <w:rPr>
                    <w:rFonts w:ascii="Calibri" w:eastAsia="Calibri" w:hAnsi="Calibri" w:cs="Calibri"/>
                    <w:b/>
                    <w:bCs/>
                    <w:color w:val="000000" w:themeColor="text1"/>
                    <w:spacing w:val="-8"/>
                    <w:sz w:val="22"/>
                    <w:szCs w:val="22"/>
                    <w:lang w:eastAsia="en-US"/>
                  </w:rPr>
                  <w:t>satisfactory</w:t>
                </w:r>
                <w:r w:rsidR="00A015BE" w:rsidRPr="00A015BE">
                  <w:rPr>
                    <w:rFonts w:ascii="Calibri" w:eastAsia="Calibri" w:hAnsi="Calibri" w:cs="Calibri"/>
                    <w:color w:val="000000" w:themeColor="text1"/>
                    <w:spacing w:val="-8"/>
                    <w:sz w:val="22"/>
                    <w:szCs w:val="22"/>
                    <w:lang w:eastAsia="en-US"/>
                  </w:rPr>
                  <w:t xml:space="preserve"> performance from the customers of the services on the Supplier's </w:t>
                </w:r>
                <w:r w:rsidR="00A015BE" w:rsidRPr="00A015BE">
                  <w:rPr>
                    <w:rFonts w:ascii="Calibri" w:eastAsia="Calibri" w:hAnsi="Calibri" w:cs="Calibri"/>
                    <w:color w:val="000000" w:themeColor="text1"/>
                    <w:spacing w:val="-8"/>
                    <w:sz w:val="22"/>
                    <w:szCs w:val="22"/>
                    <w:lang w:eastAsia="en-US"/>
                  </w:rPr>
                  <w:lastRenderedPageBreak/>
                  <w:t xml:space="preserve">list, or other documentation from the customer and/or the Supplier proving </w:t>
                </w:r>
                <w:r w:rsidR="00A015BE" w:rsidRPr="00A015BE">
                  <w:rPr>
                    <w:rFonts w:ascii="Calibri" w:eastAsia="Calibri" w:hAnsi="Calibri" w:cs="Calibri"/>
                    <w:b/>
                    <w:bCs/>
                    <w:color w:val="000000" w:themeColor="text1"/>
                    <w:spacing w:val="-8"/>
                    <w:sz w:val="22"/>
                    <w:szCs w:val="22"/>
                    <w:lang w:eastAsia="en-US"/>
                  </w:rPr>
                  <w:t>satisfactory</w:t>
                </w:r>
                <w:r w:rsidR="00A015BE" w:rsidRPr="00A015BE">
                  <w:rPr>
                    <w:rFonts w:ascii="Calibri" w:eastAsia="Calibri" w:hAnsi="Calibri" w:cs="Calibri"/>
                    <w:color w:val="000000" w:themeColor="text1"/>
                    <w:spacing w:val="-8"/>
                    <w:sz w:val="22"/>
                    <w:szCs w:val="22"/>
                    <w:lang w:eastAsia="en-US"/>
                  </w:rPr>
                  <w:t xml:space="preserve"> performance of the services. In the event that the Supplier submits documentation from a party other than the customer in support of the satisfactory performance of the services, the Supplier shall also provide an explanation of how the documentation demonstrates </w:t>
                </w:r>
                <w:r w:rsidR="00A015BE" w:rsidRPr="00A015BE">
                  <w:rPr>
                    <w:rFonts w:ascii="Calibri" w:eastAsia="Calibri" w:hAnsi="Calibri" w:cs="Calibri"/>
                    <w:b/>
                    <w:bCs/>
                    <w:color w:val="000000" w:themeColor="text1"/>
                    <w:spacing w:val="-8"/>
                    <w:sz w:val="22"/>
                    <w:szCs w:val="22"/>
                    <w:lang w:eastAsia="en-US"/>
                  </w:rPr>
                  <w:t>satisfactory</w:t>
                </w:r>
                <w:r w:rsidR="00A015BE" w:rsidRPr="00A015BE">
                  <w:rPr>
                    <w:rFonts w:ascii="Calibri" w:eastAsia="Calibri" w:hAnsi="Calibri" w:cs="Calibri"/>
                    <w:color w:val="000000" w:themeColor="text1"/>
                    <w:spacing w:val="-8"/>
                    <w:sz w:val="22"/>
                    <w:szCs w:val="22"/>
                    <w:lang w:eastAsia="en-US"/>
                  </w:rPr>
                  <w:t xml:space="preserve"> performance of the services.</w:t>
                </w:r>
              </w:p>
              <w:p w14:paraId="6D817863" w14:textId="6EF19C10" w:rsidR="004157B3" w:rsidRPr="007E510D" w:rsidRDefault="00A015BE" w:rsidP="004157B3">
                <w:pPr>
                  <w:spacing w:line="240" w:lineRule="auto"/>
                  <w:jc w:val="both"/>
                  <w:rPr>
                    <w:rFonts w:ascii="Calibri" w:eastAsia="Calibri" w:hAnsi="Calibri" w:cs="Calibri"/>
                    <w:color w:val="000000" w:themeColor="text1"/>
                    <w:spacing w:val="-8"/>
                    <w:sz w:val="22"/>
                    <w:szCs w:val="22"/>
                    <w:lang w:eastAsia="en-US"/>
                  </w:rPr>
                </w:pPr>
                <w:r w:rsidRPr="00A015BE">
                  <w:rPr>
                    <w:rFonts w:ascii="Calibri" w:eastAsia="Calibri" w:hAnsi="Calibri" w:cs="Calibri"/>
                    <w:color w:val="000000" w:themeColor="text1"/>
                    <w:spacing w:val="-8"/>
                    <w:sz w:val="22"/>
                    <w:szCs w:val="22"/>
                    <w:lang w:eastAsia="en-US"/>
                  </w:rPr>
                  <w:t>Adequate provision of the services shall be deemed to be justified if the supporting documents (certificates, etc.) confirm that the supplier's provision of the services has been carried out properly</w:t>
                </w:r>
                <w:r w:rsidR="004157B3" w:rsidRPr="00B13905">
                  <w:rPr>
                    <w:rFonts w:ascii="Calibri" w:eastAsia="Calibri" w:hAnsi="Calibri" w:cs="Calibri"/>
                    <w:color w:val="000000" w:themeColor="text1"/>
                    <w:spacing w:val="-8"/>
                    <w:sz w:val="22"/>
                    <w:szCs w:val="22"/>
                    <w:lang w:val="en-GB" w:eastAsia="en-US"/>
                  </w:rPr>
                  <w:t xml:space="preserve">. </w:t>
                </w:r>
              </w:p>
              <w:p w14:paraId="2ADD7FDB" w14:textId="77777777" w:rsidR="004157B3" w:rsidRPr="001C0D43" w:rsidRDefault="004157B3" w:rsidP="004157B3">
                <w:pPr>
                  <w:spacing w:line="240" w:lineRule="auto"/>
                  <w:jc w:val="both"/>
                  <w:rPr>
                    <w:rFonts w:ascii="Calibri" w:eastAsia="Calibri" w:hAnsi="Calibri" w:cs="Calibri"/>
                    <w:color w:val="000000" w:themeColor="text1"/>
                    <w:spacing w:val="-8"/>
                    <w:sz w:val="22"/>
                    <w:szCs w:val="22"/>
                    <w:lang w:val="en-GB" w:eastAsia="en-US"/>
                  </w:rPr>
                </w:pPr>
              </w:p>
              <w:p w14:paraId="0E7EB1DA" w14:textId="20C17AF8" w:rsidR="004157B3" w:rsidRPr="001C0D43" w:rsidRDefault="004157B3" w:rsidP="004157B3">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w:t>
                </w:r>
                <w:r w:rsidR="00A015BE">
                  <w:rPr>
                    <w:rFonts w:ascii="Calibri" w:eastAsia="Calibri" w:hAnsi="Calibri" w:cs="Calibri"/>
                    <w:color w:val="000000" w:themeColor="text1"/>
                    <w:spacing w:val="-8"/>
                    <w:sz w:val="22"/>
                    <w:szCs w:val="22"/>
                    <w:lang w:val="en-GB" w:eastAsia="en-US"/>
                  </w:rPr>
                  <w:t xml:space="preserve">(executing) </w:t>
                </w:r>
                <w:r w:rsidRPr="001C0D43">
                  <w:rPr>
                    <w:rFonts w:ascii="Calibri" w:eastAsia="Calibri" w:hAnsi="Calibri" w:cs="Calibri"/>
                    <w:color w:val="000000" w:themeColor="text1"/>
                    <w:spacing w:val="-8"/>
                    <w:sz w:val="22"/>
                    <w:szCs w:val="22"/>
                    <w:lang w:val="en-GB" w:eastAsia="en-US"/>
                  </w:rPr>
                  <w:t xml:space="preserve">contracts and documents describing the </w:t>
                </w:r>
                <w:r w:rsidR="00A015BE">
                  <w:rPr>
                    <w:rFonts w:ascii="Calibri" w:eastAsia="Calibri" w:hAnsi="Calibri" w:cs="Calibri"/>
                    <w:color w:val="000000" w:themeColor="text1"/>
                    <w:spacing w:val="-8"/>
                    <w:sz w:val="22"/>
                    <w:szCs w:val="22"/>
                    <w:lang w:val="en-GB" w:eastAsia="en-US"/>
                  </w:rPr>
                  <w:t>subject matter of the purchase (e.g.,</w:t>
                </w:r>
                <w:r w:rsidRPr="001C0D43">
                  <w:rPr>
                    <w:rFonts w:ascii="Calibri" w:eastAsia="Calibri" w:hAnsi="Calibri" w:cs="Calibri"/>
                    <w:color w:val="000000" w:themeColor="text1"/>
                    <w:spacing w:val="-8"/>
                    <w:sz w:val="22"/>
                    <w:szCs w:val="22"/>
                    <w:lang w:val="en-GB" w:eastAsia="en-US"/>
                  </w:rPr>
                  <w:t xml:space="preserve"> terms of reference, handover certificates) in order to verify or clarify the information provided.</w:t>
                </w:r>
              </w:p>
              <w:p w14:paraId="3E47AC42" w14:textId="77777777" w:rsidR="00A015BE" w:rsidRDefault="00A015BE" w:rsidP="004157B3">
                <w:pPr>
                  <w:spacing w:line="240" w:lineRule="auto"/>
                  <w:jc w:val="both"/>
                  <w:rPr>
                    <w:rFonts w:ascii="Calibri" w:eastAsia="Calibri" w:hAnsi="Calibri" w:cs="Calibri"/>
                    <w:color w:val="000000" w:themeColor="text1"/>
                    <w:spacing w:val="-8"/>
                    <w:sz w:val="22"/>
                    <w:szCs w:val="22"/>
                    <w:lang w:val="en-GB" w:eastAsia="en-US"/>
                  </w:rPr>
                </w:pPr>
              </w:p>
              <w:p w14:paraId="2D79C200" w14:textId="45F40A9B" w:rsidR="004157B3" w:rsidRPr="001C0D43" w:rsidRDefault="004157B3" w:rsidP="004157B3">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in order to clarify the information concerning the </w:t>
                </w:r>
                <w:r>
                  <w:rPr>
                    <w:rFonts w:ascii="Calibri" w:eastAsia="Calibri" w:hAnsi="Calibri" w:cs="Calibri"/>
                    <w:color w:val="000000" w:themeColor="text1"/>
                    <w:spacing w:val="-8"/>
                    <w:sz w:val="22"/>
                    <w:szCs w:val="22"/>
                    <w:lang w:val="en-GB" w:eastAsia="en-US"/>
                  </w:rPr>
                  <w:t>services provided</w:t>
                </w:r>
                <w:r w:rsidRPr="001C0D43">
                  <w:rPr>
                    <w:rFonts w:ascii="Calibri" w:eastAsia="Calibri" w:hAnsi="Calibri" w:cs="Calibri"/>
                    <w:color w:val="000000" w:themeColor="text1"/>
                    <w:spacing w:val="-8"/>
                    <w:sz w:val="22"/>
                    <w:szCs w:val="22"/>
                    <w:lang w:val="en-GB" w:eastAsia="en-US"/>
                  </w:rPr>
                  <w:t>.</w:t>
                </w:r>
              </w:p>
              <w:p w14:paraId="3314509E" w14:textId="77777777" w:rsidR="004157B3" w:rsidRPr="001C0D43" w:rsidRDefault="004157B3" w:rsidP="004157B3">
                <w:pPr>
                  <w:spacing w:line="240" w:lineRule="auto"/>
                  <w:jc w:val="both"/>
                  <w:rPr>
                    <w:rFonts w:ascii="Calibri" w:eastAsia="Calibri" w:hAnsi="Calibri" w:cs="Calibri"/>
                    <w:color w:val="000000" w:themeColor="text1"/>
                    <w:spacing w:val="-8"/>
                    <w:sz w:val="22"/>
                    <w:szCs w:val="22"/>
                    <w:lang w:val="en-GB" w:eastAsia="en-US"/>
                  </w:rPr>
                </w:pPr>
              </w:p>
              <w:p w14:paraId="613AF3BD" w14:textId="2D659657" w:rsidR="004157B3" w:rsidRPr="00A015BE" w:rsidRDefault="004157B3" w:rsidP="004157B3">
                <w:pPr>
                  <w:spacing w:line="240" w:lineRule="auto"/>
                  <w:jc w:val="both"/>
                  <w:rPr>
                    <w:rFonts w:ascii="Calibri" w:eastAsia="Calibri" w:hAnsi="Calibri" w:cs="Calibri"/>
                    <w:b/>
                    <w:i/>
                    <w:iCs/>
                    <w:color w:val="000000" w:themeColor="text1"/>
                    <w:spacing w:val="-8"/>
                    <w:sz w:val="22"/>
                    <w:szCs w:val="22"/>
                    <w:lang w:val="en-GB" w:eastAsia="en-US"/>
                  </w:rPr>
                </w:pPr>
                <w:r w:rsidRPr="00A015BE">
                  <w:rPr>
                    <w:rFonts w:ascii="Calibri" w:eastAsia="Calibri" w:hAnsi="Calibri" w:cs="Calibri"/>
                    <w:color w:val="000000" w:themeColor="text1"/>
                    <w:spacing w:val="-8"/>
                    <w:sz w:val="22"/>
                    <w:szCs w:val="22"/>
                    <w:lang w:val="en-GB" w:eastAsia="en-US"/>
                  </w:rPr>
                  <w:t>Digital copies of the supplier's documents shall be supplied.</w:t>
                </w:r>
              </w:p>
            </w:tc>
            <w:tc>
              <w:tcPr>
                <w:tcW w:w="1460" w:type="pct"/>
              </w:tcPr>
              <w:p w14:paraId="2D455263" w14:textId="4B4D8227" w:rsidR="004157B3" w:rsidRPr="001C0D43" w:rsidRDefault="00A17261" w:rsidP="004157B3">
                <w:pPr>
                  <w:spacing w:line="240" w:lineRule="auto"/>
                  <w:contextualSpacing/>
                  <w:jc w:val="both"/>
                  <w:rPr>
                    <w:rFonts w:ascii="Calibri" w:eastAsia="Times New Roman" w:hAnsi="Calibri" w:cs="Calibri"/>
                    <w:color w:val="000000" w:themeColor="text1"/>
                    <w:spacing w:val="-8"/>
                    <w:sz w:val="22"/>
                    <w:szCs w:val="22"/>
                    <w:lang w:val="en-GB" w:eastAsia="en-US"/>
                  </w:rPr>
                </w:pPr>
                <w:r>
                  <w:rPr>
                    <w:rFonts w:ascii="Calibri" w:eastAsia="Times New Roman" w:hAnsi="Calibri" w:cs="Calibri"/>
                    <w:color w:val="000000" w:themeColor="text1"/>
                    <w:spacing w:val="-8"/>
                    <w:sz w:val="22"/>
                    <w:szCs w:val="22"/>
                    <w:lang w:val="en-GB" w:eastAsia="en-US"/>
                  </w:rPr>
                  <w:lastRenderedPageBreak/>
                  <w:t>In the case of a group of economic operators, the requirement must be met jointly by all members of the group, with the experience of the members of the group aggregated, taking into account the commitments made by them.</w:t>
                </w:r>
              </w:p>
              <w:p w14:paraId="57765E14" w14:textId="77777777" w:rsidR="004157B3" w:rsidRPr="001C0D43" w:rsidRDefault="004157B3" w:rsidP="004157B3">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304155B" w14:textId="77777777" w:rsidR="004157B3" w:rsidRPr="001C0D43" w:rsidRDefault="004157B3" w:rsidP="004157B3">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7EB43A11" w14:textId="77777777" w:rsidR="004157B3" w:rsidRDefault="004157B3" w:rsidP="004157B3">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w:t>
                </w:r>
                <w:r w:rsidRPr="001C0D43">
                  <w:rPr>
                    <w:rFonts w:ascii="Calibri" w:eastAsia="Times New Roman" w:hAnsi="Calibri" w:cs="Calibri"/>
                    <w:iCs/>
                    <w:sz w:val="22"/>
                    <w:szCs w:val="22"/>
                    <w:lang w:val="en-GB" w:eastAsia="en-US"/>
                  </w:rPr>
                  <w:lastRenderedPageBreak/>
                  <w:t xml:space="preserve">the supplier has performed not alone but jointly with other economic operators. However, in such a case, it is the goods </w:t>
                </w:r>
                <w:r>
                  <w:rPr>
                    <w:rFonts w:ascii="Calibri" w:eastAsia="Times New Roman" w:hAnsi="Calibri" w:cs="Calibri"/>
                    <w:iCs/>
                    <w:sz w:val="22"/>
                    <w:szCs w:val="22"/>
                    <w:lang w:val="en-GB" w:eastAsia="en-US"/>
                  </w:rPr>
                  <w:t>produced and/or sold</w:t>
                </w:r>
                <w:r w:rsidRPr="001C0D43">
                  <w:rPr>
                    <w:rFonts w:ascii="Calibri" w:eastAsia="Times New Roman" w:hAnsi="Calibri" w:cs="Calibri"/>
                    <w:iCs/>
                    <w:sz w:val="22"/>
                    <w:szCs w:val="22"/>
                    <w:lang w:val="en-GB" w:eastAsia="en-US"/>
                  </w:rPr>
                  <w:t xml:space="preserve"> (and installed, if applicable) by the particular supplier participating in the procurement, the volume and value of those goods, and not the whole subject-matter of the contract performed, which are to be assessed.</w:t>
                </w:r>
              </w:p>
              <w:p w14:paraId="6324A1AC" w14:textId="77777777" w:rsidR="004157B3" w:rsidRPr="00832AAE" w:rsidRDefault="004157B3" w:rsidP="004157B3">
                <w:pPr>
                  <w:rPr>
                    <w:rFonts w:ascii="Calibri" w:eastAsia="Calibri" w:hAnsi="Calibri" w:cs="Calibri"/>
                    <w:sz w:val="22"/>
                    <w:szCs w:val="22"/>
                    <w:lang w:val="en-GB" w:eastAsia="en-US"/>
                  </w:rPr>
                </w:pPr>
              </w:p>
              <w:p w14:paraId="0F5B3B4C" w14:textId="77777777" w:rsidR="004157B3" w:rsidRPr="00832AAE" w:rsidRDefault="004157B3" w:rsidP="004157B3">
                <w:pPr>
                  <w:rPr>
                    <w:rFonts w:ascii="Calibri" w:eastAsia="Calibri" w:hAnsi="Calibri" w:cs="Calibri"/>
                    <w:sz w:val="22"/>
                    <w:szCs w:val="22"/>
                    <w:lang w:val="en-GB" w:eastAsia="en-US"/>
                  </w:rPr>
                </w:pPr>
              </w:p>
              <w:p w14:paraId="39FE9718" w14:textId="77777777" w:rsidR="004157B3" w:rsidRDefault="004157B3" w:rsidP="004157B3">
                <w:pPr>
                  <w:rPr>
                    <w:rFonts w:ascii="Calibri" w:eastAsia="Times New Roman" w:hAnsi="Calibri" w:cs="Calibri"/>
                    <w:iCs/>
                    <w:sz w:val="22"/>
                    <w:szCs w:val="22"/>
                    <w:lang w:val="en-GB" w:eastAsia="en-US"/>
                  </w:rPr>
                </w:pPr>
              </w:p>
              <w:p w14:paraId="2DA57406" w14:textId="76F74E4E" w:rsidR="004157B3" w:rsidRPr="001C0D43" w:rsidRDefault="004157B3" w:rsidP="004157B3">
                <w:pPr>
                  <w:spacing w:line="240" w:lineRule="auto"/>
                  <w:contextualSpacing/>
                  <w:jc w:val="both"/>
                  <w:rPr>
                    <w:rFonts w:ascii="Calibri" w:eastAsia="Times New Roman" w:hAnsi="Calibri" w:cs="Calibri"/>
                    <w:color w:val="000000" w:themeColor="text1"/>
                    <w:spacing w:val="-8"/>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7080EE5F" w14:textId="77777777" w:rsidR="00C05A7A" w:rsidRDefault="008157DF" w:rsidP="00C05A7A">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FA48A3B"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w:t>
          </w:r>
          <w:r w:rsidR="00181B14">
            <w:rPr>
              <w:rFonts w:ascii="Calibri" w:hAnsi="Calibri" w:cs="Calibri"/>
              <w:spacing w:val="-8"/>
              <w:sz w:val="22"/>
              <w:szCs w:val="22"/>
              <w:lang w:val="en-GB"/>
            </w:rPr>
            <w:t>C</w:t>
          </w:r>
          <w:r w:rsidR="003B4CE8">
            <w:rPr>
              <w:rFonts w:ascii="Calibri" w:hAnsi="Calibri" w:cs="Calibri"/>
              <w:spacing w:val="-8"/>
              <w:sz w:val="22"/>
              <w:szCs w:val="22"/>
              <w:lang w:val="en-GB"/>
            </w:rPr>
            <w:t>P</w:t>
          </w:r>
          <w:r w:rsidR="00181B14">
            <w:rPr>
              <w:rFonts w:ascii="Calibri" w:hAnsi="Calibri" w:cs="Calibri"/>
              <w:spacing w:val="-8"/>
              <w:sz w:val="22"/>
              <w:szCs w:val="22"/>
              <w:lang w:val="en-GB"/>
            </w:rPr>
            <w:t xml:space="preserve">P IS </w:t>
          </w:r>
          <w:r w:rsidR="006B0C70" w:rsidRPr="001C0D43">
            <w:rPr>
              <w:rFonts w:ascii="Calibri" w:hAnsi="Calibri" w:cs="Calibri"/>
              <w:spacing w:val="-8"/>
              <w:sz w:val="22"/>
              <w:szCs w:val="22"/>
              <w:lang w:val="en-GB"/>
            </w:rPr>
            <w:t xml:space="preserve">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0AA1A3F" w14:textId="07E19C1C"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BF26D3">
            <w:rPr>
              <w:rFonts w:ascii="Calibri" w:eastAsia="Times New Roman" w:hAnsi="Calibri" w:cs="Calibri"/>
              <w:color w:val="000000" w:themeColor="text1"/>
              <w:spacing w:val="-8"/>
              <w:sz w:val="22"/>
              <w:szCs w:val="22"/>
              <w:lang w:val="en-GB" w:eastAsia="en-US"/>
            </w:rPr>
            <w:t xml:space="preserve">based </w:t>
          </w:r>
          <w:r w:rsidR="00770F41" w:rsidRPr="00832AAE">
            <w:rPr>
              <w:rFonts w:ascii="Calibri" w:eastAsia="Times New Roman" w:hAnsi="Calibri" w:cs="Calibri"/>
              <w:color w:val="000000" w:themeColor="text1"/>
              <w:spacing w:val="-8"/>
              <w:sz w:val="22"/>
              <w:szCs w:val="22"/>
              <w:lang w:val="en-GB" w:eastAsia="en-US"/>
            </w:rPr>
            <w:t>on</w:t>
          </w:r>
          <w:r w:rsidR="001D42FE" w:rsidRPr="00832AAE">
            <w:rPr>
              <w:rFonts w:ascii="Calibri" w:eastAsia="Times New Roman" w:hAnsi="Calibri" w:cs="Calibri"/>
              <w:color w:val="000000" w:themeColor="text1"/>
              <w:spacing w:val="-8"/>
              <w:sz w:val="22"/>
              <w:szCs w:val="22"/>
              <w:lang w:val="en-GB" w:eastAsia="en-US"/>
            </w:rPr>
            <w:t xml:space="preserve"> </w:t>
          </w:r>
          <w:r w:rsidR="00832AAE" w:rsidRPr="00832AAE">
            <w:rPr>
              <w:rFonts w:ascii="Calibri" w:eastAsia="Times New Roman" w:hAnsi="Calibri" w:cs="Calibri"/>
              <w:color w:val="000000" w:themeColor="text1"/>
              <w:spacing w:val="-8"/>
              <w:sz w:val="22"/>
              <w:szCs w:val="22"/>
              <w:lang w:val="en-GB" w:eastAsia="en-US"/>
            </w:rPr>
            <w:t>price</w:t>
          </w:r>
          <w:r w:rsidR="001D42FE" w:rsidRPr="00832AAE">
            <w:rPr>
              <w:rFonts w:ascii="Calibri" w:eastAsia="Times New Roman" w:hAnsi="Calibri" w:cs="Calibri"/>
              <w:color w:val="000000" w:themeColor="text1"/>
              <w:spacing w:val="-8"/>
              <w:sz w:val="22"/>
              <w:szCs w:val="22"/>
              <w:lang w:val="en-GB" w:eastAsia="en-US"/>
            </w:rPr>
            <w:t>.</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w:t>
          </w:r>
          <w:r w:rsidRPr="001C0D43">
            <w:rPr>
              <w:rFonts w:ascii="Calibri" w:hAnsi="Calibri" w:cs="Calibri"/>
              <w:color w:val="000000" w:themeColor="text1"/>
              <w:spacing w:val="-8"/>
              <w:sz w:val="22"/>
              <w:szCs w:val="22"/>
              <w:lang w:val="en-GB"/>
            </w:rPr>
            <w:lastRenderedPageBreak/>
            <w:t xml:space="preserve">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This procurement is considered to be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2"/>
                </w:r>
                <w:r w:rsidRPr="001C0D43">
                  <w:rPr>
                    <w:rFonts w:ascii="Calibri" w:eastAsia="Times New Roman" w:hAnsi="Calibri" w:cs="Calibri"/>
                    <w:color w:val="000000" w:themeColor="text1"/>
                    <w:spacing w:val="-8"/>
                    <w:sz w:val="22"/>
                    <w:szCs w:val="22"/>
                    <w:lang w:val="en-GB"/>
                  </w:rPr>
                  <w:t xml:space="preserve">, are legal persons </w:t>
                </w:r>
                <w:r w:rsidRPr="001C0D43">
                  <w:rPr>
                    <w:rFonts w:ascii="Calibri" w:eastAsia="Times New Roman" w:hAnsi="Calibri" w:cs="Calibri"/>
                    <w:color w:val="000000" w:themeColor="text1"/>
                    <w:spacing w:val="-8"/>
                    <w:sz w:val="22"/>
                    <w:szCs w:val="22"/>
                    <w:lang w:val="en-GB"/>
                  </w:rPr>
                  <w:lastRenderedPageBreak/>
                  <w:t>registered in the countries or territories referred to in the list referred to in Article 92(15) of the LPP;</w:t>
                </w:r>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is, or the services are supplied from, the countries or territories referred to in the list provided for in Article 92(15) of the LPP</w:t>
                </w:r>
                <w:r w:rsidR="00D56C27">
                  <w:rPr>
                    <w:rFonts w:ascii="Calibri" w:eastAsia="Times New Roman" w:hAnsi="Calibri" w:cs="Calibri"/>
                    <w:color w:val="000000" w:themeColor="text1"/>
                    <w:spacing w:val="-8"/>
                    <w:sz w:val="22"/>
                    <w:szCs w:val="22"/>
                    <w:lang w:val="en-GB"/>
                  </w:rPr>
                  <w:t>;</w:t>
                </w:r>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security</w:t>
                </w:r>
                <w:r w:rsidR="000B1E59">
                  <w:rPr>
                    <w:rFonts w:ascii="Calibri" w:eastAsia="Times New Roman" w:hAnsi="Calibri" w:cs="Calibri"/>
                    <w:color w:val="000000" w:themeColor="text1"/>
                    <w:spacing w:val="-8"/>
                    <w:sz w:val="22"/>
                    <w:szCs w:val="22"/>
                    <w:lang w:val="en-GB"/>
                  </w:rPr>
                  <w:t>;</w:t>
                </w:r>
              </w:p>
              <w:p w14:paraId="5A73DB02" w14:textId="55A9C6C1"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3"/>
                </w:r>
                <w:r w:rsidRPr="001C0D43">
                  <w:rPr>
                    <w:rFonts w:ascii="Calibri" w:eastAsia="Times New Roman" w:hAnsi="Calibri" w:cs="Calibri"/>
                    <w:color w:val="000000" w:themeColor="text1"/>
                    <w:spacing w:val="-8"/>
                    <w:sz w:val="22"/>
                    <w:szCs w:val="22"/>
                    <w:lang w:val="en-GB"/>
                  </w:rPr>
                  <w:t xml:space="preserv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w:t>
                </w:r>
                <w:r w:rsidRPr="001C0D43">
                  <w:rPr>
                    <w:rFonts w:ascii="Calibri" w:eastAsia="Times New Roman" w:hAnsi="Calibri" w:cs="Calibri"/>
                    <w:color w:val="000000" w:themeColor="text1"/>
                    <w:spacing w:val="-8"/>
                    <w:sz w:val="22"/>
                    <w:szCs w:val="22"/>
                    <w:lang w:val="en-GB"/>
                  </w:rPr>
                  <w:lastRenderedPageBreak/>
                  <w:t>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provided that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BB7B13" w:rsidRPr="001C0D43" w14:paraId="389D252A" w14:textId="77777777" w:rsidTr="00402234">
            <w:tc>
              <w:tcPr>
                <w:tcW w:w="851" w:type="dxa"/>
              </w:tcPr>
              <w:p w14:paraId="2E6448B6" w14:textId="7CC29543" w:rsidR="00BB7B13" w:rsidRPr="001C0D43" w:rsidRDefault="00BB7B13"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832AAE">
                  <w:rPr>
                    <w:rFonts w:ascii="Calibri" w:eastAsia="Times New Roman" w:hAnsi="Calibri" w:cs="Calibri"/>
                    <w:color w:val="000000" w:themeColor="text1"/>
                    <w:spacing w:val="-8"/>
                    <w:sz w:val="22"/>
                    <w:szCs w:val="22"/>
                    <w:lang w:val="en-GB"/>
                  </w:rPr>
                  <w:t>3</w:t>
                </w:r>
              </w:p>
            </w:tc>
            <w:tc>
              <w:tcPr>
                <w:tcW w:w="4536" w:type="dxa"/>
              </w:tcPr>
              <w:p w14:paraId="08805438" w14:textId="77777777" w:rsidR="00BB7B13" w:rsidRPr="001C0D43" w:rsidRDefault="00BB7B13" w:rsidP="00BB7B13">
                <w:pPr>
                  <w:jc w:val="both"/>
                  <w:rPr>
                    <w:rFonts w:ascii="Calibri" w:hAnsi="Calibri" w:cs="Calibri"/>
                    <w:b/>
                    <w:i/>
                    <w:sz w:val="22"/>
                    <w:szCs w:val="22"/>
                    <w:lang w:val="en-GB"/>
                  </w:rPr>
                </w:pPr>
                <w:r w:rsidRPr="001C0D43">
                  <w:rPr>
                    <w:rFonts w:ascii="Calibri" w:hAnsi="Calibri" w:cs="Calibri"/>
                    <w:b/>
                    <w:i/>
                    <w:sz w:val="22"/>
                    <w:szCs w:val="22"/>
                    <w:lang w:val="en-GB"/>
                  </w:rPr>
                  <w:t>National grounds for safeguarding national security interests in the beneficiary country</w:t>
                </w:r>
              </w:p>
              <w:p w14:paraId="58463213" w14:textId="3E2BA4A9" w:rsidR="00BB7B13" w:rsidRPr="001C0D43" w:rsidRDefault="00BB7B13" w:rsidP="00BB7B13">
                <w:pPr>
                  <w:jc w:val="both"/>
                  <w:rPr>
                    <w:rFonts w:ascii="Calibri" w:hAnsi="Calibri" w:cs="Calibri"/>
                    <w:b/>
                    <w:i/>
                    <w:sz w:val="22"/>
                    <w:szCs w:val="22"/>
                    <w:lang w:val="en-GB"/>
                  </w:rPr>
                </w:pPr>
                <w:r w:rsidRPr="001C0D43">
                  <w:rPr>
                    <w:rFonts w:ascii="Calibri" w:hAnsi="Calibri" w:cs="Calibri"/>
                    <w:sz w:val="22"/>
                    <w:szCs w:val="22"/>
                    <w:lang w:val="en-GB"/>
                  </w:rPr>
                  <w:t>The supplier, subcontractors, economic operators whose capacities are relied upon are not subject to sanctions as a result of the armed aggression of the Russian Federation against Ukraine and to sanctions in accordance with the Law on Sanctions of Ukraine.</w:t>
                </w:r>
              </w:p>
            </w:tc>
            <w:tc>
              <w:tcPr>
                <w:tcW w:w="5147" w:type="dxa"/>
              </w:tcPr>
              <w:p w14:paraId="17FBF971" w14:textId="2B58C9B4" w:rsidR="00BB7B13" w:rsidRPr="001C0D43" w:rsidRDefault="00BB7B13" w:rsidP="00BB7B13">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tc>
          </w:tr>
        </w:tbl>
        <w:p w14:paraId="0FC90D8B" w14:textId="674DC171" w:rsidR="00D526C8" w:rsidRPr="00832AAE"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003D57C7"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2C6E49" w:rsidRPr="001C0D43">
            <w:rPr>
              <w:rFonts w:ascii="Calibri" w:eastAsia="Times New Roman" w:hAnsi="Calibri" w:cs="Calibri"/>
              <w:color w:val="000000" w:themeColor="text1"/>
              <w:spacing w:val="-8"/>
              <w:sz w:val="22"/>
              <w:szCs w:val="22"/>
              <w:lang w:val="en-GB" w:eastAsia="en-US"/>
            </w:rPr>
            <w:t>"</w:t>
          </w:r>
        </w:p>
        <w:p w14:paraId="3D0CE23E" w14:textId="1DEFBCEB"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w:t>
          </w:r>
          <w:r w:rsidR="009E5C68" w:rsidRPr="001C0D43">
            <w:rPr>
              <w:rFonts w:ascii="Calibri" w:eastAsia="Times New Roman" w:hAnsi="Calibri" w:cs="Calibri"/>
              <w:color w:val="000000" w:themeColor="text1"/>
              <w:spacing w:val="-8"/>
              <w:sz w:val="22"/>
              <w:szCs w:val="22"/>
              <w:lang w:val="en-GB" w:eastAsia="en-US"/>
            </w:rPr>
            <w:t xml:space="preserve"> </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5A784151"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832AAE">
            <w:rPr>
              <w:rFonts w:ascii="Calibri" w:eastAsia="Times New Roman" w:hAnsi="Calibri" w:cs="Calibri"/>
              <w:color w:val="000000" w:themeColor="text1"/>
              <w:spacing w:val="-8"/>
              <w:sz w:val="22"/>
              <w:szCs w:val="22"/>
              <w:lang w:val="en-GB" w:eastAsia="en-US"/>
            </w:rPr>
            <w:t>services provided</w:t>
          </w:r>
          <w:r w:rsidR="00993AF9" w:rsidRPr="001C0D43">
            <w:rPr>
              <w:rFonts w:ascii="Calibri" w:eastAsia="Times New Roman" w:hAnsi="Calibri" w:cs="Calibri"/>
              <w:color w:val="000000" w:themeColor="text1"/>
              <w:spacing w:val="-8"/>
              <w:sz w:val="22"/>
              <w:szCs w:val="22"/>
              <w:lang w:val="en-GB" w:eastAsia="en-US"/>
            </w:rPr>
            <w:t>"</w:t>
          </w:r>
        </w:p>
        <w:p w14:paraId="73817951" w14:textId="64B348E5" w:rsidR="007B5437"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212BBCB3" w14:textId="6FB01D83" w:rsidR="006629A9" w:rsidRPr="000B1E59" w:rsidRDefault="002418AC" w:rsidP="000B1E59">
          <w:pPr>
            <w:spacing w:line="240" w:lineRule="auto"/>
            <w:jc w:val="both"/>
            <w:rPr>
              <w:rFonts w:ascii="Calibri" w:eastAsia="Times New Roman" w:hAnsi="Calibri" w:cs="Calibri"/>
              <w:color w:val="000000" w:themeColor="text1"/>
              <w:spacing w:val="-8"/>
              <w:sz w:val="22"/>
              <w:szCs w:val="22"/>
              <w:lang w:val="en-GB" w:eastAsia="en-US"/>
            </w:rPr>
          </w:pP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460A" w14:textId="77777777" w:rsidR="002418AC" w:rsidRDefault="002418AC" w:rsidP="00D05666">
      <w:r>
        <w:separator/>
      </w:r>
    </w:p>
  </w:endnote>
  <w:endnote w:type="continuationSeparator" w:id="0">
    <w:p w14:paraId="2A80C77B" w14:textId="77777777" w:rsidR="002418AC" w:rsidRDefault="002418AC" w:rsidP="00D05666">
      <w:r>
        <w:continuationSeparator/>
      </w:r>
    </w:p>
  </w:endnote>
  <w:endnote w:type="continuationNotice" w:id="1">
    <w:p w14:paraId="03D69D22" w14:textId="77777777" w:rsidR="002418AC" w:rsidRDefault="002418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01F3" w14:textId="77777777" w:rsidR="002418AC" w:rsidRDefault="002418AC" w:rsidP="00D05666">
      <w:r>
        <w:separator/>
      </w:r>
    </w:p>
  </w:footnote>
  <w:footnote w:type="continuationSeparator" w:id="0">
    <w:p w14:paraId="21283A60" w14:textId="77777777" w:rsidR="002418AC" w:rsidRDefault="002418AC" w:rsidP="00D05666">
      <w:r>
        <w:continuationSeparator/>
      </w:r>
    </w:p>
  </w:footnote>
  <w:footnote w:type="continuationNotice" w:id="1">
    <w:p w14:paraId="7E31CD1C" w14:textId="77777777" w:rsidR="002418AC" w:rsidRDefault="002418AC">
      <w:pPr>
        <w:spacing w:line="240" w:lineRule="auto"/>
      </w:pPr>
    </w:p>
  </w:footnote>
  <w:footnote w:id="2">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3">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8"/>
  </w:num>
  <w:num w:numId="3" w16cid:durableId="986669117">
    <w:abstractNumId w:val="24"/>
  </w:num>
  <w:num w:numId="4" w16cid:durableId="50422428">
    <w:abstractNumId w:val="12"/>
  </w:num>
  <w:num w:numId="5" w16cid:durableId="1287351064">
    <w:abstractNumId w:val="31"/>
  </w:num>
  <w:num w:numId="6" w16cid:durableId="2144691379">
    <w:abstractNumId w:val="14"/>
  </w:num>
  <w:num w:numId="7" w16cid:durableId="1321040374">
    <w:abstractNumId w:val="21"/>
  </w:num>
  <w:num w:numId="8" w16cid:durableId="74208215">
    <w:abstractNumId w:val="4"/>
  </w:num>
  <w:num w:numId="9" w16cid:durableId="1440834314">
    <w:abstractNumId w:val="10"/>
  </w:num>
  <w:num w:numId="10" w16cid:durableId="1223981521">
    <w:abstractNumId w:val="18"/>
  </w:num>
  <w:num w:numId="11" w16cid:durableId="584462305">
    <w:abstractNumId w:val="3"/>
  </w:num>
  <w:num w:numId="12" w16cid:durableId="1100294885">
    <w:abstractNumId w:val="27"/>
  </w:num>
  <w:num w:numId="13" w16cid:durableId="2082285250">
    <w:abstractNumId w:val="16"/>
  </w:num>
  <w:num w:numId="14" w16cid:durableId="762456588">
    <w:abstractNumId w:val="25"/>
  </w:num>
  <w:num w:numId="15" w16cid:durableId="2078437464">
    <w:abstractNumId w:val="1"/>
  </w:num>
  <w:num w:numId="16" w16cid:durableId="65689812">
    <w:abstractNumId w:val="6"/>
  </w:num>
  <w:num w:numId="17" w16cid:durableId="720203372">
    <w:abstractNumId w:val="19"/>
  </w:num>
  <w:num w:numId="18" w16cid:durableId="893614039">
    <w:abstractNumId w:val="20"/>
  </w:num>
  <w:num w:numId="19" w16cid:durableId="645162192">
    <w:abstractNumId w:val="26"/>
  </w:num>
  <w:num w:numId="20" w16cid:durableId="688991483">
    <w:abstractNumId w:val="0"/>
  </w:num>
  <w:num w:numId="21" w16cid:durableId="98530467">
    <w:abstractNumId w:val="29"/>
  </w:num>
  <w:num w:numId="22" w16cid:durableId="1551569479">
    <w:abstractNumId w:val="13"/>
  </w:num>
  <w:num w:numId="23" w16cid:durableId="542597720">
    <w:abstractNumId w:val="17"/>
  </w:num>
  <w:num w:numId="24" w16cid:durableId="848762111">
    <w:abstractNumId w:val="11"/>
  </w:num>
  <w:num w:numId="25" w16cid:durableId="753476839">
    <w:abstractNumId w:val="23"/>
  </w:num>
  <w:num w:numId="26" w16cid:durableId="447704344">
    <w:abstractNumId w:val="9"/>
  </w:num>
  <w:num w:numId="27" w16cid:durableId="654794468">
    <w:abstractNumId w:val="22"/>
  </w:num>
  <w:num w:numId="28" w16cid:durableId="1825850859">
    <w:abstractNumId w:val="7"/>
  </w:num>
  <w:num w:numId="29" w16cid:durableId="1535071831">
    <w:abstractNumId w:val="8"/>
  </w:num>
  <w:num w:numId="30" w16cid:durableId="1592159290">
    <w:abstractNumId w:val="2"/>
  </w:num>
  <w:num w:numId="31" w16cid:durableId="1453093723">
    <w:abstractNumId w:val="30"/>
  </w:num>
  <w:num w:numId="32" w16cid:durableId="13318307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218"/>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1B14"/>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69F"/>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2EC7"/>
    <w:rsid w:val="00233169"/>
    <w:rsid w:val="00234717"/>
    <w:rsid w:val="00234920"/>
    <w:rsid w:val="0023505D"/>
    <w:rsid w:val="00236978"/>
    <w:rsid w:val="00237340"/>
    <w:rsid w:val="002374F8"/>
    <w:rsid w:val="00237EA0"/>
    <w:rsid w:val="002415C7"/>
    <w:rsid w:val="0024180E"/>
    <w:rsid w:val="002418AC"/>
    <w:rsid w:val="002425DD"/>
    <w:rsid w:val="002430AE"/>
    <w:rsid w:val="00244688"/>
    <w:rsid w:val="00246050"/>
    <w:rsid w:val="00246583"/>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280F"/>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53C"/>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6E49"/>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523"/>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1B"/>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6B82"/>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3F02"/>
    <w:rsid w:val="003B4CE8"/>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7D6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3D76"/>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3"/>
    <w:rsid w:val="004157B6"/>
    <w:rsid w:val="00415F57"/>
    <w:rsid w:val="00416769"/>
    <w:rsid w:val="0041685F"/>
    <w:rsid w:val="00416C5A"/>
    <w:rsid w:val="00416D08"/>
    <w:rsid w:val="00417604"/>
    <w:rsid w:val="004177D9"/>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72A"/>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3F1C"/>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076B"/>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B607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59C"/>
    <w:rsid w:val="00722B34"/>
    <w:rsid w:val="00722B8E"/>
    <w:rsid w:val="00723B8A"/>
    <w:rsid w:val="007243EB"/>
    <w:rsid w:val="00724B68"/>
    <w:rsid w:val="00725AB6"/>
    <w:rsid w:val="00725D1E"/>
    <w:rsid w:val="00726BC9"/>
    <w:rsid w:val="00726D3A"/>
    <w:rsid w:val="00726EA9"/>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264"/>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3DB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4DC4"/>
    <w:rsid w:val="007D5985"/>
    <w:rsid w:val="007D5C61"/>
    <w:rsid w:val="007D5DDE"/>
    <w:rsid w:val="007D7686"/>
    <w:rsid w:val="007D7AB0"/>
    <w:rsid w:val="007D7AE8"/>
    <w:rsid w:val="007D7BC5"/>
    <w:rsid w:val="007E05CD"/>
    <w:rsid w:val="007E1572"/>
    <w:rsid w:val="007E1893"/>
    <w:rsid w:val="007E1F56"/>
    <w:rsid w:val="007E2CF6"/>
    <w:rsid w:val="007E3A52"/>
    <w:rsid w:val="007E3D46"/>
    <w:rsid w:val="007E3D62"/>
    <w:rsid w:val="007E510D"/>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2AAE"/>
    <w:rsid w:val="008335C6"/>
    <w:rsid w:val="00833AB8"/>
    <w:rsid w:val="00834CBF"/>
    <w:rsid w:val="00835378"/>
    <w:rsid w:val="00835AC9"/>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3D62"/>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2945"/>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7F6"/>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0CD"/>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0B3"/>
    <w:rsid w:val="009B62AA"/>
    <w:rsid w:val="009B654D"/>
    <w:rsid w:val="009B6595"/>
    <w:rsid w:val="009B68BD"/>
    <w:rsid w:val="009B69CF"/>
    <w:rsid w:val="009B6C11"/>
    <w:rsid w:val="009B6E32"/>
    <w:rsid w:val="009B6F95"/>
    <w:rsid w:val="009B711D"/>
    <w:rsid w:val="009C0073"/>
    <w:rsid w:val="009C03D4"/>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5BE"/>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17261"/>
    <w:rsid w:val="00A201C3"/>
    <w:rsid w:val="00A215B6"/>
    <w:rsid w:val="00A23710"/>
    <w:rsid w:val="00A23B71"/>
    <w:rsid w:val="00A25751"/>
    <w:rsid w:val="00A26794"/>
    <w:rsid w:val="00A26F11"/>
    <w:rsid w:val="00A27446"/>
    <w:rsid w:val="00A27846"/>
    <w:rsid w:val="00A32245"/>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2EB5"/>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7A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564"/>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918"/>
    <w:rsid w:val="00B61A1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290"/>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5E21"/>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A7A"/>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280"/>
    <w:rsid w:val="00C338F5"/>
    <w:rsid w:val="00C33938"/>
    <w:rsid w:val="00C346B2"/>
    <w:rsid w:val="00C35066"/>
    <w:rsid w:val="00C357D8"/>
    <w:rsid w:val="00C360F1"/>
    <w:rsid w:val="00C373EA"/>
    <w:rsid w:val="00C37E50"/>
    <w:rsid w:val="00C41B6F"/>
    <w:rsid w:val="00C42A0E"/>
    <w:rsid w:val="00C44102"/>
    <w:rsid w:val="00C4429E"/>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2E43"/>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3CF"/>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19E7"/>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6F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778"/>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4B59"/>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29AA"/>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31"/>
    <w:rsid w:val="00F57868"/>
    <w:rsid w:val="00F57C03"/>
    <w:rsid w:val="00F61A15"/>
    <w:rsid w:val="00F62630"/>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B3"/>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ungailaite-Jurce@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101218"/>
    <w:rsid w:val="00136A45"/>
    <w:rsid w:val="001B3544"/>
    <w:rsid w:val="001D2292"/>
    <w:rsid w:val="00230A2C"/>
    <w:rsid w:val="00246583"/>
    <w:rsid w:val="00283AC8"/>
    <w:rsid w:val="002E6CB3"/>
    <w:rsid w:val="00372CD2"/>
    <w:rsid w:val="00450EE6"/>
    <w:rsid w:val="00460999"/>
    <w:rsid w:val="004D076B"/>
    <w:rsid w:val="004D7F5E"/>
    <w:rsid w:val="004E3A44"/>
    <w:rsid w:val="00502DEB"/>
    <w:rsid w:val="00541B1A"/>
    <w:rsid w:val="00551BD0"/>
    <w:rsid w:val="00576587"/>
    <w:rsid w:val="005765BA"/>
    <w:rsid w:val="005B6077"/>
    <w:rsid w:val="005D113F"/>
    <w:rsid w:val="006268FA"/>
    <w:rsid w:val="00637D20"/>
    <w:rsid w:val="00673681"/>
    <w:rsid w:val="006741D6"/>
    <w:rsid w:val="00727A35"/>
    <w:rsid w:val="00752264"/>
    <w:rsid w:val="00767B9D"/>
    <w:rsid w:val="007A7C28"/>
    <w:rsid w:val="007C6001"/>
    <w:rsid w:val="007D7AE8"/>
    <w:rsid w:val="00894F81"/>
    <w:rsid w:val="008D3BC6"/>
    <w:rsid w:val="008E1673"/>
    <w:rsid w:val="008E607F"/>
    <w:rsid w:val="00945B06"/>
    <w:rsid w:val="009F7E60"/>
    <w:rsid w:val="00AC48BF"/>
    <w:rsid w:val="00B61A10"/>
    <w:rsid w:val="00BC2E9B"/>
    <w:rsid w:val="00C2494C"/>
    <w:rsid w:val="00C4495F"/>
    <w:rsid w:val="00C72E43"/>
    <w:rsid w:val="00D17783"/>
    <w:rsid w:val="00DC5378"/>
    <w:rsid w:val="00DE7BB4"/>
    <w:rsid w:val="00E023EC"/>
    <w:rsid w:val="00E7464C"/>
    <w:rsid w:val="00E96536"/>
    <w:rsid w:val="00EE0659"/>
    <w:rsid w:val="00F4109E"/>
    <w:rsid w:val="00F62630"/>
    <w:rsid w:val="00F6364E"/>
    <w:rsid w:val="00F924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9AD2D-1569-4FBA-98CD-5A546981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10392</Words>
  <Characters>5925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0_Special part of the Procurement Conditions [EN]</vt:lpstr>
      <vt:lpstr>Viešojo pirkimo „[......]“ atviro konkurso sąlygos</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 [EN]</dc:title>
  <dc:subject/>
  <dc:creator>Inga Antanaitienė</dc:creator>
  <cp:keywords/>
  <dc:description/>
  <cp:lastModifiedBy>Laura Sungailaitė-Jurčė</cp:lastModifiedBy>
  <cp:revision>2</cp:revision>
  <dcterms:created xsi:type="dcterms:W3CDTF">2026-02-23T15:01:00Z</dcterms:created>
  <dcterms:modified xsi:type="dcterms:W3CDTF">2026-02-23T15:01:00Z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9ce003515c83b7003b3fa0cf9e2c30a87b91e03ae2ff39a52cfd0ea61e3ed4b3</vt:lpwstr>
  </property>
  <property fmtid="{D5CDD505-2E9C-101B-9397-08002B2CF9AE}" pid="3" name="DmsPermissionsFlags">
    <vt:lpwstr>,SECTRUE,</vt:lpwstr>
  </property>
  <property fmtid="{D5CDD505-2E9C-101B-9397-08002B2CF9AE}" pid="4" name="DmsPermissionsDivisions">
    <vt:lpwstr>3312;#Teisės ir pirkimų skyrius|f1f7510f-e303-4b3e-a568-a8cf6cb0ac94;#4359;#Teisės ir pirkimų skyrius|72419e98-9ffe-4573-a524-85d9b5806ebb;#4363;#Ukrainos ir taikos investicijų skyrius|3fe9dbe6-3f97-46f0-ba46-4cccdb346c0e;#3174;#Tarptautinių vystomojo bendradarbiavimo projektų skyrius|6147cdd9-1227-4384-bc5f-05bff22a22b1</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Sungailaitė-Jurčė;#283;#Karolis Vaičiulis;#1496;#Živilė Jančauskienė;#79;#Neringa Pukanasienė</vt:lpwstr>
  </property>
  <property fmtid="{D5CDD505-2E9C-101B-9397-08002B2CF9AE}" pid="8" name="DmsCommChanPerm">
    <vt:lpwstr/>
  </property>
  <property fmtid="{D5CDD505-2E9C-101B-9397-08002B2CF9AE}" pid="9" name="DmsPermissionsConfid">
    <vt:bool>false</vt:bool>
  </property>
</Properties>
</file>