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41355B4F" w:rsidR="00027B83" w:rsidRPr="00A71A26" w:rsidRDefault="00F922B5">
            <w:pPr>
              <w:jc w:val="both"/>
            </w:pPr>
            <w:r w:rsidRPr="0BE63F34">
              <w:rPr>
                <w:kern w:val="2"/>
              </w:rPr>
              <w:t>202</w:t>
            </w:r>
            <w:r w:rsidR="005B0D0E">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 xml:space="preserve">1.1.9. </w:t>
            </w:r>
            <w:r w:rsidRPr="005B0D0E">
              <w:rPr>
                <w:color w:val="4472C4" w:themeColor="accent1"/>
                <w:kern w:val="2"/>
              </w:rPr>
              <w:t>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F560F0">
            <w:pPr>
              <w:tabs>
                <w:tab w:val="left" w:pos="993"/>
              </w:tabs>
              <w:jc w:val="both"/>
              <w:rPr>
                <w:color w:val="4472C4"/>
                <w:kern w:val="2"/>
              </w:rPr>
            </w:pPr>
            <w:r w:rsidRPr="00F560F0">
              <w:rPr>
                <w:color w:val="4472C4"/>
                <w:kern w:val="2"/>
              </w:rPr>
              <w:t>I pirkimo objekto dalis</w:t>
            </w:r>
          </w:p>
          <w:p w14:paraId="2C7D1452" w14:textId="6D031A73" w:rsidR="000B25D1" w:rsidRDefault="000B0897" w:rsidP="0BE63F34">
            <w:r w:rsidRPr="0BE63F34">
              <w:rPr>
                <w:kern w:val="2"/>
              </w:rPr>
              <w:t xml:space="preserve">Tiekėjas įsipareigoja Sutartyje numatytomis sąlygomis suteikti </w:t>
            </w:r>
            <w:bookmarkStart w:id="0" w:name="_Hlk187243469"/>
            <w:bookmarkStart w:id="1" w:name="_Hlk197682377"/>
            <w:r w:rsidR="004353A9" w:rsidRPr="00557F72">
              <w:t>mokymų</w:t>
            </w:r>
            <w:r w:rsidR="004353A9">
              <w:t xml:space="preserve">, skirtų </w:t>
            </w:r>
            <w:r w:rsidR="004353A9" w:rsidRPr="00200E0C">
              <w:t xml:space="preserve">tobulinti </w:t>
            </w:r>
            <w:r w:rsidR="004353A9">
              <w:t xml:space="preserve">bendrojo ugdymo </w:t>
            </w:r>
            <w:r w:rsidR="004353A9" w:rsidRPr="00E94EDA">
              <w:t>mokyklų</w:t>
            </w:r>
            <w:r w:rsidR="004353A9" w:rsidRPr="00200E0C">
              <w:t xml:space="preserve"> vadovų kompetencijas organizuoti ugdymą</w:t>
            </w:r>
            <w:r w:rsidR="004353A9">
              <w:t xml:space="preserve"> </w:t>
            </w:r>
            <w:r w:rsidR="004353A9" w:rsidRPr="00557F72">
              <w:t>ir mokyklos aplinką taikant įtraukties švietime principą</w:t>
            </w:r>
            <w:r w:rsidR="004353A9">
              <w:t xml:space="preserve">, </w:t>
            </w:r>
            <w:r w:rsidR="004353A9" w:rsidRPr="00557F72">
              <w:t>pagal tiekėjo parengtą kvalifikacijos tobulinimo programą</w:t>
            </w:r>
            <w:r w:rsidR="004353A9">
              <w:t>,</w:t>
            </w:r>
            <w:r w:rsidR="004353A9" w:rsidRPr="00557F72">
              <w:t xml:space="preserve"> vedimo paslaug</w:t>
            </w:r>
            <w:r w:rsidR="00B16026">
              <w:t>a</w:t>
            </w:r>
            <w:r w:rsidR="004353A9" w:rsidRPr="00557F72">
              <w:t xml:space="preserve">s, kurios teikiamos kontaktiniu būdu perkančiosios </w:t>
            </w:r>
            <w:r w:rsidR="004353A9" w:rsidRPr="00E9300E">
              <w:t xml:space="preserve">organizacijos parinktose vietose </w:t>
            </w:r>
            <w:bookmarkEnd w:id="0"/>
            <w:bookmarkEnd w:id="1"/>
          </w:p>
          <w:p w14:paraId="456F7586" w14:textId="77777777" w:rsidR="00292018" w:rsidRDefault="00926B54" w:rsidP="0BE63F34">
            <w:r w:rsidRPr="00E9300E">
              <w:t>(toliau – paslaugos, mokymai).</w:t>
            </w:r>
            <w:r>
              <w:t xml:space="preserve"> </w:t>
            </w:r>
          </w:p>
          <w:p w14:paraId="01CBA873" w14:textId="7E038EBA" w:rsidR="00015231" w:rsidRPr="00C10B91" w:rsidRDefault="00015231" w:rsidP="00311570">
            <w:pPr>
              <w:pStyle w:val="prastasiniatinklio"/>
              <w:tabs>
                <w:tab w:val="left" w:pos="993"/>
              </w:tabs>
              <w:spacing w:beforeAutospacing="0" w:afterAutospacing="0"/>
              <w:rPr>
                <w:lang w:eastAsia="en-US"/>
              </w:rPr>
            </w:pPr>
            <w:r w:rsidRPr="00311570">
              <w:rPr>
                <w:lang w:eastAsia="en-US"/>
              </w:rPr>
              <w:t>Preliminarios perkamų paslaugų apimtys</w:t>
            </w:r>
            <w:r w:rsidRPr="000A4283">
              <w:rPr>
                <w:lang w:eastAsia="en-US"/>
              </w:rPr>
              <w:t>:</w:t>
            </w:r>
            <w:r w:rsidRPr="000A4283">
              <w:t xml:space="preserve"> </w:t>
            </w:r>
            <w:r w:rsidRPr="00C10B91">
              <w:t>5 (penkios) grupės po 40</w:t>
            </w:r>
            <w:r>
              <w:t> </w:t>
            </w:r>
            <w:r w:rsidRPr="00C10B91">
              <w:t>ak.</w:t>
            </w:r>
            <w:r>
              <w:t> </w:t>
            </w:r>
            <w:r w:rsidRPr="00C10B91">
              <w:t>val.</w:t>
            </w:r>
            <w:r>
              <w:t xml:space="preserve"> Vienai dalyvių grupei mokymai organizuojami tokiu formatu: 3 kartai po 8 ak. val. ir 1 kartas 16 ak. val. (su nakvyne).</w:t>
            </w:r>
          </w:p>
          <w:p w14:paraId="505A58CF" w14:textId="77777777" w:rsidR="00926B54" w:rsidRDefault="00926B54" w:rsidP="0BE63F34">
            <w:pPr>
              <w:rPr>
                <w:kern w:val="2"/>
              </w:rPr>
            </w:pPr>
          </w:p>
          <w:p w14:paraId="2E55FB15" w14:textId="350DDC95" w:rsidR="00F560F0" w:rsidRPr="004353A9" w:rsidRDefault="00F560F0" w:rsidP="004353A9">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6A79F993" w14:textId="64AF75CC" w:rsidR="00292018" w:rsidRDefault="00926B54" w:rsidP="00926B54">
            <w:pPr>
              <w:pStyle w:val="prastasiniatinklio"/>
              <w:tabs>
                <w:tab w:val="left" w:pos="993"/>
              </w:tabs>
              <w:spacing w:beforeAutospacing="0" w:afterAutospacing="0"/>
              <w:jc w:val="both"/>
            </w:pPr>
            <w:r w:rsidRPr="0BE63F34">
              <w:rPr>
                <w:kern w:val="2"/>
              </w:rPr>
              <w:t xml:space="preserve">Tiekėjas įsipareigoja Sutartyje numatytomis sąlygomis suteikti </w:t>
            </w:r>
            <w:r w:rsidRPr="00557F72">
              <w:t>mokymų</w:t>
            </w:r>
            <w:r>
              <w:t xml:space="preserve">, skirtų </w:t>
            </w:r>
            <w:r w:rsidRPr="00200E0C">
              <w:t xml:space="preserve">tobulinti </w:t>
            </w:r>
            <w:r>
              <w:t xml:space="preserve">ikimokyklinio ugdymo </w:t>
            </w:r>
            <w:r w:rsidRPr="00B979E0">
              <w:t>mokyklų</w:t>
            </w:r>
            <w:r w:rsidRPr="00200E0C">
              <w:t xml:space="preserve"> vadovų kompetencijas organizuoti ugdymą</w:t>
            </w:r>
            <w:r>
              <w:t xml:space="preserve"> </w:t>
            </w:r>
            <w:r w:rsidRPr="00557F72">
              <w:t>ir mokyklos aplinką taikant įtraukties švietime principą</w:t>
            </w:r>
            <w:r>
              <w:t xml:space="preserve">, </w:t>
            </w:r>
            <w:r w:rsidRPr="00557F72">
              <w:t>pagal tiekėjo parengtą kvalifikacijos tobulinimo programą</w:t>
            </w:r>
            <w:r>
              <w:t>,</w:t>
            </w:r>
            <w:r w:rsidRPr="00557F72">
              <w:t xml:space="preserve"> vedimo paslaug</w:t>
            </w:r>
            <w:r w:rsidR="0004376E">
              <w:t>a</w:t>
            </w:r>
            <w:r w:rsidRPr="00557F72">
              <w:t xml:space="preserve">s, kurios teikiamos kontaktiniu būdu perkančiosios organizacijos parinktose vietose (toliau – </w:t>
            </w:r>
            <w:r>
              <w:t>p</w:t>
            </w:r>
            <w:r w:rsidRPr="00557F72">
              <w:t xml:space="preserve">aslaugos, </w:t>
            </w:r>
            <w:r>
              <w:t>m</w:t>
            </w:r>
            <w:r w:rsidRPr="00557F72">
              <w:t>okymai).</w:t>
            </w:r>
            <w:r w:rsidR="00292018">
              <w:t xml:space="preserve"> </w:t>
            </w:r>
          </w:p>
          <w:p w14:paraId="4331C639" w14:textId="77777777" w:rsidR="00203EB6" w:rsidRPr="00C10B91" w:rsidRDefault="00203EB6" w:rsidP="00203EB6">
            <w:pPr>
              <w:pStyle w:val="prastasiniatinklio"/>
              <w:tabs>
                <w:tab w:val="left" w:pos="993"/>
              </w:tabs>
              <w:spacing w:beforeAutospacing="0" w:afterAutospacing="0"/>
              <w:rPr>
                <w:lang w:eastAsia="en-US"/>
              </w:rPr>
            </w:pPr>
            <w:r w:rsidRPr="0018328C">
              <w:rPr>
                <w:lang w:eastAsia="en-US"/>
              </w:rPr>
              <w:t>Preliminarios perkamų paslaugų apimtys</w:t>
            </w:r>
            <w:r w:rsidRPr="000A4283">
              <w:rPr>
                <w:lang w:eastAsia="en-US"/>
              </w:rPr>
              <w:t>:</w:t>
            </w:r>
            <w:r w:rsidRPr="000A4283">
              <w:t xml:space="preserve"> </w:t>
            </w:r>
            <w:r w:rsidRPr="00C10B91">
              <w:t>5 (penkios) grupės po 40</w:t>
            </w:r>
            <w:r>
              <w:t> </w:t>
            </w:r>
            <w:r w:rsidRPr="00C10B91">
              <w:t>ak.</w:t>
            </w:r>
            <w:r>
              <w:t> </w:t>
            </w:r>
            <w:r w:rsidRPr="00C10B91">
              <w:t>val.</w:t>
            </w:r>
            <w:r>
              <w:t xml:space="preserve"> Vienai dalyvių grupei mokymai organizuojami tokiu formatu: 3 kartai po 8 ak. val. ir 1 kartas 16 ak. val. (su nakvyne).</w:t>
            </w:r>
          </w:p>
          <w:p w14:paraId="23071887" w14:textId="77777777" w:rsidR="006C5121" w:rsidRPr="00A71A26" w:rsidRDefault="006C5121" w:rsidP="002C1FBC">
            <w:pPr>
              <w:tabs>
                <w:tab w:val="left" w:pos="993"/>
              </w:tabs>
              <w:jc w:val="both"/>
            </w:pPr>
          </w:p>
          <w:p w14:paraId="281EFAB9" w14:textId="2F2E65A1" w:rsidR="0036671A" w:rsidRPr="00A71A26" w:rsidRDefault="0036671A" w:rsidP="0BE63F34">
            <w:pPr>
              <w:rPr>
                <w:color w:val="4472C4"/>
                <w:kern w:val="2"/>
              </w:rPr>
            </w:pPr>
            <w:r w:rsidRPr="0BE63F34">
              <w:rPr>
                <w:color w:val="4472C4"/>
                <w:kern w:val="2"/>
              </w:rPr>
              <w:t>(pasirašant sutartį, palikti pirkimo objekto dalį dėl kurios sudaroma sutartis)</w:t>
            </w: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26303BD5" w:rsidR="00027B83" w:rsidRPr="00A71A26" w:rsidRDefault="006D0DAB">
            <w:r>
              <w:rPr>
                <w:kern w:val="2"/>
              </w:rPr>
              <w:t>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2E3471B9" w:rsidR="00574530" w:rsidRPr="00A71A26" w:rsidRDefault="00574530" w:rsidP="000805D3">
            <w:pPr>
              <w:pStyle w:val="Sraopastraipa"/>
              <w:ind w:left="0"/>
            </w:pPr>
            <w:r w:rsidRPr="0BE63F34">
              <w:rPr>
                <w:kern w:val="2"/>
              </w:rPr>
              <w:t>BVPŽ koda</w:t>
            </w:r>
            <w:r w:rsidR="00926B54">
              <w:rPr>
                <w:kern w:val="2"/>
              </w:rPr>
              <w:t>s</w:t>
            </w:r>
            <w:r w:rsidRPr="0BE63F34">
              <w:rPr>
                <w:kern w:val="2"/>
              </w:rPr>
              <w:t>:</w:t>
            </w:r>
            <w:r w:rsidR="00926B54">
              <w:rPr>
                <w:kern w:val="2"/>
              </w:rPr>
              <w:t xml:space="preserve"> </w:t>
            </w:r>
            <w:r w:rsidR="00AC0DC6" w:rsidRPr="00B9353B">
              <w:rPr>
                <w:bCs/>
                <w:sz w:val="22"/>
                <w:szCs w:val="22"/>
              </w:rPr>
              <w:t>80532000-2</w:t>
            </w:r>
            <w:r w:rsidR="000805D3" w:rsidRPr="0BE63F34">
              <w:rPr>
                <w:sz w:val="22"/>
                <w:szCs w:val="22"/>
              </w:rPr>
              <w:t>.</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lastRenderedPageBreak/>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79599C1" w14:textId="79B2748F" w:rsidR="00F2467B" w:rsidRPr="00A71A26" w:rsidRDefault="002D6A28" w:rsidP="005150CE">
            <w:r>
              <w:rPr>
                <w:szCs w:val="24"/>
              </w:rPr>
              <w:t xml:space="preserve">4.1.1. </w:t>
            </w:r>
            <w:r w:rsidR="005150CE" w:rsidRPr="00A71A26">
              <w:rPr>
                <w:szCs w:val="24"/>
              </w:rPr>
              <w:t xml:space="preserve">Tiekėjas Paslaugas įsipareigoja teikti </w:t>
            </w:r>
            <w:r w:rsidR="005150CE" w:rsidRPr="00A71A26">
              <w:rPr>
                <w:b/>
                <w:bCs/>
                <w:szCs w:val="24"/>
              </w:rPr>
              <w:t>nuo</w:t>
            </w:r>
            <w:r w:rsidR="005150CE" w:rsidRPr="00A71A26">
              <w:rPr>
                <w:szCs w:val="24"/>
              </w:rPr>
              <w:t xml:space="preserve"> Sutarties įsigaliojimo dienos. </w:t>
            </w:r>
            <w:r w:rsidR="005150CE" w:rsidRPr="0BE63F34">
              <w:rPr>
                <w:b/>
                <w:bCs/>
              </w:rPr>
              <w:t>Paslaugų sut</w:t>
            </w:r>
            <w:r w:rsidR="00006CC6" w:rsidRPr="0BE63F34">
              <w:rPr>
                <w:b/>
                <w:bCs/>
              </w:rPr>
              <w:t>e</w:t>
            </w:r>
            <w:r w:rsidR="005150CE" w:rsidRPr="0BE63F34">
              <w:rPr>
                <w:b/>
                <w:bCs/>
              </w:rPr>
              <w:t xml:space="preserve">ikimo </w:t>
            </w:r>
            <w:r w:rsidR="005150CE" w:rsidRPr="009D51B0">
              <w:rPr>
                <w:b/>
                <w:bCs/>
              </w:rPr>
              <w:t>terminas</w:t>
            </w:r>
            <w:r w:rsidR="005150CE" w:rsidRPr="009D51B0">
              <w:t xml:space="preserve"> </w:t>
            </w:r>
            <w:r w:rsidR="0098493E">
              <w:t>2</w:t>
            </w:r>
            <w:r w:rsidR="009916E2">
              <w:t>6</w:t>
            </w:r>
            <w:r w:rsidR="0098493E" w:rsidRPr="009D51B0">
              <w:t xml:space="preserve"> </w:t>
            </w:r>
            <w:r w:rsidR="00994725" w:rsidRPr="009D51B0">
              <w:t>(</w:t>
            </w:r>
            <w:r w:rsidR="0098493E">
              <w:t xml:space="preserve">dvidešimt </w:t>
            </w:r>
            <w:r w:rsidR="009916E2">
              <w:t>šeši</w:t>
            </w:r>
            <w:r w:rsidR="00994725" w:rsidRPr="009D51B0">
              <w:t>)</w:t>
            </w:r>
            <w:r w:rsidR="005150CE">
              <w:t xml:space="preserve"> mėn. nuo Sutarties įsigaliojimo dienos.</w:t>
            </w:r>
          </w:p>
          <w:p w14:paraId="79DAF640" w14:textId="4E2E7C92" w:rsidR="00F2467B" w:rsidRPr="00A71A26" w:rsidRDefault="003A6315" w:rsidP="0BE63F34">
            <w:r>
              <w:t>4.1.2. Paslaugų teikimo etap</w:t>
            </w:r>
            <w:r w:rsidR="00BD4445">
              <w:t>ų terminai</w:t>
            </w:r>
            <w:r>
              <w:t xml:space="preserve"> nustatyti Sutarties prie</w:t>
            </w:r>
            <w:r w:rsidR="00764A0A">
              <w:t>de Nr. 1 „Techninė specifikacija“</w:t>
            </w:r>
            <w:r w:rsidR="004B4F09">
              <w:t>.</w:t>
            </w:r>
          </w:p>
          <w:p w14:paraId="766E226F" w14:textId="4DA81183" w:rsidR="00F50E42" w:rsidRDefault="001333B3" w:rsidP="001333B3">
            <w:pPr>
              <w:tabs>
                <w:tab w:val="left" w:pos="993"/>
                <w:tab w:val="left" w:pos="1418"/>
              </w:tabs>
            </w:pPr>
            <w:r>
              <w:t>4.1.</w:t>
            </w:r>
            <w:r w:rsidR="004B4F09">
              <w:t>3</w:t>
            </w:r>
            <w:r>
              <w:t xml:space="preserve">. </w:t>
            </w:r>
            <w:r w:rsidR="00F50E42" w:rsidRPr="000A4283">
              <w:t xml:space="preserve">Per 12 mėn. nuo sutarties įsigaliojimo </w:t>
            </w:r>
            <w:r w:rsidR="00BD4445">
              <w:t xml:space="preserve">dienos </w:t>
            </w:r>
            <w:r w:rsidR="00F50E42" w:rsidRPr="000A4283">
              <w:t xml:space="preserve">paslaugos </w:t>
            </w:r>
            <w:r w:rsidR="00F50E42">
              <w:t xml:space="preserve"> </w:t>
            </w:r>
            <w:r w:rsidR="00763F1B" w:rsidRPr="000A4283">
              <w:t>turi būti suteiktos</w:t>
            </w:r>
            <w:r w:rsidR="00763F1B">
              <w:t xml:space="preserve"> </w:t>
            </w:r>
            <w:r w:rsidR="00F50E42">
              <w:t xml:space="preserve">ne mažiau kaip </w:t>
            </w:r>
            <w:r w:rsidR="00BD4445">
              <w:t>dviems</w:t>
            </w:r>
            <w:r w:rsidR="00F50E42" w:rsidRPr="000A4283">
              <w:t xml:space="preserve"> dalyvių grupėms</w:t>
            </w:r>
            <w:r w:rsidR="00E9703B">
              <w:t>.</w:t>
            </w:r>
          </w:p>
          <w:p w14:paraId="7B131852" w14:textId="2B902131" w:rsidR="001333B3" w:rsidRPr="00E9300E" w:rsidRDefault="00E9703B" w:rsidP="001333B3">
            <w:pPr>
              <w:tabs>
                <w:tab w:val="left" w:pos="993"/>
                <w:tab w:val="left" w:pos="1418"/>
              </w:tabs>
            </w:pPr>
            <w:r>
              <w:t xml:space="preserve">4.1.4. </w:t>
            </w:r>
            <w:r w:rsidR="00802D44" w:rsidRPr="001333B3">
              <w:t xml:space="preserve">Sėkmingai baigti mokymus turi ne mažiau kaip 85 proc. dalyvių, t. y. </w:t>
            </w:r>
            <w:r w:rsidR="00A01F9E">
              <w:t xml:space="preserve">iš viso </w:t>
            </w:r>
            <w:r w:rsidR="00802D44" w:rsidRPr="001333B3">
              <w:t>ne mažiau kaip 85 dalyviai.</w:t>
            </w:r>
          </w:p>
          <w:p w14:paraId="77B84AB1" w14:textId="1EB69FF3" w:rsidR="00006CC6" w:rsidRPr="00A71A26" w:rsidRDefault="00006CC6" w:rsidP="009B42CC">
            <w:pPr>
              <w:tabs>
                <w:tab w:val="left" w:pos="1134"/>
              </w:tabs>
              <w:jc w:val="both"/>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A71A2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43B4B145" w:rsidR="002622AA" w:rsidRPr="0074414F" w:rsidRDefault="002622AA" w:rsidP="00893473">
            <w:pPr>
              <w:pStyle w:val="prastasiniatinklio"/>
              <w:tabs>
                <w:tab w:val="left" w:pos="1560"/>
              </w:tabs>
              <w:spacing w:beforeAutospacing="0" w:afterAutospacing="0"/>
              <w:rPr>
                <w:bCs/>
                <w:lang w:eastAsia="en-US"/>
              </w:rPr>
            </w:pPr>
            <w:r>
              <w:t xml:space="preserve">4.5.1. </w:t>
            </w:r>
            <w:r w:rsidRPr="0074414F">
              <w:t xml:space="preserve">mokymų dienotvarkė </w:t>
            </w:r>
            <w:r w:rsidR="00A90EF3">
              <w:t xml:space="preserve">(-ės) </w:t>
            </w:r>
            <w:r w:rsidRPr="0074414F">
              <w:t>(pateikiama elekt</w:t>
            </w:r>
            <w:r w:rsidR="00A90EF3">
              <w:t>ron</w:t>
            </w:r>
            <w:r w:rsidRPr="0074414F">
              <w:t>iniu formatu);</w:t>
            </w:r>
          </w:p>
          <w:p w14:paraId="06444BE8" w14:textId="4C216DAD" w:rsidR="002622AA" w:rsidRPr="0074414F" w:rsidRDefault="002622AA" w:rsidP="00893473">
            <w:pPr>
              <w:pBdr>
                <w:top w:val="nil"/>
                <w:left w:val="nil"/>
                <w:bottom w:val="nil"/>
                <w:right w:val="nil"/>
                <w:between w:val="nil"/>
              </w:pBdr>
              <w:tabs>
                <w:tab w:val="left" w:pos="1134"/>
              </w:tabs>
              <w:rPr>
                <w:bCs/>
              </w:rPr>
            </w:pPr>
            <w:r>
              <w:t xml:space="preserve">4.5.2. </w:t>
            </w:r>
            <w:r w:rsidRPr="0074414F">
              <w:t xml:space="preserve">užpildytos ir pasirašytos projekto dalyvių </w:t>
            </w:r>
            <w:r>
              <w:t xml:space="preserve">apklausos </w:t>
            </w:r>
            <w:r w:rsidRPr="0074414F">
              <w:t>anketos (originalai);</w:t>
            </w:r>
          </w:p>
          <w:p w14:paraId="0520C36C" w14:textId="1D44E9A5" w:rsidR="002622AA" w:rsidRPr="002622AA" w:rsidRDefault="002622AA" w:rsidP="00893473">
            <w:pPr>
              <w:pBdr>
                <w:top w:val="nil"/>
                <w:left w:val="nil"/>
                <w:bottom w:val="nil"/>
                <w:right w:val="nil"/>
                <w:between w:val="nil"/>
              </w:pBdr>
              <w:tabs>
                <w:tab w:val="left" w:pos="1134"/>
              </w:tabs>
              <w:rPr>
                <w:color w:val="000000" w:themeColor="text1"/>
              </w:rPr>
            </w:pPr>
            <w:r>
              <w:t xml:space="preserve">4.5.3. </w:t>
            </w:r>
            <w:r w:rsidRPr="0074414F">
              <w:t>mokymų dalyvių sąrašas su dalyvių parašais (originalas);</w:t>
            </w:r>
          </w:p>
          <w:p w14:paraId="54F5CC4B" w14:textId="3979580B" w:rsidR="002622AA" w:rsidRPr="0074414F" w:rsidRDefault="002622AA" w:rsidP="00893473">
            <w:pPr>
              <w:pStyle w:val="prastasiniatinklio"/>
              <w:tabs>
                <w:tab w:val="left" w:pos="1560"/>
              </w:tabs>
              <w:spacing w:beforeAutospacing="0" w:afterAutospacing="0"/>
              <w:rPr>
                <w:bCs/>
                <w:lang w:eastAsia="en-US"/>
              </w:rPr>
            </w:pPr>
            <w:r>
              <w:t xml:space="preserve">4.5.4. </w:t>
            </w:r>
            <w:r w:rsidR="00C621A4" w:rsidRPr="009C138E">
              <w:t>išduotų pažymėjimų registro kopija arba jo išrašas ir išduot</w:t>
            </w:r>
            <w:r w:rsidR="00F22B2C">
              <w:t>o</w:t>
            </w:r>
            <w:r w:rsidR="00C621A4" w:rsidRPr="009C138E">
              <w:t xml:space="preserve"> pažymėjim</w:t>
            </w:r>
            <w:r w:rsidR="00F22B2C">
              <w:t>o pavyzdys</w:t>
            </w:r>
            <w:r w:rsidR="00C621A4">
              <w:t xml:space="preserve"> (</w:t>
            </w:r>
            <w:r w:rsidR="0087742D">
              <w:t>pa</w:t>
            </w:r>
            <w:r w:rsidR="00C621A4">
              <w:t>teikiama elektroniniu formatu).</w:t>
            </w:r>
          </w:p>
          <w:p w14:paraId="74AB2CB7" w14:textId="15F5A56F" w:rsidR="002622AA" w:rsidRPr="0074414F" w:rsidRDefault="002622AA" w:rsidP="00893473">
            <w:pPr>
              <w:pBdr>
                <w:top w:val="nil"/>
                <w:left w:val="nil"/>
                <w:bottom w:val="nil"/>
                <w:right w:val="nil"/>
                <w:between w:val="nil"/>
              </w:pBdr>
              <w:tabs>
                <w:tab w:val="left" w:pos="1134"/>
              </w:tabs>
              <w:rPr>
                <w:bCs/>
              </w:rPr>
            </w:pPr>
            <w:r w:rsidRPr="00A71A26">
              <w:t>4.5.</w:t>
            </w:r>
            <w:r>
              <w:t>5</w:t>
            </w:r>
            <w:r w:rsidRPr="00A71A26">
              <w:t>.</w:t>
            </w:r>
            <w:r>
              <w:t xml:space="preserve"> </w:t>
            </w:r>
            <w:r w:rsidR="00C621A4" w:rsidRPr="0BE63F34">
              <w:t>Paslaugų perdavimo</w:t>
            </w:r>
            <w:r w:rsidR="00C621A4" w:rsidRPr="0BE63F34">
              <w:rPr>
                <w:kern w:val="2"/>
              </w:rPr>
              <w:t>–</w:t>
            </w:r>
            <w:r w:rsidR="00C621A4" w:rsidRPr="0BE63F34">
              <w:t>priėmimo aktas.</w:t>
            </w:r>
          </w:p>
          <w:p w14:paraId="5283B00D" w14:textId="45A96426" w:rsidR="0010100D" w:rsidRPr="00A71A26" w:rsidRDefault="002622AA" w:rsidP="00311570">
            <w:pPr>
              <w:pBdr>
                <w:top w:val="nil"/>
                <w:left w:val="nil"/>
                <w:bottom w:val="nil"/>
                <w:right w:val="nil"/>
                <w:between w:val="nil"/>
              </w:pBdr>
              <w:tabs>
                <w:tab w:val="left" w:pos="1134"/>
              </w:tabs>
            </w:pPr>
            <w:r w:rsidRPr="00A71A26">
              <w:t xml:space="preserve">4.5.6. </w:t>
            </w:r>
            <w:r w:rsidR="00C621A4"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191ECCD9" w14:textId="1462014E" w:rsidR="007A04D5" w:rsidRPr="00A71A26" w:rsidRDefault="007A04D5" w:rsidP="007A04D5">
            <w:r w:rsidRPr="0BE63F34">
              <w:rPr>
                <w:kern w:val="2"/>
              </w:rPr>
              <w:t xml:space="preserve">Pradinės Sutarties vertė yra </w:t>
            </w:r>
            <w:r w:rsidR="00070D70">
              <w:rPr>
                <w:kern w:val="2"/>
              </w:rPr>
              <w:t xml:space="preserve">29 619,83 </w:t>
            </w:r>
            <w:r w:rsidRPr="0BE63F34">
              <w:rPr>
                <w:kern w:val="2"/>
              </w:rPr>
              <w:t>Eur (</w:t>
            </w:r>
            <w:r w:rsidR="00070D70">
              <w:rPr>
                <w:kern w:val="2"/>
              </w:rPr>
              <w:t>dvidešimt devyni tūkstančiai</w:t>
            </w:r>
            <w:r w:rsidR="005F50CE">
              <w:rPr>
                <w:kern w:val="2"/>
              </w:rPr>
              <w:t xml:space="preserve"> šeši šimtai devyniolika eurų aštuoniasdešimt trys centai</w:t>
            </w:r>
            <w:r w:rsidRPr="0BE63F34">
              <w:rPr>
                <w:kern w:val="2"/>
              </w:rPr>
              <w:t>) be PVM</w:t>
            </w:r>
            <w:r w:rsidR="00946F61" w:rsidRPr="0BE63F34">
              <w:rPr>
                <w:kern w:val="2"/>
              </w:rPr>
              <w:t xml:space="preserve">. </w:t>
            </w:r>
            <w:r w:rsidRPr="0BE63F34">
              <w:rPr>
                <w:kern w:val="2"/>
              </w:rPr>
              <w:t xml:space="preserve">PVM sudaro </w:t>
            </w:r>
            <w:r w:rsidR="00D22A55">
              <w:rPr>
                <w:kern w:val="2"/>
              </w:rPr>
              <w:t>6 220,1</w:t>
            </w:r>
            <w:r w:rsidR="00DE232A">
              <w:rPr>
                <w:kern w:val="2"/>
              </w:rPr>
              <w:t>7</w:t>
            </w:r>
            <w:r w:rsidR="00A2014B" w:rsidRPr="0BE63F34">
              <w:rPr>
                <w:kern w:val="2"/>
              </w:rPr>
              <w:t xml:space="preserve"> </w:t>
            </w:r>
            <w:r w:rsidRPr="0BE63F34">
              <w:rPr>
                <w:kern w:val="2"/>
              </w:rPr>
              <w:t>Eur (</w:t>
            </w:r>
            <w:r w:rsidR="00B313A2">
              <w:rPr>
                <w:kern w:val="2"/>
              </w:rPr>
              <w:t>šeši tūkstančiai du šimtai dvidešimt eurų septyniolika centų</w:t>
            </w:r>
            <w:r w:rsidRPr="0BE63F34">
              <w:rPr>
                <w:kern w:val="2"/>
              </w:rPr>
              <w:t>)</w:t>
            </w:r>
            <w:r w:rsidR="00946F61" w:rsidRPr="0BE63F34">
              <w:rPr>
                <w:kern w:val="2"/>
              </w:rPr>
              <w:t xml:space="preserve"> (I pirkimo objekto dalis).</w:t>
            </w:r>
          </w:p>
          <w:p w14:paraId="3F3C5333" w14:textId="77777777" w:rsidR="00D63658" w:rsidRDefault="00D63658" w:rsidP="0BE63F34">
            <w:pPr>
              <w:rPr>
                <w:kern w:val="2"/>
              </w:rPr>
            </w:pPr>
          </w:p>
          <w:p w14:paraId="0BB349B3" w14:textId="77416C25" w:rsidR="003C3447" w:rsidRPr="00A71A26" w:rsidRDefault="003C3447" w:rsidP="003C3447">
            <w:r w:rsidRPr="0BE63F34">
              <w:rPr>
                <w:kern w:val="2"/>
              </w:rPr>
              <w:t xml:space="preserve">Pradinės Sutarties vertė yra </w:t>
            </w:r>
            <w:r>
              <w:rPr>
                <w:kern w:val="2"/>
              </w:rPr>
              <w:t xml:space="preserve">29 619,83 </w:t>
            </w:r>
            <w:r w:rsidRPr="0BE63F34">
              <w:rPr>
                <w:kern w:val="2"/>
              </w:rPr>
              <w:t>Eur (</w:t>
            </w:r>
            <w:r>
              <w:rPr>
                <w:kern w:val="2"/>
              </w:rPr>
              <w:t>dvidešimt devyni tūkstančiai šeši šimtai devyniolika eurų aštuoniasdešimt trys centai</w:t>
            </w:r>
            <w:r w:rsidRPr="0BE63F34">
              <w:rPr>
                <w:kern w:val="2"/>
              </w:rPr>
              <w:t xml:space="preserve">) be PVM. PVM sudaro </w:t>
            </w:r>
            <w:r>
              <w:rPr>
                <w:kern w:val="2"/>
              </w:rPr>
              <w:t>6 220,17</w:t>
            </w:r>
            <w:r w:rsidRPr="0BE63F34">
              <w:rPr>
                <w:kern w:val="2"/>
              </w:rPr>
              <w:t xml:space="preserve"> Eur (</w:t>
            </w:r>
            <w:r>
              <w:rPr>
                <w:kern w:val="2"/>
              </w:rPr>
              <w:t xml:space="preserve">šeši tūkstančiai du </w:t>
            </w:r>
            <w:r>
              <w:rPr>
                <w:kern w:val="2"/>
              </w:rPr>
              <w:lastRenderedPageBreak/>
              <w:t>šimtai dvidešimt eurų septyniolika centų</w:t>
            </w:r>
            <w:r w:rsidRPr="0BE63F34">
              <w:rPr>
                <w:kern w:val="2"/>
              </w:rPr>
              <w:t>) (</w:t>
            </w:r>
            <w:r>
              <w:rPr>
                <w:kern w:val="2"/>
              </w:rPr>
              <w:t xml:space="preserve">II </w:t>
            </w:r>
            <w:r w:rsidRPr="0BE63F34">
              <w:rPr>
                <w:kern w:val="2"/>
              </w:rPr>
              <w:t>pirkimo objekto dalis).</w:t>
            </w:r>
          </w:p>
          <w:p w14:paraId="72F0672E" w14:textId="77777777" w:rsidR="003C3447" w:rsidRPr="00A71A26" w:rsidRDefault="003C3447" w:rsidP="0BE63F34">
            <w:pPr>
              <w:rPr>
                <w:kern w:val="2"/>
              </w:rPr>
            </w:pPr>
          </w:p>
          <w:p w14:paraId="75D48681" w14:textId="3360C477" w:rsidR="00D63658" w:rsidRPr="00A71A26" w:rsidRDefault="00D63658" w:rsidP="0BE63F34">
            <w:pPr>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BE63F34">
            <w:pPr>
              <w:rPr>
                <w:kern w:val="2"/>
              </w:rPr>
            </w:pPr>
          </w:p>
          <w:p w14:paraId="4DA55BF3" w14:textId="45E2670C" w:rsidR="007A04D5" w:rsidRPr="00A71A26" w:rsidRDefault="007A04D5" w:rsidP="007A04D5">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BE63F34">
            <w:pPr>
              <w:rPr>
                <w:color w:val="4472C4"/>
                <w:kern w:val="2"/>
              </w:rPr>
            </w:pPr>
          </w:p>
          <w:p w14:paraId="24822F3F" w14:textId="10C68332" w:rsidR="007A04D5" w:rsidRPr="00A71A26" w:rsidRDefault="007A04D5" w:rsidP="0BE63F34">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2"/>
            </w:r>
            <w:r w:rsidRPr="0BE63F34">
              <w:rPr>
                <w:color w:val="000000"/>
                <w:kern w:val="2"/>
              </w:rPr>
              <w:t>).</w:t>
            </w:r>
          </w:p>
          <w:p w14:paraId="315B4C58" w14:textId="064AEC30" w:rsidR="007A04D5" w:rsidRPr="00A71A26" w:rsidRDefault="00C942CE" w:rsidP="0BE63F34">
            <w:pPr>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BE63F34">
            <w:pPr>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lastRenderedPageBreak/>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93473">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93473">
            <w:pPr>
              <w:rPr>
                <w:kern w:val="2"/>
              </w:rPr>
            </w:pPr>
          </w:p>
          <w:p w14:paraId="001E50C2" w14:textId="2B7A5B0B" w:rsidR="00EE6ADD" w:rsidRPr="00A71A26" w:rsidRDefault="000B0897" w:rsidP="00893473">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w:t>
            </w:r>
            <w:r>
              <w:lastRenderedPageBreak/>
              <w:t xml:space="preserve">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r w:rsidRPr="0BE63F34">
              <w:rPr>
                <w:kern w:val="2"/>
              </w:rPr>
              <w:t>Ind</w:t>
            </w:r>
            <w:r w:rsidRPr="0BE63F34">
              <w:rPr>
                <w:kern w:val="2"/>
                <w:vertAlign w:val="subscript"/>
              </w:rPr>
              <w:t>naujausias</w:t>
            </w:r>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r w:rsidRPr="0BE63F34">
              <w:rPr>
                <w:kern w:val="2"/>
              </w:rPr>
              <w:t>Ind</w:t>
            </w:r>
            <w:r w:rsidRPr="0BE63F34">
              <w:rPr>
                <w:kern w:val="2"/>
                <w:vertAlign w:val="subscript"/>
              </w:rPr>
              <w:t>pradžia</w:t>
            </w:r>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w:t>
            </w:r>
            <w:r w:rsidRPr="0BE63F34">
              <w:rPr>
                <w:kern w:val="2"/>
                <w:shd w:val="clear" w:color="auto" w:fill="FFFFFF"/>
              </w:rPr>
              <w:lastRenderedPageBreak/>
              <w:t xml:space="preserve">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893473">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640A557F" w:rsidR="00523080" w:rsidRPr="00A71A26" w:rsidRDefault="00341EE3" w:rsidP="00893473">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 xml:space="preserve">dalimis už dalyvių grupei (-ėms) pravestų mokymų skaičių </w:t>
            </w:r>
            <w:r w:rsidR="00A52183">
              <w:t>pateikus</w:t>
            </w:r>
            <w:r w:rsidR="00D02B06">
              <w:t xml:space="preserve"> </w:t>
            </w:r>
            <w:r w:rsidR="00BD0255" w:rsidRPr="00A71A26">
              <w:rPr>
                <w:kern w:val="2"/>
              </w:rPr>
              <w:t xml:space="preserve">tai įrodančius dokumentus ir </w:t>
            </w:r>
            <w:r w:rsidR="00BD0255" w:rsidRPr="0BE63F34">
              <w:rPr>
                <w:rStyle w:val="FontStyle51"/>
                <w:rFonts w:eastAsiaTheme="minorEastAsia"/>
                <w:sz w:val="24"/>
                <w:szCs w:val="24"/>
              </w:rPr>
              <w:t>pasirašius 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9E122B">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5BB2A247" w14:textId="38ACA87A" w:rsidR="003661AD" w:rsidRDefault="0002356F" w:rsidP="00C61B0E">
            <w:r>
              <w:t xml:space="preserve">6.3.1. </w:t>
            </w:r>
            <w:r w:rsidR="000B26D3" w:rsidRPr="00BF4EFA">
              <w:t>Specialist</w:t>
            </w:r>
            <w:r w:rsidR="006231A4" w:rsidRPr="00BF4EFA">
              <w:t>ų papildoma darbinė (profesinė) patirtis</w:t>
            </w:r>
            <w:r w:rsidR="000B26D3" w:rsidRPr="00BF4EFA">
              <w:rPr>
                <w:vertAlign w:val="superscript"/>
              </w:rPr>
              <w:footnoteReference w:id="3"/>
            </w:r>
            <w:r w:rsidR="000B26D3" w:rsidRPr="00BF4EFA">
              <w:t>.</w:t>
            </w:r>
          </w:p>
          <w:p w14:paraId="129E69A9" w14:textId="5B282A55" w:rsidR="00C61B0E" w:rsidRPr="00BF4EFA" w:rsidRDefault="00C61B0E" w:rsidP="00C61B0E">
            <w:r w:rsidRPr="0BE63F34">
              <w:rPr>
                <w:kern w:val="2"/>
              </w:rPr>
              <w:t xml:space="preserve">Specialistui Nr. </w:t>
            </w:r>
            <w:r w:rsidR="003661AD">
              <w:rPr>
                <w:kern w:val="2"/>
              </w:rPr>
              <w:t>1</w:t>
            </w:r>
            <w:r w:rsidR="00352F52">
              <w:rPr>
                <w:kern w:val="2"/>
              </w:rPr>
              <w:t xml:space="preserve"> </w:t>
            </w:r>
            <w:r w:rsidRPr="0BE63F34">
              <w:rPr>
                <w:kern w:val="2"/>
              </w:rPr>
              <w:t xml:space="preserve">už </w:t>
            </w:r>
            <w:r w:rsidR="00352F52">
              <w:rPr>
                <w:kern w:val="2"/>
              </w:rPr>
              <w:t>darbo su mokiniais</w:t>
            </w:r>
            <w:r w:rsidR="003661AD">
              <w:rPr>
                <w:kern w:val="2"/>
              </w:rPr>
              <w:t xml:space="preserve"> patirtį</w:t>
            </w:r>
            <w:r w:rsidRPr="0BE63F34">
              <w:rPr>
                <w:kern w:val="2"/>
              </w:rPr>
              <w:t xml:space="preserve"> suteikta </w:t>
            </w:r>
            <w:r w:rsidRPr="0002356F">
              <w:rPr>
                <w:color w:val="0070C0"/>
                <w:kern w:val="2"/>
              </w:rPr>
              <w:t>.... bal</w:t>
            </w:r>
            <w:r w:rsidR="00043741" w:rsidRPr="0002356F">
              <w:rPr>
                <w:color w:val="0070C0"/>
                <w:kern w:val="2"/>
              </w:rPr>
              <w:t>ai</w:t>
            </w:r>
            <w:r w:rsidRPr="0BE63F34">
              <w:rPr>
                <w:kern w:val="2"/>
              </w:rPr>
              <w:t>.</w:t>
            </w:r>
          </w:p>
          <w:p w14:paraId="2355CEAF" w14:textId="39CF276C" w:rsidR="00043741" w:rsidRPr="00A71A26" w:rsidRDefault="00C61B0E" w:rsidP="00043741">
            <w:r w:rsidRPr="0BE63F34">
              <w:rPr>
                <w:kern w:val="2"/>
              </w:rPr>
              <w:t xml:space="preserve">Specialistui Nr. </w:t>
            </w:r>
            <w:r w:rsidR="003661AD">
              <w:rPr>
                <w:kern w:val="2"/>
              </w:rPr>
              <w:t>2</w:t>
            </w:r>
            <w:r w:rsidRPr="0BE63F34">
              <w:rPr>
                <w:kern w:val="2"/>
              </w:rPr>
              <w:t xml:space="preserve"> už </w:t>
            </w:r>
            <w:r w:rsidR="003661AD">
              <w:rPr>
                <w:kern w:val="2"/>
              </w:rPr>
              <w:t>papildomą mokymų vedimo patirtį</w:t>
            </w:r>
            <w:r w:rsidR="00043741" w:rsidRPr="0BE63F34">
              <w:rPr>
                <w:kern w:val="2"/>
              </w:rPr>
              <w:t xml:space="preserve"> suteikta </w:t>
            </w:r>
            <w:r w:rsidR="00043741" w:rsidRPr="0002356F">
              <w:rPr>
                <w:color w:val="0070C0"/>
                <w:kern w:val="2"/>
              </w:rPr>
              <w:t>.... balai.</w:t>
            </w:r>
          </w:p>
          <w:p w14:paraId="62BED257" w14:textId="15CAD326" w:rsidR="00400166" w:rsidRDefault="002032C5" w:rsidP="002032C5">
            <w:pPr>
              <w:rPr>
                <w:rFonts w:eastAsia="NSimSun"/>
              </w:rPr>
            </w:pPr>
            <w:r>
              <w:rPr>
                <w:rFonts w:eastAsia="NSimSun"/>
              </w:rPr>
              <w:lastRenderedPageBreak/>
              <w:t xml:space="preserve">6.3.2. </w:t>
            </w:r>
            <w:r w:rsidR="00400166" w:rsidRPr="0BE63F34">
              <w:rPr>
                <w:rFonts w:eastAsia="NSimSun"/>
              </w:rPr>
              <w:t>Specialist</w:t>
            </w:r>
            <w:r w:rsidR="00316064" w:rsidRPr="0BE63F34">
              <w:rPr>
                <w:rFonts w:eastAsia="NSimSun"/>
              </w:rPr>
              <w:t>ui</w:t>
            </w:r>
            <w:r w:rsidR="00400166" w:rsidRPr="0BE63F34">
              <w:rPr>
                <w:rFonts w:eastAsia="NSimSun"/>
              </w:rPr>
              <w:t xml:space="preserve"> suteikti ekonominio naudingumo balai už </w:t>
            </w:r>
            <w:r w:rsidR="00352F52">
              <w:rPr>
                <w:rFonts w:eastAsia="NSimSun"/>
              </w:rPr>
              <w:t>darbo su mokiniais</w:t>
            </w:r>
            <w:r w:rsidR="005C5EBD">
              <w:rPr>
                <w:rFonts w:eastAsia="NSimSun"/>
              </w:rPr>
              <w:t xml:space="preserve"> ir </w:t>
            </w:r>
            <w:r w:rsidR="00400166" w:rsidRPr="0BE63F34">
              <w:rPr>
                <w:rFonts w:eastAsia="NSimSun"/>
              </w:rPr>
              <w:t>mokym</w:t>
            </w:r>
            <w:r w:rsidR="00FC406B">
              <w:rPr>
                <w:rFonts w:eastAsia="NSimSun"/>
              </w:rPr>
              <w:t>ų</w:t>
            </w:r>
            <w:r w:rsidR="00043741" w:rsidRPr="0BE63F34">
              <w:rPr>
                <w:rFonts w:eastAsia="NSimSun"/>
              </w:rPr>
              <w:t xml:space="preserve"> </w:t>
            </w:r>
            <w:r w:rsidR="00FC406B">
              <w:rPr>
                <w:rFonts w:eastAsia="NSimSun"/>
              </w:rPr>
              <w:t>ved</w:t>
            </w:r>
            <w:r w:rsidR="00352F52">
              <w:rPr>
                <w:rFonts w:eastAsia="NSimSun"/>
              </w:rPr>
              <w:t>i</w:t>
            </w:r>
            <w:r w:rsidR="00FC406B">
              <w:rPr>
                <w:rFonts w:eastAsia="NSimSun"/>
              </w:rPr>
              <w:t>mo</w:t>
            </w:r>
            <w:r w:rsidR="000645C3" w:rsidRPr="0BE63F34">
              <w:rPr>
                <w:rFonts w:eastAsia="NSimSun"/>
              </w:rPr>
              <w:t xml:space="preserve"> </w:t>
            </w:r>
            <w:r w:rsidR="00400166" w:rsidRPr="0BE63F34">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76B86AD5" w14:textId="77777777" w:rsidR="001E1812" w:rsidRPr="00A71A26" w:rsidRDefault="001E1812" w:rsidP="002032C5">
            <w:pPr>
              <w:rPr>
                <w:rFonts w:eastAsia="NSimSun"/>
              </w:rPr>
            </w:pPr>
            <w:r w:rsidRPr="001E1812">
              <w:rPr>
                <w:kern w:val="2"/>
                <w:szCs w:val="24"/>
              </w:rPr>
              <w:t>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p w14:paraId="5C105553" w14:textId="38C42CD9" w:rsidR="00027B83" w:rsidRPr="00A71A26" w:rsidRDefault="00027B83" w:rsidP="00507B2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5124C3">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t>9.2. Tiekėjui taikomos netesybos</w:t>
            </w:r>
          </w:p>
        </w:tc>
        <w:tc>
          <w:tcPr>
            <w:tcW w:w="6682" w:type="dxa"/>
            <w:gridSpan w:val="2"/>
          </w:tcPr>
          <w:p w14:paraId="7F1AA395" w14:textId="23E9377C" w:rsidR="00027B83" w:rsidRPr="00A71A26" w:rsidRDefault="007A5CED">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9E122B">
            <w:pPr>
              <w:rPr>
                <w:lang w:eastAsia="lt-LT"/>
              </w:rPr>
            </w:pPr>
            <w:r w:rsidRPr="0BE63F34">
              <w:rPr>
                <w:rFonts w:eastAsia="Calibri"/>
              </w:rPr>
              <w:t>9.2.2. Specialiųjų sutarties sąlygų 9.2.1. papunktis yra taikomas ir paslaugų teikimo trūkumų / defektų šalinimo atvejais, t. y. pvz.</w:t>
            </w:r>
            <w:r w:rsidR="0092029E" w:rsidRPr="0BE63F34">
              <w:rPr>
                <w:rFonts w:eastAsia="Calibri"/>
              </w:rPr>
              <w:t>,</w:t>
            </w:r>
            <w:r w:rsidR="00C271EE" w:rsidRPr="0BE63F34">
              <w:rPr>
                <w:rFonts w:eastAsia="Calibri"/>
              </w:rPr>
              <w:t xml:space="preserve"> </w:t>
            </w:r>
            <w:r w:rsidR="00C271EE" w:rsidRPr="0BE63F34">
              <w:rPr>
                <w:rFonts w:eastAsia="Calibri"/>
              </w:rPr>
              <w:lastRenderedPageBreak/>
              <w:t>kai</w:t>
            </w:r>
            <w:r w:rsidRPr="0BE63F34">
              <w:rPr>
                <w:rFonts w:eastAsia="Calibri"/>
              </w:rPr>
              <w:t xml:space="preserve"> Tiekėjas nesilaiko Techninės specifikacijoje nustatytų reikalavimų, Tiekėjui yra surašoma pretenzija ir nustatomas protingas terminas trūkumų pašalinimui</w:t>
            </w:r>
            <w:bookmarkStart w:id="2" w:name="_Hlk95156496"/>
            <w:r w:rsidR="0092029E" w:rsidRPr="0BE63F34">
              <w:rPr>
                <w:rFonts w:eastAsia="Calibri"/>
              </w:rPr>
              <w:t xml:space="preserve">. </w:t>
            </w:r>
            <w:r>
              <w:t xml:space="preserve">Pirkėjas raštu (el. paštu) informuoja apie tai Tiekėją ir nesumažindamas kitų savo teisių gynimo priemonių, numatytų Sutartyje, </w:t>
            </w:r>
            <w:bookmarkStart w:id="3" w:name="_Hlk87266790"/>
            <w:bookmarkStart w:id="4" w:name="_Hlk95686680"/>
            <w:r>
              <w:t xml:space="preserve">skaičiuoja </w:t>
            </w:r>
            <w:bookmarkStart w:id="5" w:name="_Hlk91495730"/>
            <w:r w:rsidRPr="0BE63F34">
              <w:rPr>
                <w:rFonts w:eastAsia="Calibri"/>
              </w:rPr>
              <w:t xml:space="preserve">0,02 (dvi šimtosios) procento dydžio delspinigius </w:t>
            </w:r>
            <w:bookmarkStart w:id="6" w:name="_Hlk134630122"/>
            <w:r w:rsidRPr="0BE63F34">
              <w:rPr>
                <w:rFonts w:eastAsia="Calibri"/>
              </w:rPr>
              <w:t xml:space="preserve">už kiekvieną uždelstą trūkumų / defektų šalinimo dieną nuo </w:t>
            </w:r>
            <w:r>
              <w:t>laiku nesuteiktų Paslaugų ar kitų sutartinių įsipareigojimų nevykdymo kainos be PVM.</w:t>
            </w:r>
          </w:p>
          <w:bookmarkEnd w:id="2"/>
          <w:bookmarkEnd w:id="3"/>
          <w:bookmarkEnd w:id="4"/>
          <w:bookmarkEnd w:id="6"/>
          <w:p w14:paraId="11345E2E" w14:textId="66B109CC" w:rsidR="007A5CED" w:rsidRPr="00A71A26" w:rsidRDefault="007A5CED" w:rsidP="009E122B">
            <w:pPr>
              <w:tabs>
                <w:tab w:val="left" w:pos="851"/>
                <w:tab w:val="left" w:pos="993"/>
                <w:tab w:val="left" w:pos="1276"/>
              </w:tabs>
              <w:suppressAutoHyphens/>
              <w:textAlignment w:val="baseline"/>
              <w:rPr>
                <w:rFonts w:eastAsia="Calibri"/>
              </w:rPr>
            </w:pPr>
            <w:r w:rsidRPr="0BE63F34">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0BE63F34">
              <w:rPr>
                <w:rFonts w:eastAsia="Calibri"/>
              </w:rPr>
              <w:t xml:space="preserve"> už kiekvieną uždelstą dieną</w:t>
            </w:r>
            <w:bookmarkEnd w:id="5"/>
            <w:r w:rsidRPr="0BE63F34">
              <w:rPr>
                <w:rFonts w:eastAsia="Calibri"/>
              </w:rPr>
              <w:t xml:space="preserve">. </w:t>
            </w:r>
          </w:p>
          <w:p w14:paraId="7ACA58D6" w14:textId="77777777" w:rsidR="007A5CED" w:rsidRDefault="00AC3ED0">
            <w:pPr>
              <w:rPr>
                <w:rStyle w:val="Numatytasispastraiposriftas1"/>
                <w:rFonts w:eastAsia="Arial Unicode MS"/>
              </w:rPr>
            </w:pPr>
            <w:r>
              <w:t>9.2.3.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p w14:paraId="6B770C7F" w14:textId="731781F2" w:rsidR="00790559" w:rsidRDefault="00790559">
            <w:pPr>
              <w:rPr>
                <w:rStyle w:val="Numatytasispastraiposriftas1"/>
                <w:rFonts w:eastAsia="Arial Unicode MS"/>
              </w:rPr>
            </w:pPr>
            <w:r>
              <w:rPr>
                <w:rStyle w:val="Numatytasispastraiposriftas1"/>
                <w:rFonts w:eastAsia="Arial Unicode MS"/>
              </w:rPr>
              <w:t xml:space="preserve">9.2.4. </w:t>
            </w:r>
            <w:r w:rsidR="008E7C10">
              <w:rPr>
                <w:rStyle w:val="Numatytasispastraiposriftas1"/>
                <w:rFonts w:eastAsia="Arial Unicode MS"/>
              </w:rPr>
              <w:t xml:space="preserve">Tiekėjas atlygina Pirkėjo patirtus </w:t>
            </w:r>
            <w:r w:rsidR="00D26184">
              <w:rPr>
                <w:rStyle w:val="Numatytasispastraiposriftas1"/>
                <w:rFonts w:eastAsia="Arial Unicode MS"/>
              </w:rPr>
              <w:t xml:space="preserve">seminarų </w:t>
            </w:r>
            <w:r w:rsidR="00894FE0">
              <w:rPr>
                <w:rStyle w:val="Numatytasispastraiposriftas1"/>
                <w:rFonts w:eastAsia="Arial Unicode MS"/>
              </w:rPr>
              <w:t xml:space="preserve">organizavimo </w:t>
            </w:r>
            <w:r w:rsidR="008E7C10">
              <w:rPr>
                <w:rStyle w:val="Numatytasispastraiposriftas1"/>
                <w:rFonts w:eastAsia="Arial Unicode MS"/>
              </w:rPr>
              <w:t>nuostolius</w:t>
            </w:r>
            <w:r w:rsidR="00894FE0">
              <w:rPr>
                <w:rStyle w:val="Numatytasispastraiposriftas1"/>
                <w:rFonts w:eastAsia="Arial Unicode MS"/>
              </w:rPr>
              <w:t xml:space="preserve"> (salės</w:t>
            </w:r>
            <w:r w:rsidR="00686264">
              <w:rPr>
                <w:rStyle w:val="Numatytasispastraiposriftas1"/>
                <w:rFonts w:eastAsia="Arial Unicode MS"/>
              </w:rPr>
              <w:t>,</w:t>
            </w:r>
            <w:r w:rsidR="00894FE0">
              <w:rPr>
                <w:rStyle w:val="Numatytasispastraiposriftas1"/>
                <w:rFonts w:eastAsia="Arial Unicode MS"/>
              </w:rPr>
              <w:t xml:space="preserve"> įrangos</w:t>
            </w:r>
            <w:r w:rsidR="00686264">
              <w:rPr>
                <w:rStyle w:val="Numatytasispastraiposriftas1"/>
                <w:rFonts w:eastAsia="Arial Unicode MS"/>
              </w:rPr>
              <w:t xml:space="preserve"> ir/ar</w:t>
            </w:r>
            <w:r w:rsidR="00894FE0">
              <w:rPr>
                <w:rStyle w:val="Numatytasispastraiposriftas1"/>
                <w:rFonts w:eastAsia="Arial Unicode MS"/>
              </w:rPr>
              <w:t xml:space="preserve"> </w:t>
            </w:r>
            <w:r w:rsidR="00686264">
              <w:rPr>
                <w:rStyle w:val="Numatytasispastraiposriftas1"/>
                <w:rFonts w:eastAsia="Arial Unicode MS"/>
              </w:rPr>
              <w:t xml:space="preserve">dalyvių </w:t>
            </w:r>
            <w:r w:rsidR="002A4249">
              <w:rPr>
                <w:rStyle w:val="Numatytasispastraiposriftas1"/>
                <w:rFonts w:eastAsia="Arial Unicode MS"/>
              </w:rPr>
              <w:t>nakvynės užsakymo</w:t>
            </w:r>
            <w:r w:rsidR="00122489">
              <w:rPr>
                <w:rStyle w:val="Numatytasispastraiposriftas1"/>
                <w:rFonts w:eastAsia="Arial Unicode MS"/>
              </w:rPr>
              <w:t>, ir / dalyvių maitinimo</w:t>
            </w:r>
            <w:r w:rsidR="002A4249">
              <w:rPr>
                <w:rStyle w:val="Numatytasispastraiposriftas1"/>
                <w:rFonts w:eastAsia="Arial Unicode MS"/>
              </w:rPr>
              <w:t xml:space="preserve">), jei </w:t>
            </w:r>
            <w:r w:rsidR="003269DF">
              <w:rPr>
                <w:rStyle w:val="Numatytasispastraiposriftas1"/>
                <w:rFonts w:eastAsia="Arial Unicode MS"/>
              </w:rPr>
              <w:t xml:space="preserve">dėl Tiekėjo kaltės atšaukiami mokymai </w:t>
            </w:r>
            <w:r w:rsidR="00287457">
              <w:rPr>
                <w:rStyle w:val="Numatytasispastraiposriftas1"/>
                <w:rFonts w:eastAsia="Arial Unicode MS"/>
              </w:rPr>
              <w:t>nesilaikant Sutartyje numatytų terminų</w:t>
            </w:r>
            <w:r w:rsidR="00AD00A2">
              <w:rPr>
                <w:rStyle w:val="Numatytasispastraiposriftas1"/>
                <w:rFonts w:eastAsia="Arial Unicode MS"/>
              </w:rPr>
              <w:t xml:space="preserve"> ir Klientas patiria </w:t>
            </w:r>
            <w:r w:rsidR="002E581A">
              <w:rPr>
                <w:rStyle w:val="Numatytasispastraiposriftas1"/>
                <w:rFonts w:eastAsia="Arial Unicode MS"/>
              </w:rPr>
              <w:t xml:space="preserve">faktinių </w:t>
            </w:r>
            <w:r w:rsidR="00AD00A2">
              <w:rPr>
                <w:rStyle w:val="Numatytasispastraiposriftas1"/>
                <w:rFonts w:eastAsia="Arial Unicode MS"/>
              </w:rPr>
              <w:t>nuostolių</w:t>
            </w:r>
            <w:r w:rsidR="004C0687">
              <w:rPr>
                <w:rStyle w:val="Numatytasispastraiposriftas1"/>
                <w:rFonts w:eastAsia="Arial Unicode MS"/>
              </w:rPr>
              <w:t xml:space="preserve">. Kliento </w:t>
            </w:r>
            <w:r w:rsidR="00440D6E">
              <w:rPr>
                <w:rStyle w:val="Numatytasispastraiposriftas1"/>
                <w:rFonts w:eastAsia="Arial Unicode MS"/>
              </w:rPr>
              <w:t>pa</w:t>
            </w:r>
            <w:r w:rsidR="004C0687">
              <w:rPr>
                <w:rStyle w:val="Numatytasispastraiposriftas1"/>
                <w:rFonts w:eastAsia="Arial Unicode MS"/>
              </w:rPr>
              <w:t xml:space="preserve">tirti nuostoliai nustatomi pagal </w:t>
            </w:r>
            <w:r w:rsidR="00604D77">
              <w:rPr>
                <w:rStyle w:val="Numatytasispastraiposriftas1"/>
                <w:rFonts w:eastAsia="Arial Unicode MS"/>
              </w:rPr>
              <w:t>tiekėjo, atsakingo už seminarų oragnizavimą</w:t>
            </w:r>
            <w:r w:rsidR="00E34657">
              <w:rPr>
                <w:rStyle w:val="Numatytasispastraiposriftas1"/>
                <w:rFonts w:eastAsia="Arial Unicode MS"/>
              </w:rPr>
              <w:t xml:space="preserve">, </w:t>
            </w:r>
            <w:r w:rsidR="009B4BB1">
              <w:rPr>
                <w:rStyle w:val="Numatytasispastraiposriftas1"/>
                <w:rFonts w:eastAsia="Arial Unicode MS"/>
              </w:rPr>
              <w:t>Klientui išrašytą sąskaitą faktūrą</w:t>
            </w:r>
            <w:r w:rsidR="00AD00A2">
              <w:rPr>
                <w:rStyle w:val="Numatytasispastraiposriftas1"/>
                <w:rFonts w:eastAsia="Arial Unicode MS"/>
              </w:rPr>
              <w:t>.</w:t>
            </w:r>
          </w:p>
          <w:p w14:paraId="7E114F52" w14:textId="0E73D8C1" w:rsidR="00F25D00" w:rsidRPr="00A71A26" w:rsidRDefault="00F25D00">
            <w:r>
              <w:t>9.2.5. Pirkėjui nustačius</w:t>
            </w:r>
            <w:r w:rsidR="0023269F">
              <w:t xml:space="preserve">, kad </w:t>
            </w:r>
            <w:r w:rsidR="001617F1">
              <w:t xml:space="preserve">mokymus sėkmingai baigė mažiau nei 85 dalyviai, </w:t>
            </w:r>
            <w:r w:rsidR="0005649F">
              <w:t>Tiekėjas moka 100</w:t>
            </w:r>
            <w:r w:rsidR="00BD4445">
              <w:t>,00</w:t>
            </w:r>
            <w:r w:rsidR="0005649F">
              <w:t xml:space="preserve"> Eur baudą už kiekvieną </w:t>
            </w:r>
            <w:r w:rsidR="00D57E8E" w:rsidRPr="00C05861">
              <w:t xml:space="preserve">nepasiektą rodiklį </w:t>
            </w:r>
            <w:r w:rsidR="00C05861">
              <w:t>(</w:t>
            </w:r>
            <w:r w:rsidR="00440D6E" w:rsidRPr="00C05861">
              <w:t xml:space="preserve">trūkstamą </w:t>
            </w:r>
            <w:r w:rsidR="00BD4445" w:rsidRPr="00C05861">
              <w:t>dalyvį</w:t>
            </w:r>
            <w:r w:rsidR="00C05861">
              <w:t>)</w:t>
            </w:r>
            <w:r w:rsidR="00BE2ED5" w:rsidRPr="00C05861">
              <w:t xml:space="preserve"> atskirai</w:t>
            </w:r>
            <w:r w:rsidR="00BD4445">
              <w:t xml:space="preserve"> (pvz. jeigu sėkmingai mokymus baigė 82 dalyviai, tiekėjas moka 300,00 Eur baudą)</w:t>
            </w:r>
            <w:r w:rsidR="0033184E">
              <w:t>.</w:t>
            </w:r>
          </w:p>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12E3A22E" w:rsidR="00027B83" w:rsidRPr="00A71A26" w:rsidRDefault="000B0897">
            <w:r w:rsidRPr="0BE63F34">
              <w:rPr>
                <w:kern w:val="2"/>
              </w:rPr>
              <w:t xml:space="preserve">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50F7F1B4" w:rsidR="00027B83" w:rsidRPr="00A71A26" w:rsidRDefault="004119D4" w:rsidP="0BE63F34">
            <w:pPr>
              <w:rPr>
                <w:i/>
                <w:iCs/>
                <w:kern w:val="2"/>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 xml:space="preserve">9.5. Tiekėjui taikomos baudos dėl aplinkosauginių </w:t>
            </w:r>
            <w:r w:rsidRPr="0BE63F34">
              <w:rPr>
                <w:b/>
                <w:bCs/>
                <w:kern w:val="2"/>
              </w:rPr>
              <w:lastRenderedPageBreak/>
              <w:t>ir (arba) socialinių kriterijų nesilaikymo</w:t>
            </w:r>
          </w:p>
        </w:tc>
        <w:tc>
          <w:tcPr>
            <w:tcW w:w="6682" w:type="dxa"/>
            <w:gridSpan w:val="2"/>
          </w:tcPr>
          <w:p w14:paraId="043EA60D" w14:textId="17E2927C" w:rsidR="008F1931" w:rsidRPr="00A71A26" w:rsidRDefault="007C34A7" w:rsidP="005124C3">
            <w:r w:rsidRPr="0BE63F34">
              <w:rPr>
                <w:kern w:val="2"/>
              </w:rPr>
              <w:lastRenderedPageBreak/>
              <w:t>Netaikoma</w:t>
            </w:r>
          </w:p>
          <w:p w14:paraId="4C8C0993" w14:textId="7A760EE2" w:rsidR="00027B83" w:rsidRPr="00A71A26" w:rsidRDefault="00027B83" w:rsidP="0BE63F34">
            <w:pPr>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033357FB" w14:textId="31DB41BD" w:rsidR="00647472" w:rsidRDefault="00C10833" w:rsidP="006D76CB">
            <w:pPr>
              <w:rPr>
                <w:rFonts w:eastAsia="Calibri"/>
                <w:szCs w:val="24"/>
              </w:rPr>
            </w:pPr>
            <w:r w:rsidRPr="00141D86">
              <w:rPr>
                <w:bCs/>
                <w:kern w:val="2"/>
                <w:szCs w:val="24"/>
              </w:rPr>
              <w:t>Tiekėjui / Pirkėjui pažeidus Bendrosiose sąlygose nurodytas konfidencialumo reikalavimų taisykles už kiekvieną pažeidimo atvejį taikoma 5</w:t>
            </w:r>
            <w:r w:rsidRPr="00141D86">
              <w:rPr>
                <w:color w:val="000000"/>
                <w:szCs w:val="24"/>
                <w:lang w:eastAsia="lt-LT"/>
              </w:rPr>
              <w:t> procentų dydžio bauda nuo Pradinės Sutarties vertės, nurodytos Specialiųjų sąlygų 5.2 punkte</w:t>
            </w:r>
            <w:r>
              <w:rPr>
                <w:color w:val="000000"/>
                <w:szCs w:val="24"/>
                <w:lang w:eastAsia="lt-LT"/>
              </w:rPr>
              <w:t>,</w:t>
            </w:r>
            <w:r w:rsidRPr="00141D86">
              <w:rPr>
                <w:color w:val="000000"/>
                <w:szCs w:val="24"/>
                <w:lang w:eastAsia="lt-LT"/>
              </w:rPr>
              <w:t xml:space="preserve"> bei turi būti</w:t>
            </w:r>
            <w:r w:rsidRPr="00141D86">
              <w:rPr>
                <w:rFonts w:eastAsia="Calibri"/>
                <w:szCs w:val="24"/>
              </w:rPr>
              <w:t xml:space="preserve"> atlyginami patirti tiesioginiai (faktiškai patirtos išlaidos) nuostoliai kurių nepadengia bauda.</w:t>
            </w:r>
          </w:p>
          <w:p w14:paraId="32D97D93" w14:textId="12BB1C0B" w:rsidR="006D76CB" w:rsidRPr="00311570" w:rsidRDefault="006D76CB" w:rsidP="006D76CB">
            <w:pPr>
              <w:rPr>
                <w:rFonts w:eastAsia="Calibri"/>
                <w:szCs w:val="24"/>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9.7. Tiekėjui taikomos netesybos dėl pirkimo dokumentuose nustatytų kokybinių kriterijų nepasiekimo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621E6474" w14:textId="3E07943D" w:rsidR="0046305B" w:rsidRPr="00A71A26" w:rsidRDefault="0046305B" w:rsidP="009E122B">
            <w:r w:rsidRPr="0046305B">
              <w:rPr>
                <w:szCs w:val="24"/>
              </w:rPr>
              <w:t>Atveju suprantamas įvykis, kai tam tikrus paslaugų teikimo veiksmus atlieka kitas nei pirkime deklaruotas arba Šalių sudar</w:t>
            </w:r>
            <w:r w:rsidR="004F1DC5">
              <w:rPr>
                <w:szCs w:val="24"/>
              </w:rPr>
              <w:t>ytu</w:t>
            </w:r>
            <w:r w:rsidRPr="0046305B">
              <w:rPr>
                <w:szCs w:val="24"/>
              </w:rPr>
              <w:t xml:space="preserve"> raštišku susitarimu pa</w:t>
            </w:r>
            <w:r w:rsidR="00F85249">
              <w:rPr>
                <w:szCs w:val="24"/>
              </w:rPr>
              <w:t>siūlytas</w:t>
            </w:r>
            <w:r w:rsidRPr="0046305B">
              <w:rPr>
                <w:szCs w:val="24"/>
              </w:rPr>
              <w:t xml:space="preserve"> specialistas.</w:t>
            </w:r>
          </w:p>
          <w:p w14:paraId="003FECA6" w14:textId="566F081C" w:rsidR="00027B83" w:rsidRPr="00A71A26" w:rsidRDefault="00027B83" w:rsidP="0BE63F34">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5B7680FE" w14:textId="77777777" w:rsidR="005900AF" w:rsidRPr="00141D86" w:rsidRDefault="005900AF" w:rsidP="005900AF">
            <w:pPr>
              <w:spacing w:line="276" w:lineRule="auto"/>
            </w:pPr>
            <w:r w:rsidRPr="00141D86">
              <w:rPr>
                <w:kern w:val="2"/>
              </w:rPr>
              <w:t>10 proc. nuo Pradinės sutarties vertės</w:t>
            </w:r>
            <w:r>
              <w:rPr>
                <w:kern w:val="2"/>
              </w:rPr>
              <w:t xml:space="preserve">, </w:t>
            </w:r>
            <w:r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4B92B398" w14:textId="77777777" w:rsidR="00AA3934" w:rsidRPr="00141D86" w:rsidRDefault="00AA3934" w:rsidP="00AA3934">
            <w:pPr>
              <w:tabs>
                <w:tab w:val="left" w:pos="993"/>
                <w:tab w:val="left" w:pos="1418"/>
              </w:tabs>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5600BE63" w14:textId="77777777" w:rsidR="00AA3934" w:rsidRPr="00141D86" w:rsidRDefault="00AA3934" w:rsidP="00AA3934">
            <w:pPr>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1C3CF92E" w14:textId="2C76D552" w:rsidR="00E0706C" w:rsidRDefault="00AA3934" w:rsidP="008F73B5">
            <w:pPr>
              <w:tabs>
                <w:tab w:val="left" w:pos="993"/>
                <w:tab w:val="left" w:pos="1418"/>
              </w:tabs>
              <w:rPr>
                <w:rFonts w:eastAsia="Calibri"/>
              </w:rPr>
            </w:pPr>
            <w:r w:rsidRPr="00AB6315">
              <w:rPr>
                <w:rFonts w:eastAsia="Arial Unicode MS"/>
                <w:szCs w:val="24"/>
              </w:rPr>
              <w:t>9.10.3.</w:t>
            </w:r>
            <w:r>
              <w:rPr>
                <w:rFonts w:eastAsia="Arial Unicode MS"/>
                <w:szCs w:val="24"/>
              </w:rPr>
              <w:t xml:space="preserve"> </w:t>
            </w:r>
            <w:r w:rsidR="002849F2" w:rsidRPr="00AB6315">
              <w:rPr>
                <w:rFonts w:eastAsia="Arial Unicode MS"/>
                <w:szCs w:val="24"/>
              </w:rPr>
              <w:t>Jei Tiekėjas pažeidžia asmens duomenų apsaugą reglamentuojančius įstatymus, Pirkėjui pareikalavus, moka 10 proc. nuo Pradinės sutarties vertės</w:t>
            </w:r>
            <w:r w:rsidR="002849F2" w:rsidRPr="00AB6315">
              <w:rPr>
                <w:rFonts w:eastAsia="Arial Unicode MS"/>
                <w:i/>
                <w:iCs/>
              </w:rPr>
              <w:t xml:space="preserve"> </w:t>
            </w:r>
            <w:r w:rsidR="002849F2" w:rsidRPr="00AB6315">
              <w:rPr>
                <w:rFonts w:eastAsia="Arial Unicode MS"/>
                <w:szCs w:val="24"/>
              </w:rPr>
              <w:t xml:space="preserve">baudą </w:t>
            </w:r>
            <w:r w:rsidR="002849F2" w:rsidRPr="00AB6315">
              <w:rPr>
                <w:rFonts w:eastAsia="Arial Unicode MS"/>
                <w:i/>
                <w:iCs/>
              </w:rPr>
              <w:t>(taikoma už kiekvieną atvejį atskirai)</w:t>
            </w:r>
            <w:r w:rsidR="002849F2" w:rsidRPr="00AB6315">
              <w:rPr>
                <w:rFonts w:eastAsia="Arial Unicode MS"/>
              </w:rPr>
              <w:t>.</w:t>
            </w:r>
          </w:p>
          <w:p w14:paraId="33665A21" w14:textId="4FCC75E3" w:rsidR="00694E91" w:rsidRPr="00A71A26" w:rsidRDefault="002849F2" w:rsidP="00311570">
            <w:pPr>
              <w:tabs>
                <w:tab w:val="left" w:pos="993"/>
                <w:tab w:val="left" w:pos="1418"/>
              </w:tabs>
              <w:rPr>
                <w:rFonts w:eastAsia="Arial Unicode MS"/>
              </w:rPr>
            </w:pPr>
            <w:r>
              <w:t>9.10.</w:t>
            </w:r>
            <w:r w:rsidR="00AA3934">
              <w:t>4</w:t>
            </w:r>
            <w:r>
              <w:t>.</w:t>
            </w:r>
            <w:r w:rsidRPr="00124C79">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3E3F30EC" w:rsidR="00F51A4B" w:rsidRPr="0097023B" w:rsidRDefault="009945F1" w:rsidP="00131920">
            <w:pPr>
              <w:rPr>
                <w:color w:val="4472C4"/>
                <w:kern w:val="2"/>
              </w:rPr>
            </w:pPr>
            <w:r>
              <w:rPr>
                <w:color w:val="000000" w:themeColor="text1"/>
                <w:kern w:val="2"/>
              </w:rPr>
              <w:t>Netaikoma</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lastRenderedPageBreak/>
              <w:t>10.2. Dideli arba nuolatiniai esminės Sutarties sąlygos vykdymo trūkumai</w:t>
            </w:r>
          </w:p>
        </w:tc>
        <w:tc>
          <w:tcPr>
            <w:tcW w:w="6682" w:type="dxa"/>
            <w:gridSpan w:val="2"/>
          </w:tcPr>
          <w:p w14:paraId="6803F3E0" w14:textId="7AE5F82C" w:rsidR="001D2457" w:rsidRPr="0097023B" w:rsidRDefault="009945F1" w:rsidP="00131920">
            <w:pPr>
              <w:tabs>
                <w:tab w:val="center" w:pos="3233"/>
              </w:tabs>
              <w:rPr>
                <w:color w:val="000000" w:themeColor="text1"/>
                <w:kern w:val="2"/>
              </w:rPr>
            </w:pPr>
            <w: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7FAED13C" w:rsidR="001D2457" w:rsidRPr="00A71A26" w:rsidRDefault="001D2457" w:rsidP="00131920">
            <w:r w:rsidRPr="0BE63F34">
              <w:rPr>
                <w:kern w:val="2"/>
              </w:rPr>
              <w:t xml:space="preserve">Sutartis laikoma sudaryta ir įsigalioja </w:t>
            </w:r>
            <w:r w:rsidR="00BD4445">
              <w:rPr>
                <w:kern w:val="2"/>
              </w:rPr>
              <w:t>kitą darbo dieną kai</w:t>
            </w:r>
            <w:r w:rsidR="00AE7BEC">
              <w:rPr>
                <w:kern w:val="2"/>
              </w:rPr>
              <w:t xml:space="preserve"> įvykdomos abi sąlygos: 1)</w:t>
            </w:r>
            <w:r w:rsidR="00BD4445">
              <w:rPr>
                <w:kern w:val="2"/>
              </w:rPr>
              <w:t xml:space="preserve"> </w:t>
            </w:r>
            <w:r w:rsidRPr="0BE63F34">
              <w:rPr>
                <w:kern w:val="2"/>
              </w:rPr>
              <w:t>Sutart</w:t>
            </w:r>
            <w:r w:rsidR="00BD4445">
              <w:rPr>
                <w:kern w:val="2"/>
              </w:rPr>
              <w:t>į</w:t>
            </w:r>
            <w:r w:rsidRPr="0BE63F34">
              <w:rPr>
                <w:kern w:val="2"/>
              </w:rPr>
              <w:t xml:space="preserve"> pasiraš</w:t>
            </w:r>
            <w:r w:rsidR="00BD4445">
              <w:rPr>
                <w:kern w:val="2"/>
              </w:rPr>
              <w:t>o abi Šalys</w:t>
            </w:r>
            <w:r w:rsidR="00AE7BEC">
              <w:rPr>
                <w:kern w:val="2"/>
              </w:rPr>
              <w:t xml:space="preserve"> i</w:t>
            </w:r>
            <w:r w:rsidR="00CC667C">
              <w:rPr>
                <w:kern w:val="2"/>
              </w:rPr>
              <w:t>r</w:t>
            </w:r>
            <w:r w:rsidR="00AE7BEC">
              <w:rPr>
                <w:kern w:val="2"/>
              </w:rPr>
              <w:t xml:space="preserve">  2) abi Šalys pasirašo Susitarimą dėl asmens duomenų tvarkymo</w:t>
            </w:r>
            <w:r w:rsidR="00BD4445">
              <w:rPr>
                <w:kern w:val="2"/>
              </w:rPr>
              <w:t>.</w:t>
            </w:r>
          </w:p>
          <w:p w14:paraId="2FA65369" w14:textId="710B45C2" w:rsidR="001D2457" w:rsidRPr="00A71A26" w:rsidRDefault="001D2457" w:rsidP="00131920">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9945F1">
              <w:rPr>
                <w:kern w:val="2"/>
              </w:rPr>
              <w:t>2</w:t>
            </w:r>
            <w:r w:rsidR="009916E2">
              <w:rPr>
                <w:kern w:val="2"/>
              </w:rPr>
              <w:t>7</w:t>
            </w:r>
            <w:r w:rsidR="009945F1" w:rsidRPr="00273231">
              <w:rPr>
                <w:kern w:val="2"/>
              </w:rPr>
              <w:t xml:space="preserve"> </w:t>
            </w:r>
            <w:r w:rsidRPr="00273231">
              <w:rPr>
                <w:kern w:val="2"/>
              </w:rPr>
              <w:t>(</w:t>
            </w:r>
            <w:r w:rsidR="009945F1">
              <w:rPr>
                <w:kern w:val="2"/>
              </w:rPr>
              <w:t xml:space="preserve">dvidešimt </w:t>
            </w:r>
            <w:r w:rsidR="009916E2">
              <w:rPr>
                <w:kern w:val="2"/>
              </w:rPr>
              <w:t>septyni</w:t>
            </w:r>
            <w:r w:rsidRPr="00273231">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446F023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71B4C441"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w:t>
            </w:r>
            <w:r w:rsidR="00D748C1">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164157D2" w14:textId="3ED9EE5F"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w:t>
            </w:r>
            <w:r w:rsidR="00D748C1">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p w14:paraId="2AC0C09D" w14:textId="02ED4F56" w:rsidR="001D2457" w:rsidRPr="00A71A26" w:rsidRDefault="001D2457" w:rsidP="00311570">
            <w:pPr>
              <w:tabs>
                <w:tab w:val="left" w:pos="567"/>
                <w:tab w:val="left" w:pos="851"/>
                <w:tab w:val="left" w:pos="992"/>
                <w:tab w:val="left" w:pos="1134"/>
              </w:tabs>
              <w:spacing w:line="257" w:lineRule="auto"/>
              <w:rPr>
                <w:rFonts w:eastAsia="Arial"/>
                <w:kern w:val="2"/>
                <w:highlight w:val="yellow"/>
              </w:rPr>
            </w:pP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D442BD">
            <w:pPr>
              <w:pStyle w:val="Betarp"/>
              <w:rPr>
                <w:rFonts w:ascii="Times New Roman" w:hAnsi="Times New Roman"/>
                <w:sz w:val="24"/>
                <w:szCs w:val="24"/>
                <w:shd w:val="clear" w:color="auto" w:fill="FFFFFF"/>
              </w:rPr>
            </w:pPr>
            <w:r w:rsidRPr="00D442BD">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0F8CC61" w14:textId="77777777" w:rsidR="00D442BD" w:rsidRPr="00D442BD" w:rsidRDefault="001D2457" w:rsidP="00D442BD">
            <w:pPr>
              <w:pStyle w:val="Betarp"/>
              <w:rPr>
                <w:rFonts w:ascii="Times New Roman" w:hAnsi="Times New Roman"/>
                <w:sz w:val="24"/>
                <w:szCs w:val="24"/>
              </w:rPr>
            </w:pPr>
            <w:r w:rsidRPr="00D442BD">
              <w:rPr>
                <w:rFonts w:ascii="Times New Roman" w:hAnsi="Times New Roman"/>
                <w:sz w:val="24"/>
                <w:szCs w:val="24"/>
                <w:shd w:val="clear" w:color="auto" w:fill="FFFFFF"/>
              </w:rPr>
              <w:t>13.1.2. Vykdomas žaliasis pirkimas, vadovaujantis Tvarkos aprašo 4.4.3 papunkčiu, t. y. perkama tik nematerialaus pobūdžio (intelektinė) ar kitokia paslauga, nesusijusi</w:t>
            </w:r>
            <w:r w:rsidRPr="00D442BD">
              <w:rPr>
                <w:rFonts w:ascii="Times New Roman" w:hAnsi="Times New Roman"/>
                <w:sz w:val="24"/>
                <w:szCs w:val="24"/>
              </w:rPr>
              <w:t xml:space="preserve"> su materialaus objekto sukūrimu, kurios teikimo metu nėra numatomas reikšmingas neigiamas poveikis aplinkai, nesukuriamas taršos šaltinis ir negeneruojamos atliekos</w:t>
            </w:r>
            <w:r w:rsidR="00D442BD" w:rsidRPr="00D442BD">
              <w:rPr>
                <w:rFonts w:ascii="Times New Roman" w:hAnsi="Times New Roman"/>
                <w:sz w:val="24"/>
                <w:szCs w:val="24"/>
              </w:rPr>
              <w:t>(dalis pirkimo objekto).</w:t>
            </w:r>
          </w:p>
          <w:p w14:paraId="1AB914E8" w14:textId="56C0758F" w:rsidR="001D2457" w:rsidRPr="00486F9F" w:rsidRDefault="00D442BD" w:rsidP="00486F9F">
            <w:pPr>
              <w:pStyle w:val="Betarp"/>
              <w:rPr>
                <w:rFonts w:ascii="Times New Roman" w:hAnsi="Times New Roman"/>
                <w:sz w:val="24"/>
                <w:szCs w:val="24"/>
              </w:rPr>
            </w:pPr>
            <w:r>
              <w:rPr>
                <w:rFonts w:ascii="Times New Roman" w:hAnsi="Times New Roman"/>
                <w:sz w:val="24"/>
                <w:szCs w:val="24"/>
              </w:rPr>
              <w:lastRenderedPageBreak/>
              <w:t xml:space="preserve">13.1.3. </w:t>
            </w:r>
            <w:r w:rsidRPr="00200E0C">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200E0C">
              <w:rPr>
                <w:rFonts w:ascii="Times New Roman" w:hAnsi="Times New Roman"/>
                <w:sz w:val="24"/>
                <w:szCs w:val="24"/>
                <w:vertAlign w:val="superscript"/>
              </w:rPr>
              <w:footnoteReference w:id="4"/>
            </w:r>
            <w:r w:rsidRPr="00200E0C">
              <w:rPr>
                <w:rFonts w:ascii="Times New Roman" w:hAnsi="Times New Roman"/>
                <w:sz w:val="24"/>
                <w:szCs w:val="24"/>
              </w:rPr>
              <w:t>.</w:t>
            </w:r>
          </w:p>
          <w:p w14:paraId="53C9F569" w14:textId="77777777" w:rsidR="001D2457" w:rsidRPr="00A71A26" w:rsidRDefault="001D2457" w:rsidP="0BE63F34">
            <w:pPr>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0BE63F34">
        <w:trPr>
          <w:trHeight w:val="300"/>
        </w:trPr>
        <w:tc>
          <w:tcPr>
            <w:tcW w:w="3058" w:type="dxa"/>
          </w:tcPr>
          <w:p w14:paraId="136BB968" w14:textId="7E83F829" w:rsidR="001D2457" w:rsidRPr="00C66C7B" w:rsidRDefault="00F716BE" w:rsidP="0BE63F34">
            <w:pPr>
              <w:rPr>
                <w:b/>
                <w:bCs/>
                <w:kern w:val="2"/>
              </w:rPr>
            </w:pPr>
            <w:r>
              <w:rPr>
                <w:b/>
                <w:bCs/>
                <w:kern w:val="2"/>
              </w:rPr>
              <w:t xml:space="preserve">14.1 Sutarties bendrųjų sąlygų </w:t>
            </w:r>
            <w:r w:rsidR="0006105B">
              <w:rPr>
                <w:b/>
                <w:bCs/>
                <w:kern w:val="2"/>
              </w:rPr>
              <w:t>3</w:t>
            </w:r>
            <w:r>
              <w:rPr>
                <w:b/>
                <w:bCs/>
                <w:kern w:val="2"/>
              </w:rPr>
              <w:t xml:space="preserve"> skyrius</w:t>
            </w:r>
            <w:r w:rsidR="0006105B">
              <w:rPr>
                <w:b/>
                <w:bCs/>
                <w:kern w:val="2"/>
              </w:rPr>
              <w:t xml:space="preserve">. </w:t>
            </w:r>
            <w:r>
              <w:rPr>
                <w:b/>
                <w:bCs/>
                <w:kern w:val="2"/>
              </w:rPr>
              <w:t>Tiekėjas ir kiti sutarties vykdymui pasitelkiami asmenys</w:t>
            </w:r>
          </w:p>
        </w:tc>
        <w:tc>
          <w:tcPr>
            <w:tcW w:w="6718" w:type="dxa"/>
            <w:gridSpan w:val="3"/>
          </w:tcPr>
          <w:p w14:paraId="37EFD3A9" w14:textId="76AC77FE" w:rsidR="001D2457" w:rsidRPr="00C66C7B" w:rsidRDefault="001D2457" w:rsidP="001D0B7C">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1D0B7C">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5"/>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1D0B7C">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1D2457">
            <w:pPr>
              <w:widowControl w:val="0"/>
              <w:tabs>
                <w:tab w:val="left" w:pos="606"/>
              </w:tabs>
              <w:suppressAutoHyphens/>
              <w:jc w:val="both"/>
              <w:rPr>
                <w:rFonts w:eastAsia="Cambria"/>
                <w:shd w:val="clear" w:color="auto" w:fill="FFFFFF"/>
              </w:rPr>
            </w:pPr>
          </w:p>
          <w:p w14:paraId="55BD33DA" w14:textId="567B2416" w:rsidR="00BF4EFA" w:rsidRPr="00C66C7B" w:rsidRDefault="00BF4EFA" w:rsidP="00BF4EFA">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1D0B7C">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 xml:space="preserve">3.2.15. Jeigu Tiekėjas pageidauja į Sutarties vykdymą įtraukti papildomus atitinkamo vaidmens specialistus / ekspertus (pvz., į </w:t>
            </w:r>
            <w:r w:rsidRPr="0BE63F34">
              <w:rPr>
                <w:rFonts w:eastAsia="Cambria"/>
              </w:rPr>
              <w:lastRenderedPageBreak/>
              <w:t>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0BE63F34">
        <w:trPr>
          <w:trHeight w:val="300"/>
        </w:trPr>
        <w:tc>
          <w:tcPr>
            <w:tcW w:w="3058" w:type="dxa"/>
          </w:tcPr>
          <w:p w14:paraId="1EC05621" w14:textId="0C05212B" w:rsidR="001D2457" w:rsidRPr="00C66C7B" w:rsidRDefault="00F716BE" w:rsidP="0BE63F34">
            <w:pPr>
              <w:rPr>
                <w:b/>
                <w:bCs/>
                <w:kern w:val="2"/>
              </w:rPr>
            </w:pPr>
            <w:r>
              <w:rPr>
                <w:b/>
                <w:bCs/>
                <w:kern w:val="2"/>
              </w:rPr>
              <w:lastRenderedPageBreak/>
              <w:t xml:space="preserve">14.2. Sutarties bendrųjų sąlygų </w:t>
            </w:r>
            <w:r w:rsidR="0006105B">
              <w:rPr>
                <w:b/>
                <w:bCs/>
                <w:kern w:val="2"/>
              </w:rPr>
              <w:t xml:space="preserve">6 </w:t>
            </w:r>
            <w:r>
              <w:rPr>
                <w:b/>
                <w:bCs/>
                <w:kern w:val="2"/>
              </w:rPr>
              <w:t>skyrius. P</w:t>
            </w:r>
            <w:r w:rsidRPr="0BE63F34">
              <w:rPr>
                <w:b/>
                <w:bCs/>
                <w:kern w:val="2"/>
              </w:rPr>
              <w:t>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1D0B7C">
            <w:pPr>
              <w:widowControl w:val="0"/>
              <w:tabs>
                <w:tab w:val="left" w:pos="606"/>
              </w:tabs>
              <w:suppressAutoHyphens/>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1D0B7C">
            <w:pPr>
              <w:widowControl w:val="0"/>
              <w:tabs>
                <w:tab w:val="left" w:pos="606"/>
              </w:tabs>
              <w:suppressAutoHyphens/>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C66C7B" w14:paraId="39FA510C" w14:textId="77777777" w:rsidTr="0BE63F34">
        <w:trPr>
          <w:trHeight w:val="300"/>
        </w:trPr>
        <w:tc>
          <w:tcPr>
            <w:tcW w:w="3058" w:type="dxa"/>
          </w:tcPr>
          <w:p w14:paraId="0FD80FEA" w14:textId="09BDAD4F" w:rsidR="001D2457" w:rsidRPr="00C66C7B" w:rsidRDefault="00F716BE" w:rsidP="0BE63F34">
            <w:pPr>
              <w:rPr>
                <w:b/>
                <w:bCs/>
                <w:kern w:val="2"/>
              </w:rPr>
            </w:pPr>
            <w:r>
              <w:rPr>
                <w:b/>
                <w:bCs/>
                <w:kern w:val="2"/>
              </w:rPr>
              <w:t xml:space="preserve">14.3. Sutarties bendrųjų sąlygų </w:t>
            </w:r>
            <w:r w:rsidR="00C65A65">
              <w:rPr>
                <w:b/>
                <w:bCs/>
                <w:kern w:val="2"/>
              </w:rPr>
              <w:t>8</w:t>
            </w:r>
            <w:r>
              <w:rPr>
                <w:b/>
                <w:bCs/>
                <w:kern w:val="2"/>
              </w:rPr>
              <w:t xml:space="preserve"> skyrius</w:t>
            </w:r>
            <w:r w:rsidR="00C65A65">
              <w:rPr>
                <w:b/>
                <w:bCs/>
                <w:kern w:val="2"/>
              </w:rPr>
              <w:t xml:space="preserve">. </w:t>
            </w:r>
            <w:r>
              <w:rPr>
                <w:b/>
                <w:bCs/>
                <w:kern w:val="2"/>
              </w:rPr>
              <w:t>Paslaugų suteikimo terminai</w:t>
            </w:r>
          </w:p>
        </w:tc>
        <w:tc>
          <w:tcPr>
            <w:tcW w:w="6718" w:type="dxa"/>
            <w:gridSpan w:val="3"/>
          </w:tcPr>
          <w:p w14:paraId="10D1F471" w14:textId="2E17C5E9" w:rsidR="007D4DD9" w:rsidRPr="00C66C7B" w:rsidRDefault="007D4DD9" w:rsidP="001D0B7C">
            <w:r w:rsidRPr="0BE63F34">
              <w:rPr>
                <w:kern w:val="2"/>
              </w:rPr>
              <w:t>Šalys susitaria pakeisti nurodyt</w:t>
            </w:r>
            <w:r w:rsidR="0020013D" w:rsidRPr="0BE63F34">
              <w:rPr>
                <w:kern w:val="2"/>
              </w:rPr>
              <w:t>ą</w:t>
            </w:r>
            <w:r w:rsidRPr="0BE63F34">
              <w:rPr>
                <w:kern w:val="2"/>
              </w:rPr>
              <w:t xml:space="preserve"> Sutarties Bendrųjų sąlygų punkt</w:t>
            </w:r>
            <w:r w:rsidR="0020013D" w:rsidRPr="0BE63F34">
              <w:rPr>
                <w:kern w:val="2"/>
              </w:rPr>
              <w:t>ą</w:t>
            </w:r>
            <w:r w:rsidRPr="0BE63F34">
              <w:rPr>
                <w:kern w:val="2"/>
              </w:rPr>
              <w:t xml:space="preserve"> ir išdėstyti j</w:t>
            </w:r>
            <w:r w:rsidR="0020013D" w:rsidRPr="0BE63F34">
              <w:rPr>
                <w:kern w:val="2"/>
              </w:rPr>
              <w:t>į</w:t>
            </w:r>
            <w:r w:rsidRPr="0BE63F34">
              <w:rPr>
                <w:kern w:val="2"/>
              </w:rPr>
              <w:t xml:space="preserve"> nauja redakcija:</w:t>
            </w:r>
          </w:p>
          <w:p w14:paraId="0632F1E9" w14:textId="202F7E77" w:rsidR="001D2457" w:rsidRPr="00C66C7B" w:rsidRDefault="001D2457" w:rsidP="001D0B7C">
            <w:pPr>
              <w:widowControl w:val="0"/>
              <w:tabs>
                <w:tab w:val="left" w:pos="567"/>
                <w:tab w:val="left" w:pos="851"/>
                <w:tab w:val="left" w:pos="992"/>
                <w:tab w:val="left" w:pos="1134"/>
              </w:tabs>
              <w:rPr>
                <w:rFonts w:eastAsia="Arial"/>
              </w:rPr>
            </w:pPr>
            <w:r w:rsidRPr="0BE63F34">
              <w:rPr>
                <w:kern w:val="2"/>
              </w:rPr>
              <w:t>8.1.2. Tiekėjas</w:t>
            </w:r>
            <w:r w:rsidRPr="00C66C7B">
              <w:rPr>
                <w:rFonts w:eastAsia="Arial"/>
              </w:rPr>
              <w:t xml:space="preserve"> privalo </w:t>
            </w:r>
            <w:r w:rsidR="0032517A">
              <w:rPr>
                <w:rFonts w:eastAsia="Arial"/>
              </w:rPr>
              <w:t>n</w:t>
            </w:r>
            <w:r w:rsidR="00A40FB0" w:rsidRPr="0074414F">
              <w:rPr>
                <w:szCs w:val="24"/>
              </w:rPr>
              <w:t>e vėliau kaip per 5 d. d. nuo kvalifikacijos tobulinimo programos akreditavimo dienos ar kitu abipusiu susitarimu (el. paštu) nustatytu terminu</w:t>
            </w:r>
            <w:r w:rsidR="00A40FB0" w:rsidRPr="00C66C7B">
              <w:rPr>
                <w:rFonts w:eastAsia="Arial"/>
              </w:rPr>
              <w:t xml:space="preserve"> </w:t>
            </w:r>
            <w:r w:rsidR="00176B2B">
              <w:rPr>
                <w:rFonts w:eastAsia="Arial"/>
              </w:rPr>
              <w:t xml:space="preserve">pateikti </w:t>
            </w:r>
            <w:r w:rsidRPr="00C66C7B">
              <w:rPr>
                <w:rFonts w:eastAsia="Arial"/>
              </w:rPr>
              <w:t>derinti Pirkėju</w:t>
            </w:r>
            <w:r w:rsidR="00176B2B">
              <w:rPr>
                <w:rFonts w:eastAsia="Arial"/>
              </w:rPr>
              <w:t>i</w:t>
            </w:r>
            <w:r w:rsidRPr="00C66C7B">
              <w:rPr>
                <w:rFonts w:eastAsia="Arial"/>
              </w:rPr>
              <w:t xml:space="preserve"> </w:t>
            </w:r>
            <w:r w:rsidR="0032517A" w:rsidRPr="0074414F">
              <w:rPr>
                <w:szCs w:val="24"/>
              </w:rPr>
              <w:t>mokymų grafiką</w:t>
            </w:r>
            <w:r w:rsidR="00C65A65">
              <w:rPr>
                <w:szCs w:val="24"/>
              </w:rPr>
              <w:t xml:space="preserve"> </w:t>
            </w:r>
            <w:r w:rsidR="00C65A65" w:rsidRPr="7D9E6E81">
              <w:rPr>
                <w:rFonts w:eastAsia="Arial"/>
              </w:rPr>
              <w:t xml:space="preserve">(toliau – </w:t>
            </w:r>
            <w:r w:rsidR="00C65A65" w:rsidRPr="00083CBF">
              <w:rPr>
                <w:rFonts w:eastAsia="Arial"/>
              </w:rPr>
              <w:t>Grafikas</w:t>
            </w:r>
            <w:r w:rsidR="00C65A65" w:rsidRPr="7D9E6E81">
              <w:rPr>
                <w:rFonts w:eastAsia="Arial"/>
              </w:rPr>
              <w:t>).</w:t>
            </w:r>
          </w:p>
          <w:p w14:paraId="6EE74977" w14:textId="6EA11021" w:rsidR="001D2457" w:rsidRPr="00C66C7B" w:rsidRDefault="001D2457" w:rsidP="001D0B7C">
            <w:pPr>
              <w:widowControl w:val="0"/>
              <w:tabs>
                <w:tab w:val="left" w:pos="606"/>
              </w:tabs>
              <w:suppressAutoHyphens/>
              <w:rPr>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058747A9" w:rsidR="001D2457" w:rsidRPr="00A71A26" w:rsidRDefault="00CC667C" w:rsidP="0BE63F34">
            <w:pPr>
              <w:jc w:val="center"/>
              <w:rPr>
                <w:b/>
                <w:bCs/>
                <w:kern w:val="2"/>
              </w:rPr>
            </w:pPr>
            <w:r>
              <w:rPr>
                <w:b/>
                <w:bCs/>
                <w:kern w:val="2"/>
              </w:rPr>
              <w:t>15.3. Priedas N. 3</w:t>
            </w:r>
          </w:p>
        </w:tc>
        <w:tc>
          <w:tcPr>
            <w:tcW w:w="6718" w:type="dxa"/>
            <w:gridSpan w:val="3"/>
          </w:tcPr>
          <w:p w14:paraId="6B38B575" w14:textId="77777777" w:rsidR="001D2457" w:rsidRPr="00381CF7" w:rsidRDefault="00CC667C" w:rsidP="0BE63F34">
            <w:pPr>
              <w:pStyle w:val="Other0"/>
              <w:tabs>
                <w:tab w:val="left" w:pos="1214"/>
              </w:tabs>
              <w:spacing w:line="240" w:lineRule="auto"/>
              <w:rPr>
                <w:rStyle w:val="Other"/>
                <w:color w:val="auto"/>
              </w:rPr>
            </w:pPr>
            <w:r w:rsidRPr="00381CF7">
              <w:rPr>
                <w:rStyle w:val="Other"/>
                <w:color w:val="auto"/>
              </w:rPr>
              <w:t>Susitarimas dėl asmens duomenų tvarkymo</w:t>
            </w:r>
          </w:p>
          <w:p w14:paraId="350F0072" w14:textId="0D80B95E" w:rsidR="00CC667C" w:rsidRPr="00A71A26" w:rsidRDefault="00CC667C"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6E5D" w14:textId="77777777" w:rsidR="00794183" w:rsidRDefault="00794183">
      <w:pPr>
        <w:rPr>
          <w:sz w:val="20"/>
        </w:rPr>
      </w:pPr>
      <w:r>
        <w:rPr>
          <w:sz w:val="20"/>
        </w:rPr>
        <w:separator/>
      </w:r>
    </w:p>
  </w:endnote>
  <w:endnote w:type="continuationSeparator" w:id="0">
    <w:p w14:paraId="433A5726" w14:textId="77777777" w:rsidR="00794183" w:rsidRDefault="00794183">
      <w:pPr>
        <w:rPr>
          <w:sz w:val="20"/>
        </w:rPr>
      </w:pPr>
      <w:r>
        <w:rPr>
          <w:sz w:val="20"/>
        </w:rPr>
        <w:continuationSeparator/>
      </w:r>
    </w:p>
  </w:endnote>
  <w:endnote w:type="continuationNotice" w:id="1">
    <w:p w14:paraId="72B33A76" w14:textId="77777777" w:rsidR="00794183" w:rsidRDefault="00794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8A49" w14:textId="77777777" w:rsidR="00794183" w:rsidRDefault="00794183">
      <w:pPr>
        <w:rPr>
          <w:sz w:val="20"/>
        </w:rPr>
      </w:pPr>
      <w:r>
        <w:rPr>
          <w:sz w:val="20"/>
        </w:rPr>
        <w:separator/>
      </w:r>
    </w:p>
  </w:footnote>
  <w:footnote w:type="continuationSeparator" w:id="0">
    <w:p w14:paraId="1E948396" w14:textId="77777777" w:rsidR="00794183" w:rsidRDefault="00794183">
      <w:pPr>
        <w:rPr>
          <w:sz w:val="20"/>
        </w:rPr>
      </w:pPr>
      <w:r>
        <w:rPr>
          <w:sz w:val="20"/>
        </w:rPr>
        <w:continuationSeparator/>
      </w:r>
    </w:p>
  </w:footnote>
  <w:footnote w:type="continuationNotice" w:id="1">
    <w:p w14:paraId="13A2F3A6" w14:textId="77777777" w:rsidR="00794183" w:rsidRDefault="00794183"/>
  </w:footnote>
  <w:footnote w:id="2">
    <w:p w14:paraId="5D7268AE" w14:textId="2A505775" w:rsidR="00A312E3" w:rsidRDefault="00A312E3">
      <w:pPr>
        <w:pStyle w:val="Puslapioinaostekstas"/>
      </w:pPr>
      <w:r>
        <w:rPr>
          <w:rStyle w:val="Puslapioinaosnuoroda"/>
        </w:rPr>
        <w:footnoteRef/>
      </w:r>
      <w:r>
        <w:t xml:space="preserve"> Apie </w:t>
      </w:r>
      <w:r w:rsidR="00035C01">
        <w:t>2</w:t>
      </w:r>
      <w:r>
        <w:t>0 proc.</w:t>
      </w:r>
    </w:p>
  </w:footnote>
  <w:footnote w:id="3">
    <w:p w14:paraId="0B6DD607" w14:textId="5872B2AB" w:rsidR="000B26D3" w:rsidRDefault="000B26D3" w:rsidP="000B26D3">
      <w:pPr>
        <w:pStyle w:val="Puslapioinaostekstas"/>
      </w:pPr>
      <w:r>
        <w:rPr>
          <w:rStyle w:val="Puslapioinaosnuoroda"/>
        </w:rPr>
        <w:footnoteRef/>
      </w:r>
      <w:r>
        <w:t xml:space="preserve"> </w:t>
      </w:r>
      <w:r w:rsidR="007B6C3E">
        <w:t xml:space="preserve">I ir II pirkimo objekto dalys: </w:t>
      </w:r>
      <w:r w:rsidR="009134C6">
        <w:t xml:space="preserve">darbo su mokiniais ir </w:t>
      </w:r>
      <w:r w:rsidR="003661AD">
        <w:t>papildoma mokymų vedimo patirtis</w:t>
      </w:r>
      <w:r w:rsidR="00C61B0E">
        <w:t>.</w:t>
      </w:r>
    </w:p>
  </w:footnote>
  <w:footnote w:id="4">
    <w:p w14:paraId="1BF35407" w14:textId="77777777" w:rsidR="00D442BD" w:rsidRPr="006142C1" w:rsidRDefault="00D442BD" w:rsidP="00D442BD">
      <w:pPr>
        <w:jc w:val="both"/>
        <w:textAlignment w:val="baseline"/>
      </w:pPr>
      <w:r>
        <w:rPr>
          <w:rStyle w:val="Puslapioinaosnuoroda"/>
        </w:rPr>
        <w:footnoteRef/>
      </w:r>
      <w:r>
        <w:t xml:space="preserve"> </w:t>
      </w:r>
      <w:r w:rsidRPr="006142C1">
        <w:t>gaminys turi būti pagamintas iš 100 proc. perdirbto popieriaus (naudoto popieriaus ir (ar) gamybos atliekų) plaušų arba ne mažiau kaip 30 proc. pirminės medienos plaušų, gautų iš miškų, sertifikuotų naudojant </w:t>
      </w:r>
      <w:r w:rsidRPr="006142C1">
        <w:rPr>
          <w:i/>
          <w:iCs/>
        </w:rPr>
        <w:t>Forest Stewardship Council</w:t>
      </w:r>
      <w:r w:rsidRPr="006142C1">
        <w:t> (toliau – FSC) ar Miškų sertifikavimo sistemų pripažinimo programą (angl. </w:t>
      </w:r>
      <w:r w:rsidRPr="006142C1">
        <w:rPr>
          <w:i/>
          <w:iCs/>
        </w:rPr>
        <w:t>Programme for the Endorsement of Forest Certification schemes</w:t>
      </w:r>
      <w:r w:rsidRPr="006142C1">
        <w:t> (toliau – PEFC) arba lygiavertes miškų sertifikavimo sistemas, kita dalis – iš perdirbto popieriaus plaušų;</w:t>
      </w:r>
    </w:p>
    <w:p w14:paraId="60EB4A16" w14:textId="77777777" w:rsidR="00D442BD" w:rsidRPr="006142C1" w:rsidRDefault="00D442BD" w:rsidP="00D442BD">
      <w:pPr>
        <w:jc w:val="both"/>
        <w:textAlignment w:val="baseline"/>
      </w:pPr>
      <w:r w:rsidRPr="006142C1">
        <w:rPr>
          <w:shd w:val="clear" w:color="auto" w:fill="FFFFFF"/>
        </w:rPr>
        <w:t>gaminys turi būti nebalintas arba balintas nenaudojant chloro dujų.</w:t>
      </w:r>
    </w:p>
    <w:p w14:paraId="3D861B03" w14:textId="77777777" w:rsidR="00D442BD" w:rsidRPr="006142C1" w:rsidRDefault="00D442BD" w:rsidP="00D442BD">
      <w:pPr>
        <w:pStyle w:val="Puslapioinaostekstas"/>
      </w:pPr>
    </w:p>
  </w:footnote>
  <w:footnote w:id="5">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8"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1"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6"/>
  </w:num>
  <w:num w:numId="2" w16cid:durableId="1296642641">
    <w:abstractNumId w:val="1"/>
  </w:num>
  <w:num w:numId="3" w16cid:durableId="1542204254">
    <w:abstractNumId w:val="4"/>
  </w:num>
  <w:num w:numId="4" w16cid:durableId="642466208">
    <w:abstractNumId w:val="12"/>
  </w:num>
  <w:num w:numId="5" w16cid:durableId="1107694269">
    <w:abstractNumId w:val="8"/>
  </w:num>
  <w:num w:numId="6" w16cid:durableId="790129186">
    <w:abstractNumId w:val="10"/>
  </w:num>
  <w:num w:numId="7" w16cid:durableId="582758302">
    <w:abstractNumId w:val="2"/>
  </w:num>
  <w:num w:numId="8" w16cid:durableId="1212116578">
    <w:abstractNumId w:val="13"/>
  </w:num>
  <w:num w:numId="9" w16cid:durableId="1177501250">
    <w:abstractNumId w:val="6"/>
  </w:num>
  <w:num w:numId="10" w16cid:durableId="1447892788">
    <w:abstractNumId w:val="3"/>
  </w:num>
  <w:num w:numId="11" w16cid:durableId="1066953275">
    <w:abstractNumId w:val="5"/>
  </w:num>
  <w:num w:numId="12" w16cid:durableId="1321537361">
    <w:abstractNumId w:val="14"/>
  </w:num>
  <w:num w:numId="13" w16cid:durableId="552809657">
    <w:abstractNumId w:val="0"/>
  </w:num>
  <w:num w:numId="14" w16cid:durableId="1636525176">
    <w:abstractNumId w:val="11"/>
  </w:num>
  <w:num w:numId="15" w16cid:durableId="500195065">
    <w:abstractNumId w:val="9"/>
  </w:num>
  <w:num w:numId="16" w16cid:durableId="832259911">
    <w:abstractNumId w:val="7"/>
  </w:num>
  <w:num w:numId="17" w16cid:durableId="772827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49E8"/>
    <w:rsid w:val="00015231"/>
    <w:rsid w:val="00016FBE"/>
    <w:rsid w:val="000229DD"/>
    <w:rsid w:val="0002356F"/>
    <w:rsid w:val="00024951"/>
    <w:rsid w:val="00027B83"/>
    <w:rsid w:val="000346FF"/>
    <w:rsid w:val="00035C01"/>
    <w:rsid w:val="00043741"/>
    <w:rsid w:val="0004376E"/>
    <w:rsid w:val="00047C4C"/>
    <w:rsid w:val="00054D3D"/>
    <w:rsid w:val="00056387"/>
    <w:rsid w:val="0005649F"/>
    <w:rsid w:val="00057ADC"/>
    <w:rsid w:val="0006105B"/>
    <w:rsid w:val="000645C3"/>
    <w:rsid w:val="00070D70"/>
    <w:rsid w:val="00074F88"/>
    <w:rsid w:val="00075126"/>
    <w:rsid w:val="00075A34"/>
    <w:rsid w:val="00075F94"/>
    <w:rsid w:val="000805D3"/>
    <w:rsid w:val="00083CBF"/>
    <w:rsid w:val="00084729"/>
    <w:rsid w:val="00091A39"/>
    <w:rsid w:val="000945C8"/>
    <w:rsid w:val="00097DE5"/>
    <w:rsid w:val="000B0897"/>
    <w:rsid w:val="000B16DA"/>
    <w:rsid w:val="000B25D1"/>
    <w:rsid w:val="000B26D3"/>
    <w:rsid w:val="000B3E38"/>
    <w:rsid w:val="000B4CFD"/>
    <w:rsid w:val="000C024C"/>
    <w:rsid w:val="000C55FF"/>
    <w:rsid w:val="000C66DE"/>
    <w:rsid w:val="000D0B2C"/>
    <w:rsid w:val="000D394C"/>
    <w:rsid w:val="000F1552"/>
    <w:rsid w:val="000F1940"/>
    <w:rsid w:val="000F6C9D"/>
    <w:rsid w:val="0010100D"/>
    <w:rsid w:val="00107999"/>
    <w:rsid w:val="00110BEE"/>
    <w:rsid w:val="00122489"/>
    <w:rsid w:val="00125E89"/>
    <w:rsid w:val="001279C8"/>
    <w:rsid w:val="00127BF7"/>
    <w:rsid w:val="00131920"/>
    <w:rsid w:val="001333B3"/>
    <w:rsid w:val="00134292"/>
    <w:rsid w:val="00145793"/>
    <w:rsid w:val="00152023"/>
    <w:rsid w:val="001617F1"/>
    <w:rsid w:val="0016368B"/>
    <w:rsid w:val="00167A02"/>
    <w:rsid w:val="00167A1B"/>
    <w:rsid w:val="00171A91"/>
    <w:rsid w:val="00172B9D"/>
    <w:rsid w:val="00176B17"/>
    <w:rsid w:val="00176B2B"/>
    <w:rsid w:val="001830D7"/>
    <w:rsid w:val="00184A0B"/>
    <w:rsid w:val="00190C84"/>
    <w:rsid w:val="00192B3A"/>
    <w:rsid w:val="001A05D0"/>
    <w:rsid w:val="001A0CAA"/>
    <w:rsid w:val="001B42AB"/>
    <w:rsid w:val="001B48EF"/>
    <w:rsid w:val="001C3C18"/>
    <w:rsid w:val="001C46A3"/>
    <w:rsid w:val="001C633F"/>
    <w:rsid w:val="001D0B7C"/>
    <w:rsid w:val="001D2457"/>
    <w:rsid w:val="001E1812"/>
    <w:rsid w:val="001E1C8E"/>
    <w:rsid w:val="001E638B"/>
    <w:rsid w:val="001F3C26"/>
    <w:rsid w:val="0020013D"/>
    <w:rsid w:val="00200ED2"/>
    <w:rsid w:val="002032C5"/>
    <w:rsid w:val="00203EB6"/>
    <w:rsid w:val="00207A58"/>
    <w:rsid w:val="00210495"/>
    <w:rsid w:val="00222C50"/>
    <w:rsid w:val="0023269F"/>
    <w:rsid w:val="00240AD9"/>
    <w:rsid w:val="00245C10"/>
    <w:rsid w:val="00246307"/>
    <w:rsid w:val="002476C3"/>
    <w:rsid w:val="00254426"/>
    <w:rsid w:val="002622AA"/>
    <w:rsid w:val="00273231"/>
    <w:rsid w:val="0028193C"/>
    <w:rsid w:val="002849F2"/>
    <w:rsid w:val="00287457"/>
    <w:rsid w:val="00287580"/>
    <w:rsid w:val="00291792"/>
    <w:rsid w:val="00292018"/>
    <w:rsid w:val="00296133"/>
    <w:rsid w:val="00297651"/>
    <w:rsid w:val="002976D6"/>
    <w:rsid w:val="002A4249"/>
    <w:rsid w:val="002A5D21"/>
    <w:rsid w:val="002B2E04"/>
    <w:rsid w:val="002B7CEA"/>
    <w:rsid w:val="002C0B74"/>
    <w:rsid w:val="002C1FBC"/>
    <w:rsid w:val="002C372B"/>
    <w:rsid w:val="002C4739"/>
    <w:rsid w:val="002D05B0"/>
    <w:rsid w:val="002D0781"/>
    <w:rsid w:val="002D2342"/>
    <w:rsid w:val="002D24CB"/>
    <w:rsid w:val="002D269C"/>
    <w:rsid w:val="002D6A28"/>
    <w:rsid w:val="002E581A"/>
    <w:rsid w:val="002F08FB"/>
    <w:rsid w:val="002F28BB"/>
    <w:rsid w:val="0030481A"/>
    <w:rsid w:val="00311249"/>
    <w:rsid w:val="00311570"/>
    <w:rsid w:val="003128A7"/>
    <w:rsid w:val="00316064"/>
    <w:rsid w:val="00316CF4"/>
    <w:rsid w:val="00320447"/>
    <w:rsid w:val="00324CC9"/>
    <w:rsid w:val="0032517A"/>
    <w:rsid w:val="003269DF"/>
    <w:rsid w:val="003308C7"/>
    <w:rsid w:val="0033184E"/>
    <w:rsid w:val="003320F4"/>
    <w:rsid w:val="0033395D"/>
    <w:rsid w:val="00341EE3"/>
    <w:rsid w:val="00343ECF"/>
    <w:rsid w:val="00352F52"/>
    <w:rsid w:val="00356C2C"/>
    <w:rsid w:val="00363E09"/>
    <w:rsid w:val="00365C62"/>
    <w:rsid w:val="003661AD"/>
    <w:rsid w:val="0036671A"/>
    <w:rsid w:val="0037190E"/>
    <w:rsid w:val="00372984"/>
    <w:rsid w:val="00381CF7"/>
    <w:rsid w:val="00385586"/>
    <w:rsid w:val="003A6315"/>
    <w:rsid w:val="003C3447"/>
    <w:rsid w:val="003C645D"/>
    <w:rsid w:val="003D2AB6"/>
    <w:rsid w:val="003D3B67"/>
    <w:rsid w:val="003F01E8"/>
    <w:rsid w:val="003F1881"/>
    <w:rsid w:val="003F2225"/>
    <w:rsid w:val="003F2B76"/>
    <w:rsid w:val="00400166"/>
    <w:rsid w:val="0040683B"/>
    <w:rsid w:val="0040694B"/>
    <w:rsid w:val="004119D4"/>
    <w:rsid w:val="00416638"/>
    <w:rsid w:val="004243DB"/>
    <w:rsid w:val="00432E9E"/>
    <w:rsid w:val="004353A9"/>
    <w:rsid w:val="00440D6E"/>
    <w:rsid w:val="00442EF7"/>
    <w:rsid w:val="00446870"/>
    <w:rsid w:val="00450437"/>
    <w:rsid w:val="00450DFB"/>
    <w:rsid w:val="00452821"/>
    <w:rsid w:val="00455D1B"/>
    <w:rsid w:val="004603CC"/>
    <w:rsid w:val="0046305B"/>
    <w:rsid w:val="00467FC7"/>
    <w:rsid w:val="00470D1D"/>
    <w:rsid w:val="0047210B"/>
    <w:rsid w:val="00473135"/>
    <w:rsid w:val="004763BF"/>
    <w:rsid w:val="00486F9F"/>
    <w:rsid w:val="004876EF"/>
    <w:rsid w:val="004923FB"/>
    <w:rsid w:val="00495BB9"/>
    <w:rsid w:val="004A4481"/>
    <w:rsid w:val="004A5A1E"/>
    <w:rsid w:val="004A778C"/>
    <w:rsid w:val="004B4F09"/>
    <w:rsid w:val="004C0609"/>
    <w:rsid w:val="004C0687"/>
    <w:rsid w:val="004C49BC"/>
    <w:rsid w:val="004C7EE3"/>
    <w:rsid w:val="004D7B92"/>
    <w:rsid w:val="004E0E34"/>
    <w:rsid w:val="004F1DC5"/>
    <w:rsid w:val="004F2E3B"/>
    <w:rsid w:val="0050648E"/>
    <w:rsid w:val="00507B2E"/>
    <w:rsid w:val="005124C3"/>
    <w:rsid w:val="00512A6D"/>
    <w:rsid w:val="00514311"/>
    <w:rsid w:val="005150CE"/>
    <w:rsid w:val="00521181"/>
    <w:rsid w:val="00523080"/>
    <w:rsid w:val="00523E07"/>
    <w:rsid w:val="005245FF"/>
    <w:rsid w:val="00533863"/>
    <w:rsid w:val="00534E85"/>
    <w:rsid w:val="005377B4"/>
    <w:rsid w:val="00555FD3"/>
    <w:rsid w:val="00572063"/>
    <w:rsid w:val="005744CF"/>
    <w:rsid w:val="00574530"/>
    <w:rsid w:val="005755CD"/>
    <w:rsid w:val="00577558"/>
    <w:rsid w:val="00582E0A"/>
    <w:rsid w:val="005900AF"/>
    <w:rsid w:val="00597743"/>
    <w:rsid w:val="005A0403"/>
    <w:rsid w:val="005A1227"/>
    <w:rsid w:val="005A5773"/>
    <w:rsid w:val="005A6286"/>
    <w:rsid w:val="005B0D0E"/>
    <w:rsid w:val="005B1F88"/>
    <w:rsid w:val="005B38D0"/>
    <w:rsid w:val="005C1722"/>
    <w:rsid w:val="005C39B8"/>
    <w:rsid w:val="005C39EF"/>
    <w:rsid w:val="005C5EBD"/>
    <w:rsid w:val="005C78BF"/>
    <w:rsid w:val="005D06FA"/>
    <w:rsid w:val="005D0E89"/>
    <w:rsid w:val="005D189D"/>
    <w:rsid w:val="005D6725"/>
    <w:rsid w:val="005D73D4"/>
    <w:rsid w:val="005D7E88"/>
    <w:rsid w:val="005E5A31"/>
    <w:rsid w:val="005E5FC8"/>
    <w:rsid w:val="005E7E63"/>
    <w:rsid w:val="005F50CE"/>
    <w:rsid w:val="00604D77"/>
    <w:rsid w:val="00615599"/>
    <w:rsid w:val="006160D5"/>
    <w:rsid w:val="00616CFA"/>
    <w:rsid w:val="00621AF7"/>
    <w:rsid w:val="006231A4"/>
    <w:rsid w:val="00626AAE"/>
    <w:rsid w:val="006312EF"/>
    <w:rsid w:val="006343A6"/>
    <w:rsid w:val="00640039"/>
    <w:rsid w:val="006438FE"/>
    <w:rsid w:val="00643E80"/>
    <w:rsid w:val="00645D10"/>
    <w:rsid w:val="00646DCF"/>
    <w:rsid w:val="00647472"/>
    <w:rsid w:val="0065188F"/>
    <w:rsid w:val="006529EC"/>
    <w:rsid w:val="00667C2D"/>
    <w:rsid w:val="00681299"/>
    <w:rsid w:val="00681C71"/>
    <w:rsid w:val="00686264"/>
    <w:rsid w:val="00691A2F"/>
    <w:rsid w:val="00694E91"/>
    <w:rsid w:val="006A0296"/>
    <w:rsid w:val="006A5183"/>
    <w:rsid w:val="006B6622"/>
    <w:rsid w:val="006C0837"/>
    <w:rsid w:val="006C29BE"/>
    <w:rsid w:val="006C5121"/>
    <w:rsid w:val="006D0DAB"/>
    <w:rsid w:val="006D1906"/>
    <w:rsid w:val="006D3A46"/>
    <w:rsid w:val="006D76CB"/>
    <w:rsid w:val="006E522A"/>
    <w:rsid w:val="006F05E2"/>
    <w:rsid w:val="006F3FC7"/>
    <w:rsid w:val="006F66DF"/>
    <w:rsid w:val="00712CBE"/>
    <w:rsid w:val="007162C1"/>
    <w:rsid w:val="007203D4"/>
    <w:rsid w:val="0072331E"/>
    <w:rsid w:val="00723B78"/>
    <w:rsid w:val="00724745"/>
    <w:rsid w:val="007262CC"/>
    <w:rsid w:val="0073347F"/>
    <w:rsid w:val="00736A56"/>
    <w:rsid w:val="00740B5C"/>
    <w:rsid w:val="00743531"/>
    <w:rsid w:val="00752BC2"/>
    <w:rsid w:val="007548F8"/>
    <w:rsid w:val="007617F8"/>
    <w:rsid w:val="00763F1B"/>
    <w:rsid w:val="00764A0A"/>
    <w:rsid w:val="00766F73"/>
    <w:rsid w:val="00774B5F"/>
    <w:rsid w:val="00780647"/>
    <w:rsid w:val="00790559"/>
    <w:rsid w:val="00794183"/>
    <w:rsid w:val="007A04D5"/>
    <w:rsid w:val="007A5CED"/>
    <w:rsid w:val="007B1106"/>
    <w:rsid w:val="007B6C3E"/>
    <w:rsid w:val="007C34A7"/>
    <w:rsid w:val="007D4DD9"/>
    <w:rsid w:val="007E4FD0"/>
    <w:rsid w:val="007F0092"/>
    <w:rsid w:val="007F0CA2"/>
    <w:rsid w:val="007F4134"/>
    <w:rsid w:val="007F5388"/>
    <w:rsid w:val="007F5CC0"/>
    <w:rsid w:val="008017F4"/>
    <w:rsid w:val="00801D69"/>
    <w:rsid w:val="00802D44"/>
    <w:rsid w:val="008104D0"/>
    <w:rsid w:val="00812613"/>
    <w:rsid w:val="00815C35"/>
    <w:rsid w:val="00815D0B"/>
    <w:rsid w:val="0082560B"/>
    <w:rsid w:val="0082603D"/>
    <w:rsid w:val="0083202D"/>
    <w:rsid w:val="00833DD8"/>
    <w:rsid w:val="00847198"/>
    <w:rsid w:val="00856418"/>
    <w:rsid w:val="0086470F"/>
    <w:rsid w:val="00872267"/>
    <w:rsid w:val="0087742D"/>
    <w:rsid w:val="008840C1"/>
    <w:rsid w:val="00893473"/>
    <w:rsid w:val="00894FE0"/>
    <w:rsid w:val="008958DB"/>
    <w:rsid w:val="00896C8C"/>
    <w:rsid w:val="0089733D"/>
    <w:rsid w:val="008A2CC8"/>
    <w:rsid w:val="008A4EF6"/>
    <w:rsid w:val="008A5555"/>
    <w:rsid w:val="008B2DB2"/>
    <w:rsid w:val="008C2F2E"/>
    <w:rsid w:val="008C658E"/>
    <w:rsid w:val="008D0FC5"/>
    <w:rsid w:val="008D3A47"/>
    <w:rsid w:val="008E7C10"/>
    <w:rsid w:val="008F08ED"/>
    <w:rsid w:val="008F0DED"/>
    <w:rsid w:val="008F1931"/>
    <w:rsid w:val="008F6FA9"/>
    <w:rsid w:val="008F73B5"/>
    <w:rsid w:val="00902778"/>
    <w:rsid w:val="009031F7"/>
    <w:rsid w:val="009033DD"/>
    <w:rsid w:val="00904C97"/>
    <w:rsid w:val="009134C6"/>
    <w:rsid w:val="0092029E"/>
    <w:rsid w:val="00924CAA"/>
    <w:rsid w:val="00926B54"/>
    <w:rsid w:val="00933B40"/>
    <w:rsid w:val="00941D93"/>
    <w:rsid w:val="00946F61"/>
    <w:rsid w:val="0095031A"/>
    <w:rsid w:val="00950CFC"/>
    <w:rsid w:val="00953389"/>
    <w:rsid w:val="00954FF2"/>
    <w:rsid w:val="009574AF"/>
    <w:rsid w:val="00960CEB"/>
    <w:rsid w:val="0097023B"/>
    <w:rsid w:val="009728BC"/>
    <w:rsid w:val="0098493E"/>
    <w:rsid w:val="009916E2"/>
    <w:rsid w:val="0099170D"/>
    <w:rsid w:val="009945F1"/>
    <w:rsid w:val="00994725"/>
    <w:rsid w:val="00996C23"/>
    <w:rsid w:val="009B3DA7"/>
    <w:rsid w:val="009B42CC"/>
    <w:rsid w:val="009B4A9B"/>
    <w:rsid w:val="009B4BB1"/>
    <w:rsid w:val="009B6962"/>
    <w:rsid w:val="009C4D99"/>
    <w:rsid w:val="009D1380"/>
    <w:rsid w:val="009D51B0"/>
    <w:rsid w:val="009E122B"/>
    <w:rsid w:val="009F2D9E"/>
    <w:rsid w:val="009F4B30"/>
    <w:rsid w:val="00A01F9E"/>
    <w:rsid w:val="00A140A5"/>
    <w:rsid w:val="00A16BF0"/>
    <w:rsid w:val="00A16CBB"/>
    <w:rsid w:val="00A17394"/>
    <w:rsid w:val="00A2006F"/>
    <w:rsid w:val="00A2014B"/>
    <w:rsid w:val="00A235C2"/>
    <w:rsid w:val="00A259F8"/>
    <w:rsid w:val="00A312E3"/>
    <w:rsid w:val="00A32487"/>
    <w:rsid w:val="00A37BA0"/>
    <w:rsid w:val="00A37FD7"/>
    <w:rsid w:val="00A40FB0"/>
    <w:rsid w:val="00A41319"/>
    <w:rsid w:val="00A440E5"/>
    <w:rsid w:val="00A4486C"/>
    <w:rsid w:val="00A45B4F"/>
    <w:rsid w:val="00A46FB9"/>
    <w:rsid w:val="00A52183"/>
    <w:rsid w:val="00A53BA5"/>
    <w:rsid w:val="00A5682A"/>
    <w:rsid w:val="00A572E0"/>
    <w:rsid w:val="00A633D9"/>
    <w:rsid w:val="00A65AD6"/>
    <w:rsid w:val="00A71A26"/>
    <w:rsid w:val="00A71E63"/>
    <w:rsid w:val="00A72765"/>
    <w:rsid w:val="00A83B00"/>
    <w:rsid w:val="00A83DE0"/>
    <w:rsid w:val="00A84F17"/>
    <w:rsid w:val="00A90EB0"/>
    <w:rsid w:val="00A90EF3"/>
    <w:rsid w:val="00A920FE"/>
    <w:rsid w:val="00A929CA"/>
    <w:rsid w:val="00A940F8"/>
    <w:rsid w:val="00A96D29"/>
    <w:rsid w:val="00AA3934"/>
    <w:rsid w:val="00AA7976"/>
    <w:rsid w:val="00AB2F6F"/>
    <w:rsid w:val="00AB6315"/>
    <w:rsid w:val="00AC0DC6"/>
    <w:rsid w:val="00AC2F1A"/>
    <w:rsid w:val="00AC3ED0"/>
    <w:rsid w:val="00AC6142"/>
    <w:rsid w:val="00AD00A2"/>
    <w:rsid w:val="00AD21B1"/>
    <w:rsid w:val="00AE6AC9"/>
    <w:rsid w:val="00AE7BEC"/>
    <w:rsid w:val="00AE7DCB"/>
    <w:rsid w:val="00AF0146"/>
    <w:rsid w:val="00AF149F"/>
    <w:rsid w:val="00AF538F"/>
    <w:rsid w:val="00AF6EC6"/>
    <w:rsid w:val="00B06CE8"/>
    <w:rsid w:val="00B11C3E"/>
    <w:rsid w:val="00B14CC2"/>
    <w:rsid w:val="00B16026"/>
    <w:rsid w:val="00B25D99"/>
    <w:rsid w:val="00B27C1A"/>
    <w:rsid w:val="00B313A2"/>
    <w:rsid w:val="00B32ABC"/>
    <w:rsid w:val="00B36CE1"/>
    <w:rsid w:val="00B37F83"/>
    <w:rsid w:val="00B40132"/>
    <w:rsid w:val="00B50C0F"/>
    <w:rsid w:val="00B528D9"/>
    <w:rsid w:val="00B52E61"/>
    <w:rsid w:val="00B60625"/>
    <w:rsid w:val="00B70226"/>
    <w:rsid w:val="00B76204"/>
    <w:rsid w:val="00B97CE3"/>
    <w:rsid w:val="00BA12BB"/>
    <w:rsid w:val="00BA151F"/>
    <w:rsid w:val="00BB1972"/>
    <w:rsid w:val="00BB2A8D"/>
    <w:rsid w:val="00BB4156"/>
    <w:rsid w:val="00BC0168"/>
    <w:rsid w:val="00BC17EE"/>
    <w:rsid w:val="00BC2725"/>
    <w:rsid w:val="00BC70A3"/>
    <w:rsid w:val="00BD0255"/>
    <w:rsid w:val="00BD2361"/>
    <w:rsid w:val="00BD4445"/>
    <w:rsid w:val="00BE2ED5"/>
    <w:rsid w:val="00BF4EFA"/>
    <w:rsid w:val="00BF51B5"/>
    <w:rsid w:val="00C0428F"/>
    <w:rsid w:val="00C0445F"/>
    <w:rsid w:val="00C05861"/>
    <w:rsid w:val="00C0650F"/>
    <w:rsid w:val="00C069A7"/>
    <w:rsid w:val="00C10833"/>
    <w:rsid w:val="00C11A91"/>
    <w:rsid w:val="00C176A0"/>
    <w:rsid w:val="00C17B14"/>
    <w:rsid w:val="00C20652"/>
    <w:rsid w:val="00C22F92"/>
    <w:rsid w:val="00C24C5E"/>
    <w:rsid w:val="00C253F5"/>
    <w:rsid w:val="00C25FE1"/>
    <w:rsid w:val="00C271EE"/>
    <w:rsid w:val="00C30633"/>
    <w:rsid w:val="00C32B96"/>
    <w:rsid w:val="00C330BA"/>
    <w:rsid w:val="00C34C23"/>
    <w:rsid w:val="00C60AD0"/>
    <w:rsid w:val="00C61B0E"/>
    <w:rsid w:val="00C621A4"/>
    <w:rsid w:val="00C62B54"/>
    <w:rsid w:val="00C65A65"/>
    <w:rsid w:val="00C66084"/>
    <w:rsid w:val="00C66C7B"/>
    <w:rsid w:val="00C725C4"/>
    <w:rsid w:val="00C74EF3"/>
    <w:rsid w:val="00C80677"/>
    <w:rsid w:val="00C82D2F"/>
    <w:rsid w:val="00C84F07"/>
    <w:rsid w:val="00C85C19"/>
    <w:rsid w:val="00C85E1B"/>
    <w:rsid w:val="00C931D4"/>
    <w:rsid w:val="00C93B18"/>
    <w:rsid w:val="00C942CE"/>
    <w:rsid w:val="00C95A04"/>
    <w:rsid w:val="00CC4FA8"/>
    <w:rsid w:val="00CC5EF8"/>
    <w:rsid w:val="00CC667C"/>
    <w:rsid w:val="00CD7B88"/>
    <w:rsid w:val="00CE3849"/>
    <w:rsid w:val="00CF02BB"/>
    <w:rsid w:val="00D02B06"/>
    <w:rsid w:val="00D03A54"/>
    <w:rsid w:val="00D06B74"/>
    <w:rsid w:val="00D11EC1"/>
    <w:rsid w:val="00D163C9"/>
    <w:rsid w:val="00D225A6"/>
    <w:rsid w:val="00D22A55"/>
    <w:rsid w:val="00D26184"/>
    <w:rsid w:val="00D305F5"/>
    <w:rsid w:val="00D31441"/>
    <w:rsid w:val="00D43E4D"/>
    <w:rsid w:val="00D442BD"/>
    <w:rsid w:val="00D50534"/>
    <w:rsid w:val="00D546C5"/>
    <w:rsid w:val="00D55A5A"/>
    <w:rsid w:val="00D57E8E"/>
    <w:rsid w:val="00D6084F"/>
    <w:rsid w:val="00D621E9"/>
    <w:rsid w:val="00D6252C"/>
    <w:rsid w:val="00D629DA"/>
    <w:rsid w:val="00D63658"/>
    <w:rsid w:val="00D63B86"/>
    <w:rsid w:val="00D66592"/>
    <w:rsid w:val="00D7390E"/>
    <w:rsid w:val="00D748C1"/>
    <w:rsid w:val="00D821B1"/>
    <w:rsid w:val="00D82591"/>
    <w:rsid w:val="00D86127"/>
    <w:rsid w:val="00D91681"/>
    <w:rsid w:val="00D97704"/>
    <w:rsid w:val="00DA4E0C"/>
    <w:rsid w:val="00DA6E8B"/>
    <w:rsid w:val="00DC4344"/>
    <w:rsid w:val="00DC5256"/>
    <w:rsid w:val="00DD3618"/>
    <w:rsid w:val="00DD7665"/>
    <w:rsid w:val="00DE232A"/>
    <w:rsid w:val="00DE4EE3"/>
    <w:rsid w:val="00DE6051"/>
    <w:rsid w:val="00DF1101"/>
    <w:rsid w:val="00DF6B0B"/>
    <w:rsid w:val="00DF6DFA"/>
    <w:rsid w:val="00E0706C"/>
    <w:rsid w:val="00E212B8"/>
    <w:rsid w:val="00E2228E"/>
    <w:rsid w:val="00E245F9"/>
    <w:rsid w:val="00E2645A"/>
    <w:rsid w:val="00E26FA9"/>
    <w:rsid w:val="00E34657"/>
    <w:rsid w:val="00E346BC"/>
    <w:rsid w:val="00E36D87"/>
    <w:rsid w:val="00E37714"/>
    <w:rsid w:val="00E43A6E"/>
    <w:rsid w:val="00E55106"/>
    <w:rsid w:val="00E60ACF"/>
    <w:rsid w:val="00E615E4"/>
    <w:rsid w:val="00E65854"/>
    <w:rsid w:val="00E75808"/>
    <w:rsid w:val="00E84B06"/>
    <w:rsid w:val="00E925DD"/>
    <w:rsid w:val="00E940CA"/>
    <w:rsid w:val="00E96838"/>
    <w:rsid w:val="00E9703B"/>
    <w:rsid w:val="00EA7CFD"/>
    <w:rsid w:val="00EB0F05"/>
    <w:rsid w:val="00EB13BC"/>
    <w:rsid w:val="00EB3BE8"/>
    <w:rsid w:val="00EC01F1"/>
    <w:rsid w:val="00ED3B1C"/>
    <w:rsid w:val="00EE6490"/>
    <w:rsid w:val="00EE6ADD"/>
    <w:rsid w:val="00EF3850"/>
    <w:rsid w:val="00EF456E"/>
    <w:rsid w:val="00EF4758"/>
    <w:rsid w:val="00F15EE1"/>
    <w:rsid w:val="00F210ED"/>
    <w:rsid w:val="00F22B2C"/>
    <w:rsid w:val="00F23B73"/>
    <w:rsid w:val="00F2467B"/>
    <w:rsid w:val="00F25D00"/>
    <w:rsid w:val="00F25F34"/>
    <w:rsid w:val="00F32B5A"/>
    <w:rsid w:val="00F33B73"/>
    <w:rsid w:val="00F460A3"/>
    <w:rsid w:val="00F50E42"/>
    <w:rsid w:val="00F51A4B"/>
    <w:rsid w:val="00F51C06"/>
    <w:rsid w:val="00F53046"/>
    <w:rsid w:val="00F560F0"/>
    <w:rsid w:val="00F5733A"/>
    <w:rsid w:val="00F60BD9"/>
    <w:rsid w:val="00F63D9A"/>
    <w:rsid w:val="00F716BE"/>
    <w:rsid w:val="00F71ACB"/>
    <w:rsid w:val="00F72C72"/>
    <w:rsid w:val="00F72EC3"/>
    <w:rsid w:val="00F85249"/>
    <w:rsid w:val="00F87682"/>
    <w:rsid w:val="00F922B5"/>
    <w:rsid w:val="00F960F4"/>
    <w:rsid w:val="00FA2743"/>
    <w:rsid w:val="00FA4926"/>
    <w:rsid w:val="00FB3F5A"/>
    <w:rsid w:val="00FB73E9"/>
    <w:rsid w:val="00FC28C9"/>
    <w:rsid w:val="00FC3D3C"/>
    <w:rsid w:val="00FC406B"/>
    <w:rsid w:val="00FD2AC3"/>
    <w:rsid w:val="00FE6D41"/>
    <w:rsid w:val="00FE720E"/>
    <w:rsid w:val="00FF1FF1"/>
    <w:rsid w:val="00FF4106"/>
    <w:rsid w:val="00FF4325"/>
    <w:rsid w:val="00FF4C59"/>
    <w:rsid w:val="00FF4F06"/>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16992</Words>
  <Characters>9686</Characters>
  <Application>Microsoft Office Word</Application>
  <DocSecurity>0</DocSecurity>
  <Lines>80</Lines>
  <Paragraphs>53</Paragraphs>
  <ScaleCrop>false</ScaleCrop>
  <Company/>
  <LinksUpToDate>false</LinksUpToDate>
  <CharactersWithSpaces>26625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445</cp:revision>
  <cp:lastPrinted>2017-06-29T23:42:00Z</cp:lastPrinted>
  <dcterms:created xsi:type="dcterms:W3CDTF">2025-03-14T15:50:00Z</dcterms:created>
  <dcterms:modified xsi:type="dcterms:W3CDTF">2026-02-24T06:27:00Z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