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59F4F966"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2610A994" w14:textId="77777777" w:rsidR="007957C2" w:rsidRDefault="007957C2" w:rsidP="00B2001D">
      <w:pPr>
        <w:pStyle w:val="Body"/>
        <w:spacing w:line="240" w:lineRule="auto"/>
        <w:ind w:firstLine="6237"/>
        <w:jc w:val="right"/>
        <w:rPr>
          <w:rFonts w:ascii="Times New Roman" w:eastAsia="Times New Roman" w:hAnsi="Times New Roman" w:cs="Times New Roman"/>
          <w:b/>
          <w:color w:val="auto"/>
          <w:sz w:val="24"/>
          <w:szCs w:val="24"/>
        </w:rPr>
      </w:pP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77777777" w:rsidR="00F53891" w:rsidRPr="00D04267" w:rsidRDefault="00F53891" w:rsidP="00F53891">
      <w:pPr>
        <w:spacing w:line="240" w:lineRule="auto"/>
        <w:jc w:val="center"/>
        <w:rPr>
          <w:rFonts w:cs="Times New Roman"/>
          <w:szCs w:val="24"/>
        </w:rPr>
      </w:pPr>
      <w:r w:rsidRPr="00D04267">
        <w:rPr>
          <w:rFonts w:cs="Times New Roman"/>
          <w:noProof/>
          <w:szCs w:val="24"/>
          <w:lang w:eastAsia="lt-LT"/>
        </w:rPr>
        <w:drawing>
          <wp:inline distT="0" distB="0" distL="0" distR="0" wp14:anchorId="482221E3" wp14:editId="607AD442">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23B620C" w14:textId="77777777" w:rsidR="00F53891" w:rsidRPr="00F53891" w:rsidRDefault="00F53891" w:rsidP="00F53891">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5B2D2BD1" w14:textId="77777777" w:rsidR="00F53891" w:rsidRPr="00F53891" w:rsidRDefault="00F53891" w:rsidP="00F53891">
      <w:pPr>
        <w:spacing w:line="240" w:lineRule="auto"/>
        <w:jc w:val="center"/>
        <w:rPr>
          <w:rFonts w:ascii="Times New Roman" w:hAnsi="Times New Roman" w:cs="Times New Roman"/>
          <w:b/>
          <w:sz w:val="24"/>
          <w:szCs w:val="24"/>
        </w:rPr>
      </w:pPr>
    </w:p>
    <w:p w14:paraId="6EF6D960" w14:textId="77777777" w:rsidR="00F53891" w:rsidRPr="00F53891" w:rsidRDefault="00F53891" w:rsidP="00F53891">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53891" w:rsidRPr="00F53891" w14:paraId="452B1D85" w14:textId="77777777" w:rsidTr="00CC4D52">
        <w:tc>
          <w:tcPr>
            <w:tcW w:w="5148" w:type="dxa"/>
          </w:tcPr>
          <w:p w14:paraId="0EFE19A9" w14:textId="77777777" w:rsidR="00F53891" w:rsidRPr="00F53891" w:rsidRDefault="00F53891" w:rsidP="00CC4D52">
            <w:pPr>
              <w:spacing w:after="160" w:line="259" w:lineRule="auto"/>
              <w:jc w:val="center"/>
              <w:rPr>
                <w:rFonts w:ascii="Times New Roman" w:hAnsi="Times New Roman" w:cs="Times New Roman"/>
                <w:i/>
                <w:sz w:val="24"/>
                <w:szCs w:val="24"/>
                <w:vertAlign w:val="superscript"/>
              </w:rPr>
            </w:pPr>
          </w:p>
        </w:tc>
      </w:tr>
    </w:tbl>
    <w:p w14:paraId="221848D7" w14:textId="77777777" w:rsidR="00F53891" w:rsidRPr="00F53891" w:rsidRDefault="00F53891" w:rsidP="00F53891">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53891" w:rsidRPr="00F53891" w14:paraId="55EF4AE0" w14:textId="77777777" w:rsidTr="00CC4D52">
        <w:trPr>
          <w:gridAfter w:val="1"/>
          <w:wAfter w:w="693" w:type="dxa"/>
        </w:trPr>
        <w:tc>
          <w:tcPr>
            <w:tcW w:w="5070" w:type="dxa"/>
            <w:vMerge w:val="restart"/>
            <w:tcBorders>
              <w:top w:val="nil"/>
              <w:left w:val="nil"/>
              <w:right w:val="nil"/>
            </w:tcBorders>
          </w:tcPr>
          <w:p w14:paraId="18AF2B90"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1326E36B"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F53891" w:rsidRPr="00F53891" w14:paraId="6DEC2401" w14:textId="77777777" w:rsidTr="00CC4D52">
        <w:trPr>
          <w:trHeight w:val="276"/>
        </w:trPr>
        <w:tc>
          <w:tcPr>
            <w:tcW w:w="5070" w:type="dxa"/>
            <w:vMerge/>
            <w:tcBorders>
              <w:left w:val="nil"/>
              <w:right w:val="nil"/>
            </w:tcBorders>
          </w:tcPr>
          <w:p w14:paraId="58184665" w14:textId="77777777" w:rsidR="00F53891" w:rsidRPr="00F53891" w:rsidRDefault="00F53891" w:rsidP="00CC4D52">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3651746C"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F53891" w:rsidRPr="00F53891" w14:paraId="7A9AEC4E" w14:textId="77777777" w:rsidTr="00CC4D52">
        <w:trPr>
          <w:gridAfter w:val="1"/>
          <w:wAfter w:w="693" w:type="dxa"/>
        </w:trPr>
        <w:tc>
          <w:tcPr>
            <w:tcW w:w="5070" w:type="dxa"/>
            <w:vMerge/>
            <w:tcBorders>
              <w:left w:val="nil"/>
              <w:right w:val="nil"/>
            </w:tcBorders>
          </w:tcPr>
          <w:p w14:paraId="172E333A"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26FEB18"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F53891" w:rsidRPr="00F53891" w14:paraId="48AE9831" w14:textId="77777777" w:rsidTr="00CC4D52">
        <w:trPr>
          <w:gridAfter w:val="1"/>
          <w:wAfter w:w="693" w:type="dxa"/>
        </w:trPr>
        <w:tc>
          <w:tcPr>
            <w:tcW w:w="5070" w:type="dxa"/>
            <w:vMerge/>
            <w:tcBorders>
              <w:left w:val="nil"/>
              <w:right w:val="nil"/>
            </w:tcBorders>
          </w:tcPr>
          <w:p w14:paraId="24685E74"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52FC5431"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3536C3A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10FCAE12"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F53891" w:rsidRPr="00F53891" w14:paraId="4A916D7D" w14:textId="77777777" w:rsidTr="00CC4D52">
        <w:trPr>
          <w:gridAfter w:val="1"/>
          <w:wAfter w:w="693" w:type="dxa"/>
        </w:trPr>
        <w:tc>
          <w:tcPr>
            <w:tcW w:w="5070" w:type="dxa"/>
            <w:vMerge/>
            <w:tcBorders>
              <w:left w:val="nil"/>
              <w:bottom w:val="nil"/>
              <w:right w:val="nil"/>
            </w:tcBorders>
          </w:tcPr>
          <w:p w14:paraId="6D117DB8"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5310E79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9A2983"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ED7B8F" w:rsidRPr="00A8417E">
              <w:rPr>
                <w:rStyle w:val="Hipersaitas"/>
                <w:rFonts w:ascii="Times New Roman" w:hAnsi="Times New Roman" w:cs="Times New Roman"/>
                <w:noProof/>
                <w:sz w:val="24"/>
                <w:szCs w:val="24"/>
              </w:rPr>
              <w:t>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BENDRIEJI REIKALAVIMAI PASIŪLYMŲ RENGIMUI IR PATEIKIMUI</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_Toc185671663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4</w:t>
            </w:r>
            <w:r w:rsidR="00ED7B8F" w:rsidRPr="00A8417E">
              <w:rPr>
                <w:rFonts w:ascii="Times New Roman" w:hAnsi="Times New Roman" w:cs="Times New Roman"/>
                <w:noProof/>
                <w:webHidden/>
                <w:sz w:val="24"/>
                <w:szCs w:val="24"/>
              </w:rPr>
              <w:fldChar w:fldCharType="end"/>
            </w:r>
          </w:hyperlink>
        </w:p>
        <w:p w14:paraId="5DC4D3CE" w14:textId="77777777" w:rsidR="00ED7B8F" w:rsidRPr="00A8417E" w:rsidRDefault="009A2983"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ED7B8F" w:rsidRPr="00A8417E">
              <w:rPr>
                <w:rStyle w:val="Hipersaitas"/>
                <w:rFonts w:ascii="Times New Roman" w:hAnsi="Times New Roman" w:cs="Times New Roman"/>
                <w:noProof/>
                <w:sz w:val="24"/>
                <w:szCs w:val="24"/>
              </w:rPr>
              <w:t>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SUSIJUSI SU PIRKIMO SĄLYGŲ PAAIŠKINIMAIS / PATIKSLINIMAIS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_Toc185671664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5</w:t>
            </w:r>
            <w:r w:rsidR="00ED7B8F" w:rsidRPr="00A8417E">
              <w:rPr>
                <w:rFonts w:ascii="Times New Roman" w:hAnsi="Times New Roman" w:cs="Times New Roman"/>
                <w:noProof/>
                <w:webHidden/>
                <w:sz w:val="24"/>
                <w:szCs w:val="24"/>
              </w:rPr>
              <w:fldChar w:fldCharType="end"/>
            </w:r>
          </w:hyperlink>
        </w:p>
        <w:p w14:paraId="62FE685D"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ED7B8F" w:rsidRPr="00A8417E">
              <w:rPr>
                <w:rStyle w:val="Hipersaitas"/>
                <w:rFonts w:ascii="Times New Roman" w:hAnsi="Times New Roman" w:cs="Times New Roman"/>
                <w:noProof/>
                <w:sz w:val="24"/>
                <w:szCs w:val="24"/>
              </w:rPr>
              <w:t>IV.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SUSITIKIMAI SU TIEKĖJAIS IR PIRKIMO OBJEKTO APŽIŪRA</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_Toc185671665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6</w:t>
            </w:r>
            <w:r w:rsidR="00ED7B8F" w:rsidRPr="00A8417E">
              <w:rPr>
                <w:rFonts w:ascii="Times New Roman" w:hAnsi="Times New Roman" w:cs="Times New Roman"/>
                <w:noProof/>
                <w:webHidden/>
                <w:sz w:val="24"/>
                <w:szCs w:val="24"/>
              </w:rPr>
              <w:fldChar w:fldCharType="end"/>
            </w:r>
          </w:hyperlink>
        </w:p>
        <w:p w14:paraId="54F6B284" w14:textId="77777777" w:rsidR="00ED7B8F" w:rsidRPr="00A8417E" w:rsidRDefault="009A2983"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ED7B8F" w:rsidRPr="00A8417E">
              <w:rPr>
                <w:rStyle w:val="Hipersaitas"/>
                <w:rFonts w:ascii="Times New Roman" w:hAnsi="Times New Roman" w:cs="Times New Roman"/>
                <w:noProof/>
                <w:sz w:val="24"/>
                <w:szCs w:val="24"/>
              </w:rPr>
              <w:t>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ŪKIO SUBJEKTŲ GRUPĖS DALYVAVIMĄ PIRKIME</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_Toc185671666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6</w:t>
            </w:r>
            <w:r w:rsidR="00ED7B8F" w:rsidRPr="00A8417E">
              <w:rPr>
                <w:rFonts w:ascii="Times New Roman" w:hAnsi="Times New Roman" w:cs="Times New Roman"/>
                <w:noProof/>
                <w:webHidden/>
                <w:sz w:val="24"/>
                <w:szCs w:val="24"/>
              </w:rPr>
              <w:fldChar w:fldCharType="end"/>
            </w:r>
          </w:hyperlink>
        </w:p>
        <w:p w14:paraId="172B6007"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ED7B8F" w:rsidRPr="00A8417E">
              <w:rPr>
                <w:rStyle w:val="Hipersaitas"/>
                <w:rFonts w:ascii="Times New Roman" w:hAnsi="Times New Roman" w:cs="Times New Roman"/>
                <w:noProof/>
                <w:sz w:val="24"/>
                <w:szCs w:val="24"/>
              </w:rPr>
              <w:t>VI.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RĖMIMĄSI ŪKIO SUBJEKTŲ PAJĖGUMAIS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_Toc185671667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7</w:t>
            </w:r>
            <w:r w:rsidR="00ED7B8F" w:rsidRPr="00A8417E">
              <w:rPr>
                <w:rFonts w:ascii="Times New Roman" w:hAnsi="Times New Roman" w:cs="Times New Roman"/>
                <w:noProof/>
                <w:webHidden/>
                <w:sz w:val="24"/>
                <w:szCs w:val="24"/>
              </w:rPr>
              <w:fldChar w:fldCharType="end"/>
            </w:r>
          </w:hyperlink>
        </w:p>
        <w:p w14:paraId="760F997F"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ED7B8F" w:rsidRPr="00A8417E">
              <w:rPr>
                <w:rStyle w:val="Hipersaitas"/>
                <w:rFonts w:ascii="Times New Roman" w:hAnsi="Times New Roman" w:cs="Times New Roman"/>
                <w:noProof/>
                <w:sz w:val="24"/>
                <w:szCs w:val="24"/>
              </w:rPr>
              <w:t>VII.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SUBTIEKĖJŲ PASITELKIMĄ</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_Toc185671668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7</w:t>
            </w:r>
            <w:r w:rsidR="00ED7B8F" w:rsidRPr="00A8417E">
              <w:rPr>
                <w:rFonts w:ascii="Times New Roman" w:hAnsi="Times New Roman" w:cs="Times New Roman"/>
                <w:noProof/>
                <w:webHidden/>
                <w:sz w:val="24"/>
                <w:szCs w:val="24"/>
              </w:rPr>
              <w:fldChar w:fldCharType="end"/>
            </w:r>
          </w:hyperlink>
        </w:p>
        <w:p w14:paraId="4F809CBD"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ED7B8F" w:rsidRPr="00A8417E">
              <w:rPr>
                <w:rStyle w:val="Hipersaitas"/>
                <w:rFonts w:ascii="Times New Roman" w:hAnsi="Times New Roman" w:cs="Times New Roman"/>
                <w:noProof/>
                <w:sz w:val="24"/>
                <w:szCs w:val="24"/>
              </w:rPr>
              <w:t>VIII.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GALIOJIMAS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_Toc185671669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8</w:t>
            </w:r>
            <w:r w:rsidR="00ED7B8F" w:rsidRPr="00A8417E">
              <w:rPr>
                <w:rFonts w:ascii="Times New Roman" w:hAnsi="Times New Roman" w:cs="Times New Roman"/>
                <w:noProof/>
                <w:webHidden/>
                <w:sz w:val="24"/>
                <w:szCs w:val="24"/>
              </w:rPr>
              <w:fldChar w:fldCharType="end"/>
            </w:r>
          </w:hyperlink>
        </w:p>
        <w:p w14:paraId="1409E564"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ED7B8F" w:rsidRPr="00A8417E">
              <w:rPr>
                <w:rStyle w:val="Hipersaitas"/>
                <w:rFonts w:ascii="Times New Roman" w:hAnsi="Times New Roman" w:cs="Times New Roman"/>
                <w:noProof/>
                <w:sz w:val="24"/>
                <w:szCs w:val="24"/>
              </w:rPr>
              <w:t>IX.</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KONFIDENCIALUMAS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_Toc185671670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8</w:t>
            </w:r>
            <w:r w:rsidR="00ED7B8F" w:rsidRPr="00A8417E">
              <w:rPr>
                <w:rFonts w:ascii="Times New Roman" w:hAnsi="Times New Roman" w:cs="Times New Roman"/>
                <w:noProof/>
                <w:webHidden/>
                <w:sz w:val="24"/>
                <w:szCs w:val="24"/>
              </w:rPr>
              <w:fldChar w:fldCharType="end"/>
            </w:r>
          </w:hyperlink>
        </w:p>
        <w:p w14:paraId="5AB1E1ED" w14:textId="77777777" w:rsidR="00ED7B8F" w:rsidRPr="00A8417E" w:rsidRDefault="009A2983"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ED7B8F" w:rsidRPr="00A8417E">
              <w:rPr>
                <w:rStyle w:val="Hipersaitas"/>
                <w:rFonts w:ascii="Times New Roman" w:hAnsi="Times New Roman" w:cs="Times New Roman"/>
                <w:noProof/>
                <w:sz w:val="24"/>
                <w:szCs w:val="24"/>
              </w:rPr>
              <w:t>X.</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GALIOJIMO UŽTIKRINIMAS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_Toc185671671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9</w:t>
            </w:r>
            <w:r w:rsidR="00ED7B8F" w:rsidRPr="00A8417E">
              <w:rPr>
                <w:rFonts w:ascii="Times New Roman" w:hAnsi="Times New Roman" w:cs="Times New Roman"/>
                <w:noProof/>
                <w:webHidden/>
                <w:sz w:val="24"/>
                <w:szCs w:val="24"/>
              </w:rPr>
              <w:fldChar w:fldCharType="end"/>
            </w:r>
          </w:hyperlink>
        </w:p>
        <w:p w14:paraId="75352E91"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ED7B8F" w:rsidRPr="00A8417E">
              <w:rPr>
                <w:rStyle w:val="Hipersaitas"/>
                <w:rFonts w:ascii="Times New Roman" w:hAnsi="Times New Roman" w:cs="Times New Roman"/>
                <w:noProof/>
                <w:sz w:val="24"/>
                <w:szCs w:val="24"/>
              </w:rPr>
              <w:t>XI.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BENDRA INFORMACIJA DĖL PAŠALINIMO PAGRINDŲ, TIEKĖJAMS TAIKOMI PAŠALINIMO PAGRINDAI IR EBVPD</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_Toc185671672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9</w:t>
            </w:r>
            <w:r w:rsidR="00ED7B8F" w:rsidRPr="00A8417E">
              <w:rPr>
                <w:rFonts w:ascii="Times New Roman" w:hAnsi="Times New Roman" w:cs="Times New Roman"/>
                <w:noProof/>
                <w:webHidden/>
                <w:sz w:val="24"/>
                <w:szCs w:val="24"/>
              </w:rPr>
              <w:fldChar w:fldCharType="end"/>
            </w:r>
          </w:hyperlink>
        </w:p>
        <w:p w14:paraId="144858FB"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ED7B8F" w:rsidRPr="00A8417E">
              <w:rPr>
                <w:rStyle w:val="Hipersaitas"/>
                <w:rFonts w:ascii="Times New Roman" w:hAnsi="Times New Roman" w:cs="Times New Roman"/>
                <w:noProof/>
                <w:sz w:val="24"/>
                <w:szCs w:val="24"/>
              </w:rPr>
              <w:t>XII.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_Toc185671673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11</w:t>
            </w:r>
            <w:r w:rsidR="00ED7B8F" w:rsidRPr="00A8417E">
              <w:rPr>
                <w:rFonts w:ascii="Times New Roman" w:hAnsi="Times New Roman" w:cs="Times New Roman"/>
                <w:noProof/>
                <w:webHidden/>
                <w:sz w:val="24"/>
                <w:szCs w:val="24"/>
              </w:rPr>
              <w:fldChar w:fldCharType="end"/>
            </w:r>
          </w:hyperlink>
        </w:p>
        <w:p w14:paraId="368A42AA"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ED7B8F" w:rsidRPr="00A8417E">
              <w:rPr>
                <w:rStyle w:val="Hipersaitas"/>
                <w:rFonts w:ascii="Times New Roman" w:hAnsi="Times New Roman" w:cs="Times New Roman"/>
                <w:noProof/>
                <w:sz w:val="24"/>
                <w:szCs w:val="24"/>
              </w:rPr>
              <w:t>XIII.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ŠIFRAVIMAS, SUSIPAŽINIMAS SU PASIŪLYMAIS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_Toc185671674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12</w:t>
            </w:r>
            <w:r w:rsidR="00ED7B8F" w:rsidRPr="00A8417E">
              <w:rPr>
                <w:rFonts w:ascii="Times New Roman" w:hAnsi="Times New Roman" w:cs="Times New Roman"/>
                <w:noProof/>
                <w:webHidden/>
                <w:sz w:val="24"/>
                <w:szCs w:val="24"/>
              </w:rPr>
              <w:fldChar w:fldCharType="end"/>
            </w:r>
          </w:hyperlink>
        </w:p>
        <w:p w14:paraId="712C5769"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ED7B8F" w:rsidRPr="00A8417E">
              <w:rPr>
                <w:rStyle w:val="Hipersaitas"/>
                <w:rFonts w:ascii="Times New Roman" w:hAnsi="Times New Roman" w:cs="Times New Roman"/>
                <w:noProof/>
                <w:sz w:val="24"/>
                <w:szCs w:val="24"/>
              </w:rPr>
              <w:t>XIV.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VERTINIMAS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_Toc185671675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13</w:t>
            </w:r>
            <w:r w:rsidR="00ED7B8F" w:rsidRPr="00A8417E">
              <w:rPr>
                <w:rFonts w:ascii="Times New Roman" w:hAnsi="Times New Roman" w:cs="Times New Roman"/>
                <w:noProof/>
                <w:webHidden/>
                <w:sz w:val="24"/>
                <w:szCs w:val="24"/>
              </w:rPr>
              <w:fldChar w:fldCharType="end"/>
            </w:r>
          </w:hyperlink>
        </w:p>
        <w:p w14:paraId="4D224750"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ED7B8F" w:rsidRPr="00A8417E">
              <w:rPr>
                <w:rStyle w:val="Hipersaitas"/>
                <w:rFonts w:ascii="Times New Roman" w:hAnsi="Times New Roman" w:cs="Times New Roman"/>
                <w:noProof/>
                <w:sz w:val="24"/>
                <w:szCs w:val="24"/>
              </w:rPr>
              <w:t>XV.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ATMETIMO PRIEŽASTYS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_Toc185671676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14</w:t>
            </w:r>
            <w:r w:rsidR="00ED7B8F" w:rsidRPr="00A8417E">
              <w:rPr>
                <w:rFonts w:ascii="Times New Roman" w:hAnsi="Times New Roman" w:cs="Times New Roman"/>
                <w:noProof/>
                <w:webHidden/>
                <w:sz w:val="24"/>
                <w:szCs w:val="24"/>
              </w:rPr>
              <w:fldChar w:fldCharType="end"/>
            </w:r>
          </w:hyperlink>
        </w:p>
        <w:p w14:paraId="37169EC1"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ED7B8F" w:rsidRPr="00A8417E">
              <w:rPr>
                <w:rStyle w:val="Hipersaitas"/>
                <w:rFonts w:ascii="Times New Roman" w:hAnsi="Times New Roman" w:cs="Times New Roman"/>
                <w:noProof/>
                <w:sz w:val="24"/>
                <w:szCs w:val="24"/>
              </w:rPr>
              <w:t>XVI.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SUTARTIES SUDARYMAS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_Toc185671677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15</w:t>
            </w:r>
            <w:r w:rsidR="00ED7B8F" w:rsidRPr="00A8417E">
              <w:rPr>
                <w:rFonts w:ascii="Times New Roman" w:hAnsi="Times New Roman" w:cs="Times New Roman"/>
                <w:noProof/>
                <w:webHidden/>
                <w:sz w:val="24"/>
                <w:szCs w:val="24"/>
              </w:rPr>
              <w:fldChar w:fldCharType="end"/>
            </w:r>
          </w:hyperlink>
        </w:p>
        <w:p w14:paraId="79D53205" w14:textId="77777777" w:rsidR="00ED7B8F" w:rsidRPr="00A8417E" w:rsidRDefault="009A2983"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ED7B8F" w:rsidRPr="00A8417E">
              <w:rPr>
                <w:rStyle w:val="Hipersaitas"/>
                <w:rFonts w:ascii="Times New Roman" w:hAnsi="Times New Roman" w:cs="Times New Roman"/>
                <w:noProof/>
                <w:sz w:val="24"/>
                <w:szCs w:val="24"/>
              </w:rPr>
              <w:t>XVII.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SUTARTIES SĄLYGŲ ĮVYKDYMO UŽTIKRINIMAS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_Toc185671678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16</w:t>
            </w:r>
            <w:r w:rsidR="00ED7B8F" w:rsidRPr="00A8417E">
              <w:rPr>
                <w:rFonts w:ascii="Times New Roman" w:hAnsi="Times New Roman" w:cs="Times New Roman"/>
                <w:noProof/>
                <w:webHidden/>
                <w:sz w:val="24"/>
                <w:szCs w:val="24"/>
              </w:rPr>
              <w:fldChar w:fldCharType="end"/>
            </w:r>
          </w:hyperlink>
        </w:p>
        <w:p w14:paraId="02ECD6D7" w14:textId="77777777" w:rsidR="00ED7B8F" w:rsidRDefault="009A2983"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ED7B8F" w:rsidRPr="00A8417E">
              <w:rPr>
                <w:rStyle w:val="Hipersaitas"/>
                <w:rFonts w:ascii="Times New Roman" w:hAnsi="Times New Roman" w:cs="Times New Roman"/>
                <w:noProof/>
                <w:sz w:val="24"/>
                <w:szCs w:val="24"/>
              </w:rPr>
              <w:t>XVIII.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PRETENZIJŲ, IEŠKINIŲ TEIKIMAS IR NAGRINĖJIMAS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_Toc185671679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17</w:t>
            </w:r>
            <w:r w:rsidR="00ED7B8F"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76F1F7A9" w14:textId="77777777" w:rsidR="00ED7B8F" w:rsidRPr="00A8417E" w:rsidRDefault="00ED7B8F" w:rsidP="00ED7B8F">
      <w:r>
        <w:rPr>
          <w:color w:val="000000" w:themeColor="text1"/>
        </w:rPr>
        <w:br w:type="page"/>
      </w:r>
    </w:p>
    <w:p w14:paraId="3BB702AF" w14:textId="77777777" w:rsidR="00ED7B8F" w:rsidRPr="00A8417E" w:rsidRDefault="00ED7B8F" w:rsidP="00ED7B8F">
      <w:pPr>
        <w:pStyle w:val="Antrat1"/>
      </w:pPr>
      <w:bookmarkStart w:id="1" w:name="_Toc185671479"/>
      <w:bookmarkStart w:id="2" w:name="_Toc185671662"/>
      <w:r w:rsidRPr="00A8417E">
        <w:lastRenderedPageBreak/>
        <w:t>BENDROJI INFORMACIJA</w:t>
      </w:r>
      <w:bookmarkEnd w:id="1"/>
      <w:bookmarkEnd w:id="2"/>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476C73E9"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Pr="00D6632F">
        <w:rPr>
          <w:color w:val="000000" w:themeColor="text1"/>
        </w:rPr>
        <w:t xml:space="preserve">biudžetinė įstaiga Širvintų rajono savivaldybė administracija, kodas </w:t>
      </w:r>
      <w:r w:rsidRPr="00D6632F">
        <w:rPr>
          <w:rFonts w:eastAsia="Times New Roman"/>
        </w:rPr>
        <w:t>188722373</w:t>
      </w:r>
      <w:r w:rsidRPr="00D6632F">
        <w:rPr>
          <w:color w:val="000000" w:themeColor="text1"/>
        </w:rPr>
        <w:t xml:space="preserve">, </w:t>
      </w:r>
      <w:r w:rsidRPr="00D6632F">
        <w:rPr>
          <w:rFonts w:eastAsia="Times New Roman"/>
        </w:rPr>
        <w:t>Vilniaus g. 61, LT-19120 Širvintos</w:t>
      </w:r>
      <w:r w:rsidRPr="00D6632F">
        <w:rPr>
          <w:color w:val="000000" w:themeColor="text1"/>
        </w:rPr>
        <w:t>, tel. (+370)</w:t>
      </w:r>
      <w:r w:rsidRPr="00D6632F">
        <w:rPr>
          <w:rFonts w:eastAsia="Times New Roman"/>
        </w:rPr>
        <w:t xml:space="preserve"> 382 30 270</w:t>
      </w:r>
      <w:r w:rsidRPr="00D6632F">
        <w:rPr>
          <w:color w:val="000000" w:themeColor="text1"/>
        </w:rPr>
        <w:t xml:space="preserve">, el. p </w:t>
      </w:r>
      <w:hyperlink r:id="rId13" w:history="1">
        <w:r w:rsidRPr="00D6632F">
          <w:rPr>
            <w:rStyle w:val="Hipersaitas"/>
            <w:rFonts w:eastAsia="Times New Roman"/>
          </w:rPr>
          <w:t>savivaldybe@sirvintos.lt</w:t>
        </w:r>
      </w:hyperlink>
      <w:r w:rsidRPr="00D6632F">
        <w:rPr>
          <w:rFonts w:eastAsia="Times New Roman"/>
        </w:rPr>
        <w:t>.</w:t>
      </w:r>
      <w:r w:rsidRPr="00D6632F">
        <w:rPr>
          <w:color w:val="000000" w:themeColor="text1"/>
        </w:rPr>
        <w:t xml:space="preserve"> Perkančioji organizacija nėra 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w:t>
      </w:r>
      <w:r w:rsidRPr="000B1062">
        <w:rPr>
          <w:color w:val="000000" w:themeColor="text1"/>
        </w:rPr>
        <w:lastRenderedPageBreak/>
        <w:t xml:space="preserve">vertimui lietuvių kalba, išskyrus pasiūlymo galiojimo užtikrinimo dokumentą, kai pirmenybė teikiama originaliam tekstui. </w:t>
      </w:r>
    </w:p>
    <w:bookmarkEnd w:id="5"/>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6" w:name="_Toc185671664"/>
      <w:r w:rsidRPr="00A8417E">
        <w:t>INFORMACIJA, SUSIJUSI SU PIRKIMO SĄLYGŲ PAAIŠKINIMAIS / PATIKSLINIMAIS</w:t>
      </w:r>
      <w:bookmarkEnd w:id="6"/>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t>Supaprastintas pirkimas</w:t>
            </w:r>
          </w:p>
        </w:tc>
        <w:tc>
          <w:tcPr>
            <w:tcW w:w="3400" w:type="dxa"/>
          </w:tcPr>
          <w:p w14:paraId="4912D3F6" w14:textId="77777777" w:rsidR="00ED7B8F" w:rsidRPr="000B1062" w:rsidRDefault="00ED7B8F" w:rsidP="006306E8">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7F191C6D" w14:textId="77777777" w:rsidR="00ED7B8F" w:rsidRPr="007D5EAD" w:rsidRDefault="00ED7B8F" w:rsidP="00ED7B8F">
      <w:pPr>
        <w:pStyle w:val="Default"/>
        <w:numPr>
          <w:ilvl w:val="0"/>
          <w:numId w:val="1"/>
        </w:numPr>
        <w:ind w:left="0" w:firstLine="0"/>
        <w:jc w:val="both"/>
        <w:rPr>
          <w:color w:val="000000" w:themeColor="text1"/>
        </w:rPr>
      </w:pPr>
      <w:bookmarkStart w:id="7"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7"/>
      <w:r w:rsidRPr="2F180F3F">
        <w:t>.</w:t>
      </w:r>
    </w:p>
    <w:p w14:paraId="0164840D" w14:textId="77777777" w:rsidR="00ED7B8F" w:rsidRPr="007D5EAD" w:rsidRDefault="00ED7B8F" w:rsidP="00ED7B8F">
      <w:pPr>
        <w:pStyle w:val="Default"/>
        <w:jc w:val="both"/>
        <w:rPr>
          <w:color w:val="000000" w:themeColor="text1"/>
        </w:rPr>
      </w:pPr>
    </w:p>
    <w:p w14:paraId="082AA358" w14:textId="77777777" w:rsidR="00ED7B8F" w:rsidRPr="00A8417E" w:rsidRDefault="00ED7B8F" w:rsidP="00ED7B8F">
      <w:pPr>
        <w:pStyle w:val="Antrat1"/>
      </w:pPr>
      <w:bookmarkStart w:id="8" w:name="_Toc185671665"/>
      <w:r w:rsidRPr="00A8417E">
        <w:t>SUSITIKIMAI SU TIEKĖJAIS IR PIRKIMO OBJEKTO APŽIŪRA</w:t>
      </w:r>
      <w:bookmarkEnd w:id="8"/>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9" w:name="_Toc185671666"/>
      <w:r w:rsidRPr="00A8417E">
        <w:t>INFORMACIJA APIE ŪKIO SUBJEKTŲ GRUPĖS DALYVAVIMĄ PIRKIME</w:t>
      </w:r>
      <w:bookmarkEnd w:id="9"/>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10"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w:t>
      </w:r>
      <w:r w:rsidRPr="74A8A0AC">
        <w:lastRenderedPageBreak/>
        <w:t>(mokėjimai bus atliekami tik vienam iš jungtinės veiklos sutarties dalyvių), pasirašyti su sutarties vykdymu susijusius dokumentus (įgaliotas dalyvis) ir kt</w:t>
      </w:r>
      <w:bookmarkEnd w:id="10"/>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1" w:name="_Toc185671667"/>
      <w:r w:rsidRPr="00A8417E">
        <w:t>INFORMACIJA APIE RĖMIMĄSI ŪKIO SUBJEKTŲ PAJĖGUMAIS</w:t>
      </w:r>
      <w:bookmarkEnd w:id="11"/>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2" w:name="_Toc185671668"/>
      <w:r w:rsidRPr="00A8417E">
        <w:t>INFORMACIJA APIE SUBTIEKĖJŲ PASITELKIMĄ</w:t>
      </w:r>
      <w:bookmarkEnd w:id="12"/>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3" w:name="_Toc185671669"/>
      <w:r w:rsidRPr="00A8417E">
        <w:t>PASIŪLYMŲ GALIOJIMAS</w:t>
      </w:r>
      <w:bookmarkEnd w:id="13"/>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4" w:name="_Toc185671670"/>
      <w:r w:rsidRPr="00A8417E">
        <w:t>PASIŪLYMŲ KONFIDENCIALUMAS</w:t>
      </w:r>
      <w:bookmarkEnd w:id="14"/>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lastRenderedPageBreak/>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5" w:name="_Toc185671671"/>
      <w:r w:rsidRPr="00A8417E">
        <w:t>PASIŪLYMŲ GALIOJIMO UŽTIKRINIMAS</w:t>
      </w:r>
      <w:bookmarkEnd w:id="15"/>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6" w:name="_Toc185671672"/>
      <w:r w:rsidRPr="00A8417E">
        <w:t>BENDRA INFORMACIJA DĖL PAŠALINIMO PAGRINDŲ, TIEKĖJAMS TAIKOMI PAŠALINIMO PAGRINDAI IR EBVPD</w:t>
      </w:r>
      <w:bookmarkEnd w:id="16"/>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6"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7"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7"/>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Pr>
          <w:color w:val="000000" w:themeColor="text1"/>
        </w:rPr>
        <w:t>t</w:t>
      </w:r>
      <w:r w:rsidRPr="000B1062">
        <w:rPr>
          <w:color w:val="000000" w:themeColor="text1"/>
        </w:rPr>
        <w:t xml:space="preserve">iekėjo atitiktį reikalavimams pagrindžiančių dokumentų tuomet, kai su atitinkamais dokumentais gali susipažinti tiesiogiai ir neatlygintinai </w:t>
      </w:r>
      <w:r w:rsidRPr="000B1062">
        <w:rPr>
          <w:color w:val="000000" w:themeColor="text1"/>
        </w:rPr>
        <w:lastRenderedPageBreak/>
        <w:t>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 xml:space="preserve">iekėjo informaciją, pateiktą pagal šių Bendrųjų pirkimo sąlygų 75.1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8" w:name="_Toc185671673"/>
      <w:r w:rsidRPr="00A8417E">
        <w:t>TIEKĖJŲ KVALIFIKACIJOS REIKALAVIMAI IR REIKALAUJAMI KOKYBĖS BEI APLINKOS APSAUGOS VADYBOS SISTEMŲ STANDARTAI</w:t>
      </w:r>
      <w:bookmarkEnd w:id="18"/>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w:t>
      </w:r>
      <w:r w:rsidRPr="000B1062">
        <w:rPr>
          <w:color w:val="000000" w:themeColor="text1"/>
        </w:rPr>
        <w:lastRenderedPageBreak/>
        <w:t xml:space="preserve">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9" w:name="_Toc185671674"/>
      <w:r w:rsidRPr="00A8417E">
        <w:t>PASIŪLYMŲ ŠIFRAVIMAS, SUSIPAŽINIMAS SU PASIŪLYMAIS</w:t>
      </w:r>
      <w:bookmarkEnd w:id="19"/>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20"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7"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1"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1"/>
      <w:r w:rsidRPr="00A824C3">
        <w:rPr>
          <w:rFonts w:eastAsia="Times New Roman" w:cstheme="minorHAnsi"/>
        </w:rPr>
        <w:t>.</w:t>
      </w:r>
      <w:bookmarkStart w:id="22"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2"/>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w:t>
      </w:r>
      <w:r w:rsidRPr="00A824C3">
        <w:rPr>
          <w:rFonts w:cstheme="minorHAnsi"/>
        </w:rPr>
        <w:lastRenderedPageBreak/>
        <w:t xml:space="preserve">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3"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3"/>
    </w:p>
    <w:bookmarkEnd w:id="20"/>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4" w:name="_Toc185671675"/>
      <w:r w:rsidRPr="00A8417E">
        <w:t>PASIŪLYMŲ VERTINIMAS</w:t>
      </w:r>
      <w:bookmarkEnd w:id="24"/>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5" w:name="_Hlk505013401"/>
      <w:r w:rsidRPr="00251EF6">
        <w:rPr>
          <w:rFonts w:eastAsia="Times New Roman" w:cstheme="minorHAnsi"/>
        </w:rPr>
        <w:t xml:space="preserve">tiekėjams ir (ar) jų įgaliotiesiems atstovams </w:t>
      </w:r>
      <w:bookmarkEnd w:id="25"/>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w:t>
      </w:r>
      <w:r w:rsidRPr="00A824C3">
        <w:rPr>
          <w:rFonts w:ascii="Times New Roman" w:hAnsi="Times New Roman" w:cs="Times New Roman"/>
          <w:bCs/>
          <w:iCs/>
          <w:sz w:val="24"/>
          <w:szCs w:val="24"/>
          <w:lang w:val="lt-LT"/>
        </w:rPr>
        <w:lastRenderedPageBreak/>
        <w:t xml:space="preserve">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6" w:name="_Toc185671676"/>
      <w:r w:rsidRPr="00A8417E">
        <w:t>PASIŪLYMŲ ATMETIMO PRIEŽASTYS</w:t>
      </w:r>
      <w:bookmarkEnd w:id="26"/>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7"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7"/>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8" w:name="_Toc185671677"/>
      <w:r w:rsidRPr="00A8417E">
        <w:t>SUTARTIES SUDARYMAS</w:t>
      </w:r>
      <w:bookmarkEnd w:id="28"/>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9" w:name="_Toc185671678"/>
      <w:r w:rsidRPr="00A8417E">
        <w:t>SUTARTIES SĄLYGŲ ĮVYKDYMO UŽTIKRINIMAS</w:t>
      </w:r>
      <w:bookmarkEnd w:id="29"/>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 xml:space="preserve">draudimo liudijimo (poliso) originalą bei mokestinio pavedimo </w:t>
      </w:r>
      <w:r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0" w:name="_Hlk208981881"/>
      <w:r w:rsidRPr="008E5617">
        <w:t xml:space="preserve">ne vėliau negu jo pateikimo </w:t>
      </w:r>
      <w:r w:rsidRPr="000B1062">
        <w:rPr>
          <w:color w:val="000000" w:themeColor="text1"/>
        </w:rPr>
        <w:t>Perkančiajai organizacijai</w:t>
      </w:r>
      <w:r w:rsidRPr="008E5617">
        <w:t xml:space="preserve"> dien</w:t>
      </w:r>
      <w:bookmarkEnd w:id="30"/>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1" w:name="_Toc185671679"/>
      <w:r w:rsidRPr="00A8417E">
        <w:t>PRETENZIJŲ, IEŠKINIŲ TEIKIMAS IR NAGRINĖJIMAS</w:t>
      </w:r>
      <w:bookmarkEnd w:id="31"/>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77777777"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8"/>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213A" w14:textId="77777777" w:rsidR="00F57209" w:rsidRDefault="00F57209" w:rsidP="00BC6124">
      <w:pPr>
        <w:spacing w:after="0" w:line="240" w:lineRule="auto"/>
      </w:pPr>
      <w:r>
        <w:separator/>
      </w:r>
    </w:p>
  </w:endnote>
  <w:endnote w:type="continuationSeparator" w:id="0">
    <w:p w14:paraId="008111D0" w14:textId="77777777" w:rsidR="00F57209" w:rsidRDefault="00F57209" w:rsidP="00BC6124">
      <w:pPr>
        <w:spacing w:after="0" w:line="240" w:lineRule="auto"/>
      </w:pPr>
      <w:r>
        <w:continuationSeparator/>
      </w:r>
    </w:p>
  </w:endnote>
  <w:endnote w:type="continuationNotice" w:id="1">
    <w:p w14:paraId="5A32765B" w14:textId="77777777" w:rsidR="00F57209" w:rsidRDefault="00F57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C4CD" w14:textId="77777777" w:rsidR="00F57209" w:rsidRDefault="00F57209" w:rsidP="00BC6124">
      <w:pPr>
        <w:spacing w:after="0" w:line="240" w:lineRule="auto"/>
      </w:pPr>
      <w:r>
        <w:separator/>
      </w:r>
    </w:p>
  </w:footnote>
  <w:footnote w:type="continuationSeparator" w:id="0">
    <w:p w14:paraId="6B9F87BE" w14:textId="77777777" w:rsidR="00F57209" w:rsidRDefault="00F57209" w:rsidP="00BC6124">
      <w:pPr>
        <w:spacing w:after="0" w:line="240" w:lineRule="auto"/>
      </w:pPr>
      <w:r>
        <w:continuationSeparator/>
      </w:r>
    </w:p>
  </w:footnote>
  <w:footnote w:type="continuationNotice" w:id="1">
    <w:p w14:paraId="1CF7E5A3" w14:textId="77777777" w:rsidR="00F57209" w:rsidRDefault="00F57209">
      <w:pPr>
        <w:spacing w:after="0" w:line="240" w:lineRule="auto"/>
      </w:pPr>
    </w:p>
  </w:footnote>
  <w:footnote w:id="2">
    <w:p w14:paraId="7C6D427F" w14:textId="777777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11"/>
  </w:num>
  <w:num w:numId="3">
    <w:abstractNumId w:val="6"/>
  </w:num>
  <w:num w:numId="4">
    <w:abstractNumId w:val="8"/>
  </w:num>
  <w:num w:numId="5">
    <w:abstractNumId w:val="2"/>
  </w:num>
  <w:num w:numId="6">
    <w:abstractNumId w:val="4"/>
  </w:num>
  <w:num w:numId="7">
    <w:abstractNumId w:val="10"/>
  </w:num>
  <w:num w:numId="8">
    <w:abstractNumId w:val="1"/>
  </w:num>
  <w:num w:numId="9">
    <w:abstractNumId w:val="3"/>
  </w:num>
  <w:num w:numId="10">
    <w:abstractNumId w:val="5"/>
  </w:num>
  <w:num w:numId="11">
    <w:abstractNumId w:val="7"/>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6F0D"/>
    <w:rsid w:val="00031B84"/>
    <w:rsid w:val="00033521"/>
    <w:rsid w:val="00034ADB"/>
    <w:rsid w:val="00035613"/>
    <w:rsid w:val="0004060B"/>
    <w:rsid w:val="00042281"/>
    <w:rsid w:val="0005252F"/>
    <w:rsid w:val="000525C0"/>
    <w:rsid w:val="00061237"/>
    <w:rsid w:val="00061FFC"/>
    <w:rsid w:val="00081A0A"/>
    <w:rsid w:val="00085C4D"/>
    <w:rsid w:val="000A0250"/>
    <w:rsid w:val="000A49A7"/>
    <w:rsid w:val="000B1062"/>
    <w:rsid w:val="000C2632"/>
    <w:rsid w:val="000C67F5"/>
    <w:rsid w:val="000D1077"/>
    <w:rsid w:val="000E188C"/>
    <w:rsid w:val="000E2CDB"/>
    <w:rsid w:val="000F39E1"/>
    <w:rsid w:val="00104B36"/>
    <w:rsid w:val="00112DE4"/>
    <w:rsid w:val="0011305C"/>
    <w:rsid w:val="00117E65"/>
    <w:rsid w:val="0014092D"/>
    <w:rsid w:val="00157E8F"/>
    <w:rsid w:val="00163931"/>
    <w:rsid w:val="00166A30"/>
    <w:rsid w:val="001717C9"/>
    <w:rsid w:val="00173B94"/>
    <w:rsid w:val="0018040D"/>
    <w:rsid w:val="00183E8A"/>
    <w:rsid w:val="00184A80"/>
    <w:rsid w:val="001A6EE3"/>
    <w:rsid w:val="001B0A99"/>
    <w:rsid w:val="001B6249"/>
    <w:rsid w:val="001D02EC"/>
    <w:rsid w:val="001E393C"/>
    <w:rsid w:val="00201933"/>
    <w:rsid w:val="00211667"/>
    <w:rsid w:val="00213E7D"/>
    <w:rsid w:val="0021765E"/>
    <w:rsid w:val="002556BB"/>
    <w:rsid w:val="0025634E"/>
    <w:rsid w:val="002641C4"/>
    <w:rsid w:val="00272693"/>
    <w:rsid w:val="002B60C3"/>
    <w:rsid w:val="002C0788"/>
    <w:rsid w:val="002D1210"/>
    <w:rsid w:val="002E03DC"/>
    <w:rsid w:val="002E5485"/>
    <w:rsid w:val="003010DD"/>
    <w:rsid w:val="00301662"/>
    <w:rsid w:val="00312302"/>
    <w:rsid w:val="00325533"/>
    <w:rsid w:val="00325856"/>
    <w:rsid w:val="00327BBA"/>
    <w:rsid w:val="003350C5"/>
    <w:rsid w:val="00336E25"/>
    <w:rsid w:val="003417F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5DCE"/>
    <w:rsid w:val="004F2494"/>
    <w:rsid w:val="004F314F"/>
    <w:rsid w:val="004F72A9"/>
    <w:rsid w:val="00506EA1"/>
    <w:rsid w:val="005343A4"/>
    <w:rsid w:val="00545994"/>
    <w:rsid w:val="00550F9A"/>
    <w:rsid w:val="0055501E"/>
    <w:rsid w:val="0056547E"/>
    <w:rsid w:val="0058366A"/>
    <w:rsid w:val="00592498"/>
    <w:rsid w:val="005A028E"/>
    <w:rsid w:val="005C792F"/>
    <w:rsid w:val="005E281C"/>
    <w:rsid w:val="005E5D1B"/>
    <w:rsid w:val="005F219F"/>
    <w:rsid w:val="00611D7C"/>
    <w:rsid w:val="00617CA2"/>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957C2"/>
    <w:rsid w:val="007A14AB"/>
    <w:rsid w:val="007A3071"/>
    <w:rsid w:val="007A3C5E"/>
    <w:rsid w:val="007B23E3"/>
    <w:rsid w:val="007C38FA"/>
    <w:rsid w:val="007D4DB2"/>
    <w:rsid w:val="007E42D9"/>
    <w:rsid w:val="007F0C74"/>
    <w:rsid w:val="00801648"/>
    <w:rsid w:val="00801713"/>
    <w:rsid w:val="00824EDA"/>
    <w:rsid w:val="00825DC6"/>
    <w:rsid w:val="00827136"/>
    <w:rsid w:val="00845F67"/>
    <w:rsid w:val="0085672F"/>
    <w:rsid w:val="00862AD6"/>
    <w:rsid w:val="008677D0"/>
    <w:rsid w:val="00867E6F"/>
    <w:rsid w:val="00883AF3"/>
    <w:rsid w:val="00883CE5"/>
    <w:rsid w:val="008A0A05"/>
    <w:rsid w:val="008A2DD3"/>
    <w:rsid w:val="008B5A5B"/>
    <w:rsid w:val="008D5691"/>
    <w:rsid w:val="00903FB5"/>
    <w:rsid w:val="00906587"/>
    <w:rsid w:val="009125F3"/>
    <w:rsid w:val="00913F96"/>
    <w:rsid w:val="00921703"/>
    <w:rsid w:val="009248D5"/>
    <w:rsid w:val="00931340"/>
    <w:rsid w:val="00947C4B"/>
    <w:rsid w:val="0096617C"/>
    <w:rsid w:val="00972317"/>
    <w:rsid w:val="009A152F"/>
    <w:rsid w:val="009B35BC"/>
    <w:rsid w:val="009D6759"/>
    <w:rsid w:val="009F4CAA"/>
    <w:rsid w:val="009F559C"/>
    <w:rsid w:val="00A01246"/>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5745"/>
    <w:rsid w:val="00B32DA5"/>
    <w:rsid w:val="00B34A03"/>
    <w:rsid w:val="00B72FBB"/>
    <w:rsid w:val="00B80C6D"/>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E20EA"/>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268C"/>
    <w:rsid w:val="00DB3E37"/>
    <w:rsid w:val="00DB4423"/>
    <w:rsid w:val="00DB7C4E"/>
    <w:rsid w:val="00DC0860"/>
    <w:rsid w:val="00DC102E"/>
    <w:rsid w:val="00DC38DD"/>
    <w:rsid w:val="00DC4357"/>
    <w:rsid w:val="00DD2B03"/>
    <w:rsid w:val="00DD694D"/>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30AFD"/>
    <w:rsid w:val="00F424C4"/>
    <w:rsid w:val="00F53891"/>
    <w:rsid w:val="00F57209"/>
    <w:rsid w:val="00F572A3"/>
    <w:rsid w:val="00F57D13"/>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2.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19</Pages>
  <Words>38923</Words>
  <Characters>22187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3</cp:revision>
  <dcterms:created xsi:type="dcterms:W3CDTF">2025-10-02T10:35:00Z</dcterms:created>
  <dcterms:modified xsi:type="dcterms:W3CDTF">2026-01-13T07:29:00Z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