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
          <w:bCs/>
          <w:color w:val="auto"/>
          <w:sz w:val="21"/>
          <w:szCs w:val="21"/>
        </w:rPr>
        <w:id w:val="-808551268"/>
        <w:docPartObj>
          <w:docPartGallery w:val="Cover Pages"/>
          <w:docPartUnique/>
        </w:docPartObj>
      </w:sdtPr>
      <w:sdtEndPr>
        <w:rPr>
          <w:b w:val="0"/>
          <w:bCs w:val="0"/>
        </w:rPr>
      </w:sdtEndPr>
      <w:sdtContent>
        <w:bookmarkStart w:id="0" w:name="Institucija" w:displacedByCustomXml="prev"/>
        <w:bookmarkStart w:id="1" w:name="autorius" w:displacedByCustomXml="prev"/>
        <w:bookmarkStart w:id="2" w:name="_Toc191565774" w:displacedByCustomXml="prev"/>
        <w:p w14:paraId="199EBC30" w14:textId="77777777" w:rsidR="00FE510B" w:rsidRPr="00A717A5" w:rsidRDefault="00FE510B" w:rsidP="00FE510B">
          <w:pPr>
            <w:pStyle w:val="Antrat1"/>
            <w:jc w:val="center"/>
            <w:rPr>
              <w:rFonts w:ascii="Times New Roman" w:eastAsia="Times New Roman" w:hAnsi="Times New Roman" w:cs="Times New Roman"/>
              <w:b/>
              <w:color w:val="auto"/>
              <w:sz w:val="24"/>
              <w:szCs w:val="20"/>
            </w:rPr>
          </w:pPr>
          <w:r w:rsidRPr="00A717A5">
            <w:rPr>
              <w:rFonts w:ascii="Times New Roman" w:eastAsia="Times New Roman" w:hAnsi="Times New Roman" w:cs="Times New Roman"/>
              <w:b/>
              <w:color w:val="auto"/>
              <w:sz w:val="24"/>
              <w:szCs w:val="20"/>
            </w:rPr>
            <w:t>VARĖNOS RAJONO SAVIVALDYBĖS ADMINISTRACIJA</w:t>
          </w:r>
          <w:bookmarkEnd w:id="2"/>
          <w:bookmarkEnd w:id="1"/>
          <w:bookmarkEnd w:id="0"/>
        </w:p>
        <w:p w14:paraId="79A63568" w14:textId="77777777" w:rsidR="00FE510B" w:rsidRPr="00A717A5" w:rsidRDefault="00FE510B" w:rsidP="00FE510B">
          <w:pPr>
            <w:spacing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FE510B" w:rsidRPr="00A717A5" w14:paraId="1B698C28" w14:textId="77777777" w:rsidTr="001D66CD">
            <w:trPr>
              <w:trHeight w:val="424"/>
            </w:trPr>
            <w:tc>
              <w:tcPr>
                <w:tcW w:w="10131" w:type="dxa"/>
                <w:tcBorders>
                  <w:top w:val="nil"/>
                  <w:left w:val="nil"/>
                  <w:bottom w:val="single" w:sz="8" w:space="0" w:color="000000"/>
                  <w:right w:val="nil"/>
                </w:tcBorders>
                <w:hideMark/>
              </w:tcPr>
              <w:p w14:paraId="785BCAEB" w14:textId="77777777" w:rsidR="00FE510B" w:rsidRPr="00A717A5" w:rsidRDefault="00FE510B" w:rsidP="001D66CD">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Biudžetinė įstaiga, Vytauto g. 12, 65184 Varėna, tel. (8 310) 32 005, el. p. </w:t>
                </w:r>
                <w:hyperlink r:id="rId11" w:history="1">
                  <w:r w:rsidRPr="00A717A5">
                    <w:rPr>
                      <w:rFonts w:ascii="Times New Roman" w:eastAsia="Times New Roman" w:hAnsi="Times New Roman" w:cs="Times New Roman"/>
                      <w:sz w:val="18"/>
                      <w:szCs w:val="18"/>
                      <w:u w:val="single"/>
                    </w:rPr>
                    <w:t>direktorius@varena.lt</w:t>
                  </w:r>
                </w:hyperlink>
                <w:r w:rsidRPr="00A717A5">
                  <w:rPr>
                    <w:rFonts w:ascii="Times New Roman" w:eastAsia="Times New Roman" w:hAnsi="Times New Roman" w:cs="Times New Roman"/>
                    <w:sz w:val="18"/>
                    <w:szCs w:val="18"/>
                  </w:rPr>
                  <w:t>.</w:t>
                </w:r>
              </w:p>
              <w:p w14:paraId="74848830" w14:textId="77777777" w:rsidR="00FE510B" w:rsidRPr="00A717A5" w:rsidRDefault="00FE510B" w:rsidP="001D66CD">
                <w:pPr>
                  <w:spacing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 Duomenys kaupiami ir saugomi Juridinių asmenų registre, kodas 188773873</w:t>
                </w:r>
              </w:p>
            </w:tc>
          </w:tr>
        </w:tbl>
        <w:p w14:paraId="3B32919B" w14:textId="77777777" w:rsidR="00FE510B" w:rsidRPr="00A717A5" w:rsidRDefault="00FE510B" w:rsidP="00FE510B">
          <w:pPr>
            <w:tabs>
              <w:tab w:val="right" w:leader="underscore" w:pos="8505"/>
            </w:tabs>
            <w:jc w:val="center"/>
            <w:rPr>
              <w:rFonts w:ascii="Times New Roman" w:hAnsi="Times New Roman" w:cs="Times New Roman"/>
              <w:sz w:val="24"/>
              <w:szCs w:val="24"/>
            </w:rPr>
          </w:pPr>
        </w:p>
        <w:p w14:paraId="1E08AE31" w14:textId="77777777" w:rsidR="00FE510B" w:rsidRPr="00A717A5" w:rsidRDefault="00FE510B" w:rsidP="00FE510B">
          <w:pPr>
            <w:spacing w:after="120" w:line="20" w:lineRule="atLeast"/>
            <w:contextualSpacing/>
            <w:jc w:val="center"/>
            <w:rPr>
              <w:rFonts w:ascii="Times New Roman" w:hAnsi="Times New Roman" w:cs="Times New Roman"/>
              <w:sz w:val="24"/>
              <w:szCs w:val="24"/>
            </w:rPr>
          </w:pPr>
        </w:p>
        <w:p w14:paraId="4E0F6132" w14:textId="77777777" w:rsidR="00FE510B" w:rsidRPr="00A717A5" w:rsidRDefault="00FE510B" w:rsidP="00FE510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PATVIRTINTA </w:t>
          </w:r>
        </w:p>
        <w:p w14:paraId="3F109B5F" w14:textId="4E84BF42" w:rsidR="00FE510B" w:rsidRPr="00A717A5" w:rsidRDefault="00FE510B" w:rsidP="00FE510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Varėnos rajono savivaldybės administracijos Viešųjų pirkimų komisijos 202</w:t>
          </w:r>
          <w:r>
            <w:rPr>
              <w:rFonts w:ascii="Times New Roman" w:hAnsi="Times New Roman" w:cs="Times New Roman"/>
              <w:sz w:val="24"/>
              <w:szCs w:val="24"/>
            </w:rPr>
            <w:t>6-02-</w:t>
          </w:r>
          <w:r w:rsidR="00F20E20">
            <w:rPr>
              <w:rFonts w:ascii="Times New Roman" w:hAnsi="Times New Roman" w:cs="Times New Roman"/>
              <w:sz w:val="24"/>
              <w:szCs w:val="24"/>
            </w:rPr>
            <w:t>25</w:t>
          </w:r>
        </w:p>
        <w:p w14:paraId="7B256E0A" w14:textId="7CDBEB06" w:rsidR="00FE510B" w:rsidRPr="00A717A5" w:rsidRDefault="00FE510B" w:rsidP="00FE510B">
          <w:pPr>
            <w:spacing w:after="120" w:line="20" w:lineRule="atLeast"/>
            <w:ind w:left="5245" w:firstLine="0"/>
            <w:contextualSpacing/>
            <w:rPr>
              <w:rFonts w:ascii="Times New Roman" w:hAnsi="Times New Roman" w:cs="Times New Roman"/>
              <w:sz w:val="24"/>
              <w:szCs w:val="24"/>
            </w:rPr>
          </w:pPr>
          <w:r w:rsidRPr="00A717A5">
            <w:rPr>
              <w:rFonts w:ascii="Times New Roman" w:hAnsi="Times New Roman" w:cs="Times New Roman"/>
              <w:sz w:val="24"/>
              <w:szCs w:val="24"/>
            </w:rPr>
            <w:t xml:space="preserve">protokolu Nr. </w:t>
          </w:r>
          <w:r>
            <w:rPr>
              <w:rFonts w:ascii="Times New Roman" w:hAnsi="Times New Roman" w:cs="Times New Roman"/>
              <w:sz w:val="24"/>
              <w:szCs w:val="24"/>
            </w:rPr>
            <w:t>M</w:t>
          </w:r>
          <w:r w:rsidRPr="00A717A5">
            <w:rPr>
              <w:rFonts w:ascii="Times New Roman" w:hAnsi="Times New Roman" w:cs="Times New Roman"/>
              <w:sz w:val="24"/>
              <w:szCs w:val="24"/>
            </w:rPr>
            <w:t>VP</w:t>
          </w:r>
          <w:r>
            <w:rPr>
              <w:rFonts w:ascii="Times New Roman" w:hAnsi="Times New Roman" w:cs="Times New Roman"/>
              <w:sz w:val="24"/>
              <w:szCs w:val="24"/>
            </w:rPr>
            <w:t>-</w:t>
          </w:r>
          <w:r w:rsidR="00F20E20">
            <w:rPr>
              <w:rFonts w:ascii="Times New Roman" w:hAnsi="Times New Roman" w:cs="Times New Roman"/>
              <w:sz w:val="24"/>
              <w:szCs w:val="24"/>
            </w:rPr>
            <w:t>5</w:t>
          </w:r>
        </w:p>
        <w:p w14:paraId="65FB705D" w14:textId="77777777" w:rsidR="00FE510B" w:rsidRPr="006E1B7A" w:rsidRDefault="00FE510B" w:rsidP="00FE510B">
          <w:pPr>
            <w:spacing w:after="120"/>
            <w:ind w:left="567" w:firstLine="0"/>
            <w:contextualSpacing/>
            <w:jc w:val="center"/>
            <w:rPr>
              <w:rFonts w:cstheme="minorHAnsi"/>
              <w:color w:val="00B050"/>
            </w:rPr>
          </w:pPr>
        </w:p>
        <w:p w14:paraId="7A128E00" w14:textId="77777777" w:rsidR="00FE510B" w:rsidRPr="006E1B7A" w:rsidRDefault="00FE510B" w:rsidP="00FE510B">
          <w:pPr>
            <w:spacing w:after="120"/>
            <w:ind w:left="567" w:firstLine="0"/>
            <w:contextualSpacing/>
            <w:jc w:val="center"/>
            <w:rPr>
              <w:rFonts w:cstheme="minorHAnsi"/>
            </w:rPr>
          </w:pPr>
        </w:p>
        <w:p w14:paraId="34DE9D9F" w14:textId="77777777" w:rsidR="00FE510B" w:rsidRPr="006E1B7A" w:rsidRDefault="00FE510B" w:rsidP="00FE510B">
          <w:pPr>
            <w:spacing w:after="120"/>
            <w:ind w:left="567" w:firstLine="0"/>
            <w:contextualSpacing/>
            <w:jc w:val="center"/>
            <w:rPr>
              <w:rFonts w:cstheme="minorHAnsi"/>
              <w:sz w:val="28"/>
              <w:szCs w:val="28"/>
            </w:rPr>
          </w:pPr>
        </w:p>
        <w:p w14:paraId="5B51ADE8" w14:textId="77777777" w:rsidR="00FE510B" w:rsidRPr="006E1B7A" w:rsidRDefault="00FE510B" w:rsidP="00FE510B">
          <w:pPr>
            <w:spacing w:after="120"/>
            <w:ind w:left="567" w:firstLine="0"/>
            <w:contextualSpacing/>
            <w:jc w:val="center"/>
            <w:rPr>
              <w:rFonts w:cstheme="minorHAnsi"/>
              <w:sz w:val="28"/>
              <w:szCs w:val="28"/>
            </w:rPr>
          </w:pPr>
        </w:p>
        <w:p w14:paraId="6789929E"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MAŽOS VERTĖS VIEŠOJO PIRKIMO</w:t>
          </w:r>
        </w:p>
        <w:p w14:paraId="23CAA279"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p>
        <w:p w14:paraId="2FC7C517" w14:textId="337947A5" w:rsidR="00FE510B" w:rsidRPr="00275A65" w:rsidRDefault="00FE510B" w:rsidP="00FE510B">
          <w:pPr>
            <w:ind w:left="567" w:firstLine="0"/>
            <w:contextualSpacing/>
            <w:jc w:val="center"/>
            <w:rPr>
              <w:rFonts w:ascii="Times New Roman" w:hAnsi="Times New Roman" w:cs="Times New Roman"/>
              <w:b/>
              <w:color w:val="4472C4" w:themeColor="accent1"/>
              <w:sz w:val="32"/>
              <w:szCs w:val="24"/>
            </w:rPr>
          </w:pPr>
          <w:r w:rsidRPr="00275A65">
            <w:rPr>
              <w:rFonts w:ascii="Times New Roman" w:hAnsi="Times New Roman" w:cs="Times New Roman"/>
              <w:b/>
              <w:bCs/>
              <w:sz w:val="36"/>
              <w:szCs w:val="28"/>
            </w:rPr>
            <w:t>„</w:t>
          </w:r>
          <w:bookmarkStart w:id="3" w:name="_Hlk216704511"/>
          <w:r w:rsidR="00FB621C" w:rsidRPr="00FB621C">
            <w:rPr>
              <w:rFonts w:ascii="Times New Roman" w:hAnsi="Times New Roman" w:cs="Times New Roman"/>
              <w:b/>
              <w:bCs/>
              <w:color w:val="4472C4" w:themeColor="accent1"/>
              <w:sz w:val="32"/>
              <w:szCs w:val="24"/>
            </w:rPr>
            <w:t>Priklausomybės (-</w:t>
          </w:r>
          <w:proofErr w:type="spellStart"/>
          <w:r w:rsidR="00FB621C" w:rsidRPr="00FB621C">
            <w:rPr>
              <w:rFonts w:ascii="Times New Roman" w:hAnsi="Times New Roman" w:cs="Times New Roman"/>
              <w:b/>
              <w:bCs/>
              <w:color w:val="4472C4" w:themeColor="accent1"/>
              <w:sz w:val="32"/>
              <w:szCs w:val="24"/>
            </w:rPr>
            <w:t>ių</w:t>
          </w:r>
          <w:proofErr w:type="spellEnd"/>
          <w:r w:rsidR="00FB621C" w:rsidRPr="00FB621C">
            <w:rPr>
              <w:rFonts w:ascii="Times New Roman" w:hAnsi="Times New Roman" w:cs="Times New Roman"/>
              <w:b/>
              <w:bCs/>
              <w:color w:val="4472C4" w:themeColor="accent1"/>
              <w:sz w:val="32"/>
              <w:szCs w:val="24"/>
            </w:rPr>
            <w:t xml:space="preserve">) </w:t>
          </w:r>
          <w:r w:rsidR="00BF6B20">
            <w:rPr>
              <w:rFonts w:ascii="Times New Roman" w:hAnsi="Times New Roman" w:cs="Times New Roman"/>
              <w:b/>
              <w:bCs/>
              <w:color w:val="4472C4" w:themeColor="accent1"/>
              <w:sz w:val="32"/>
              <w:szCs w:val="24"/>
            </w:rPr>
            <w:t>konsultanto paslaugos</w:t>
          </w:r>
          <w:bookmarkEnd w:id="3"/>
          <w:r w:rsidRPr="00275A65">
            <w:rPr>
              <w:rFonts w:ascii="Times New Roman" w:hAnsi="Times New Roman" w:cs="Times New Roman"/>
              <w:b/>
              <w:bCs/>
              <w:sz w:val="36"/>
              <w:szCs w:val="28"/>
            </w:rPr>
            <w:t>“</w:t>
          </w:r>
        </w:p>
        <w:p w14:paraId="1DE0C1A0"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p>
        <w:p w14:paraId="5270C86D"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r w:rsidRPr="00275A65">
            <w:rPr>
              <w:rFonts w:ascii="Times New Roman" w:hAnsi="Times New Roman" w:cs="Times New Roman"/>
              <w:b/>
              <w:bCs/>
              <w:sz w:val="28"/>
              <w:szCs w:val="28"/>
            </w:rPr>
            <w:t xml:space="preserve">SKELBIAMOS APKLAUSOS SPECIALIOSIOS SĄLYGOS </w:t>
          </w:r>
        </w:p>
        <w:p w14:paraId="4BC5EB5E" w14:textId="77777777" w:rsidR="00FE510B" w:rsidRPr="00275A65" w:rsidRDefault="00FE510B" w:rsidP="00FE510B">
          <w:pPr>
            <w:spacing w:line="240" w:lineRule="auto"/>
            <w:ind w:left="567" w:firstLine="0"/>
            <w:contextualSpacing/>
            <w:jc w:val="center"/>
            <w:rPr>
              <w:rFonts w:ascii="Times New Roman" w:hAnsi="Times New Roman" w:cs="Times New Roman"/>
              <w:b/>
              <w:bCs/>
              <w:sz w:val="28"/>
              <w:szCs w:val="28"/>
            </w:rPr>
          </w:pPr>
        </w:p>
        <w:p w14:paraId="517C01D9" w14:textId="02E352F6" w:rsidR="001C24BC" w:rsidRDefault="00FE510B" w:rsidP="00FE510B">
          <w:pPr>
            <w:spacing w:after="120"/>
            <w:ind w:left="567" w:firstLine="0"/>
            <w:contextualSpacing/>
            <w:jc w:val="center"/>
            <w:rPr>
              <w:rFonts w:ascii="Arial" w:hAnsi="Arial" w:cs="Arial"/>
            </w:rPr>
          </w:pPr>
          <w:r w:rsidRPr="00275A65">
            <w:rPr>
              <w:rFonts w:ascii="Times New Roman" w:hAnsi="Times New Roman" w:cs="Times New Roman"/>
              <w:b/>
              <w:bCs/>
              <w:sz w:val="36"/>
              <w:szCs w:val="28"/>
            </w:rPr>
            <w:t>Versija Nr. 1</w:t>
          </w:r>
          <w:r w:rsidR="005F13F0" w:rsidRPr="0493D5F8">
            <w:rPr>
              <w:rFonts w:ascii="Arial" w:hAnsi="Arial" w:cs="Arial"/>
            </w:rPr>
            <w:br w:type="page"/>
          </w:r>
        </w:p>
        <w:p w14:paraId="50FBC201" w14:textId="1627E195" w:rsidR="00413BD0" w:rsidRPr="00413BD0" w:rsidRDefault="00413BD0"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F20E2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Start w:id="10" w:name="_Ref39666794"/>
      <w:bookmarkStart w:id="11" w:name="_Ref39666796"/>
      <w:bookmarkStart w:id="12" w:name="_Toc48053171"/>
      <w:bookmarkStart w:id="13" w:name="_Toc147739116"/>
      <w:bookmarkEnd w:id="4"/>
      <w:bookmarkEnd w:id="5"/>
      <w:bookmarkEnd w:id="6"/>
      <w:bookmarkEnd w:id="7"/>
      <w:bookmarkEnd w:id="8"/>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EF3035D"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6658D" w:rsidRPr="00F769D7">
        <w:t>Varėnos socialinių paslaugų centras</w:t>
      </w:r>
      <w:r w:rsidR="00FB3C75" w:rsidRPr="006B1A30">
        <w:rPr>
          <w:rFonts w:cstheme="minorHAnsi"/>
        </w:rPr>
        <w:t xml:space="preserve">, juridinio asmens kodas </w:t>
      </w:r>
      <w:r w:rsidR="0026658D" w:rsidRPr="00F769D7">
        <w:t>301792843</w:t>
      </w:r>
      <w:r w:rsidR="00FB3C75" w:rsidRPr="006B1A30">
        <w:rPr>
          <w:rFonts w:cstheme="minorHAnsi"/>
        </w:rPr>
        <w:t xml:space="preserve">, adresas </w:t>
      </w:r>
      <w:r w:rsidR="0026658D" w:rsidRPr="00F769D7">
        <w:t>M. K. Čiurlionio g. 61A</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0C9DB558" w14:textId="77777777" w:rsidR="0026658D" w:rsidRDefault="0026658D" w:rsidP="0026658D">
      <w:pPr>
        <w:pStyle w:val="Sraopastraipa"/>
        <w:numPr>
          <w:ilvl w:val="1"/>
          <w:numId w:val="9"/>
        </w:numPr>
        <w:spacing w:line="240" w:lineRule="auto"/>
        <w:ind w:left="0" w:firstLine="710"/>
        <w:rPr>
          <w:rFonts w:cstheme="minorHAnsi"/>
        </w:rPr>
      </w:pPr>
      <w:r w:rsidRPr="002211FD">
        <w:rPr>
          <w:rFonts w:cstheme="minorHAnsi"/>
        </w:rPr>
        <w:t xml:space="preserve">Pirkimą perkančiosios organizacijos vardu atlieka centrinė perkančioji organizacija – Varėnos rajono savivaldybės administracija, juridinio asmens kodas 188773873, adresas Vytauto g. 12, Varėna. </w:t>
      </w:r>
    </w:p>
    <w:p w14:paraId="43304316" w14:textId="435234EF" w:rsidR="00020DD7" w:rsidRPr="00905F9E" w:rsidRDefault="0026658D" w:rsidP="00280D3D">
      <w:pPr>
        <w:pStyle w:val="Sraopastraipa"/>
        <w:numPr>
          <w:ilvl w:val="1"/>
          <w:numId w:val="9"/>
        </w:numPr>
        <w:spacing w:line="240" w:lineRule="auto"/>
        <w:ind w:left="0" w:firstLine="710"/>
        <w:rPr>
          <w:rFonts w:cstheme="minorHAnsi"/>
        </w:rPr>
      </w:pPr>
      <w:r w:rsidRPr="0026658D">
        <w:rPr>
          <w:rFonts w:cstheme="minorHAnsi"/>
        </w:rPr>
        <w:t xml:space="preserve">Sutartį pasirašys perkančioji organizacija - </w:t>
      </w:r>
      <w:r w:rsidRPr="00F769D7">
        <w:t>Varėnos socialinių paslaugų centras</w:t>
      </w:r>
      <w:r>
        <w:rPr>
          <w:rFonts w:cstheme="minorHAnsi"/>
        </w:rPr>
        <w:t>.</w:t>
      </w:r>
    </w:p>
    <w:p w14:paraId="0C38D1D6" w14:textId="77777777" w:rsidR="0026658D" w:rsidRPr="0026658D" w:rsidRDefault="0026658D" w:rsidP="0026658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Pr="002211FD">
        <w:rPr>
          <w:rFonts w:cstheme="minorHAnsi"/>
        </w:rPr>
        <w:t>nes perkamų paslaugų centralizuotų pirkimų kataloge nėra</w:t>
      </w:r>
      <w:r w:rsidR="00CA0CC5" w:rsidRPr="0026658D">
        <w:rPr>
          <w:rFonts w:cstheme="minorHAnsi"/>
          <w:color w:val="000000" w:themeColor="text1"/>
        </w:rPr>
        <w:t xml:space="preserve">.  </w:t>
      </w:r>
    </w:p>
    <w:p w14:paraId="52209AAA" w14:textId="77777777" w:rsidR="0026658D" w:rsidRDefault="0026658D" w:rsidP="0026658D">
      <w:pPr>
        <w:pStyle w:val="Sraopastraipa"/>
        <w:numPr>
          <w:ilvl w:val="1"/>
          <w:numId w:val="9"/>
        </w:numPr>
        <w:spacing w:line="240" w:lineRule="auto"/>
        <w:ind w:left="0" w:firstLine="710"/>
        <w:rPr>
          <w:rFonts w:cstheme="minorHAnsi"/>
        </w:rPr>
      </w:pPr>
      <w:r w:rsidRPr="004939D6">
        <w:rPr>
          <w:rFonts w:cstheme="minorHAnsi"/>
        </w:rPr>
        <w:t xml:space="preserve">Pirkimo Komisija </w:t>
      </w:r>
      <w:sdt>
        <w:sdtPr>
          <w:id w:val="481666640"/>
          <w:placeholder>
            <w:docPart w:val="97B1E12A5D7E4755A8BDCEF391ED0193"/>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68D92350" w14:textId="75315622" w:rsidR="0026658D" w:rsidRPr="0026658D" w:rsidRDefault="0026658D" w:rsidP="0026658D">
      <w:pPr>
        <w:pStyle w:val="Sraopastraipa"/>
        <w:numPr>
          <w:ilvl w:val="1"/>
          <w:numId w:val="9"/>
        </w:numPr>
        <w:spacing w:line="240" w:lineRule="auto"/>
        <w:ind w:left="0" w:firstLine="710"/>
        <w:rPr>
          <w:rFonts w:cstheme="minorHAnsi"/>
        </w:rPr>
      </w:pPr>
      <w:r w:rsidRPr="004939D6">
        <w:t xml:space="preserve">Atliekamas žaliasis pirkimas. Pirkimas vykdomas vadovaujantis </w:t>
      </w:r>
      <w:hyperlink r:id="rId16" w:history="1">
        <w:r w:rsidRPr="0026658D">
          <w:rPr>
            <w:rStyle w:val="Hipersaitas"/>
            <w:rFonts w:cstheme="minorHAnsi"/>
          </w:rPr>
          <w:t xml:space="preserve">Lietuvos Respublikos aplinkos ministro 2011 m. birželio 28 d. įsakymu Nr. D1-508 </w:t>
        </w:r>
        <w:bookmarkStart w:id="14" w:name="_Hlk216776743"/>
        <w:r w:rsidRPr="0026658D">
          <w:rPr>
            <w:rFonts w:ascii="Times New Roman" w:eastAsia="Times New Roman" w:hAnsi="Times New Roman" w:cs="Times New Roman"/>
            <w:color w:val="000000"/>
            <w:kern w:val="2"/>
            <w:sz w:val="22"/>
            <w:szCs w:val="22"/>
            <w:lang w:eastAsia="en-US"/>
          </w:rPr>
          <w:t>„</w:t>
        </w:r>
        <w:bookmarkEnd w:id="14"/>
        <w:r w:rsidRPr="0026658D">
          <w:rPr>
            <w:rStyle w:val="Hipersaitas"/>
            <w:rFonts w:cstheme="minorHAnsi"/>
          </w:rPr>
          <w:t>Dėl aplinkos apsaugos kriterijų taikymo, vykdant žaliuosius pirkimus, tvarkos aprašo patvirtinimo</w:t>
        </w:r>
        <w:r w:rsidRPr="0026658D">
          <w:rPr>
            <w:rFonts w:ascii="Times New Roman" w:eastAsia="Times New Roman" w:hAnsi="Times New Roman" w:cs="Times New Roman"/>
            <w:color w:val="000000"/>
            <w:kern w:val="2"/>
            <w:sz w:val="22"/>
            <w:szCs w:val="22"/>
            <w:lang w:eastAsia="en-US"/>
          </w:rPr>
          <w:t>“</w:t>
        </w:r>
      </w:hyperlink>
      <w:r w:rsidRPr="0026658D">
        <w:rPr>
          <w:color w:val="00B050"/>
        </w:rPr>
        <w:t xml:space="preserve"> </w:t>
      </w:r>
      <w:r w:rsidRPr="0014346E">
        <w:rPr>
          <w:rFonts w:cstheme="minorHAnsi"/>
        </w:rPr>
        <w:t>4.4.3</w:t>
      </w:r>
      <w:r w:rsidRPr="0026658D">
        <w:rPr>
          <w:i/>
          <w:color w:val="00B050"/>
        </w:rPr>
        <w:t xml:space="preserve"> </w:t>
      </w:r>
      <w:r w:rsidRPr="004939D6">
        <w:t xml:space="preserve">papunkčiu. Aplinkos apaugos kriterijai </w:t>
      </w:r>
      <w:r w:rsidRPr="00186CC2">
        <w:t xml:space="preserve">nustatyti pirkimo sąlygų </w:t>
      </w:r>
      <w:r w:rsidR="00EA4F8A">
        <w:t>6</w:t>
      </w:r>
      <w:r w:rsidRPr="00186CC2">
        <w:t xml:space="preserve"> priede </w:t>
      </w:r>
      <w:r w:rsidRPr="0026658D">
        <w:rPr>
          <w:rFonts w:ascii="Times New Roman" w:eastAsia="Times New Roman" w:hAnsi="Times New Roman" w:cs="Times New Roman"/>
          <w:color w:val="000000"/>
          <w:kern w:val="2"/>
          <w:sz w:val="22"/>
          <w:szCs w:val="22"/>
          <w:lang w:eastAsia="en-US"/>
        </w:rPr>
        <w:t>„</w:t>
      </w:r>
      <w:r w:rsidRPr="0026658D">
        <w:rPr>
          <w:rFonts w:cstheme="minorHAnsi"/>
        </w:rPr>
        <w:t>Sutarties projektas</w:t>
      </w:r>
      <w:r w:rsidRPr="0026658D">
        <w:rPr>
          <w:rFonts w:ascii="Times New Roman" w:eastAsia="Times New Roman" w:hAnsi="Times New Roman" w:cs="Times New Roman"/>
          <w:color w:val="000000"/>
          <w:kern w:val="2"/>
          <w:sz w:val="22"/>
          <w:szCs w:val="22"/>
          <w:lang w:eastAsia="en-US"/>
        </w:rPr>
        <w:t>“</w:t>
      </w:r>
      <w:r>
        <w:rPr>
          <w:rFonts w:ascii="Times New Roman" w:eastAsia="Times New Roman" w:hAnsi="Times New Roman" w:cs="Times New Roman"/>
          <w:color w:val="000000"/>
          <w:kern w:val="2"/>
          <w:sz w:val="22"/>
          <w:szCs w:val="22"/>
          <w:lang w:eastAsia="en-US"/>
        </w:rPr>
        <w:t>.</w:t>
      </w:r>
    </w:p>
    <w:p w14:paraId="15179C0E" w14:textId="4C33588E" w:rsidR="00257685" w:rsidRPr="0026658D" w:rsidRDefault="4B7098B6" w:rsidP="0026658D">
      <w:pPr>
        <w:pStyle w:val="Sraopastraipa"/>
        <w:numPr>
          <w:ilvl w:val="1"/>
          <w:numId w:val="9"/>
        </w:numPr>
        <w:spacing w:line="240" w:lineRule="auto"/>
        <w:ind w:left="0" w:firstLine="710"/>
        <w:rPr>
          <w:rFonts w:cstheme="minorHAnsi"/>
        </w:rPr>
      </w:pPr>
      <w:r w:rsidRPr="0026658D">
        <w:rPr>
          <w:rFonts w:eastAsia="Arial" w:cstheme="minorHAnsi"/>
        </w:rPr>
        <w:t>Bendrosios</w:t>
      </w:r>
      <w:r w:rsidR="00931CA2" w:rsidRPr="0026658D">
        <w:rPr>
          <w:rFonts w:eastAsia="Arial" w:cstheme="minorHAnsi"/>
        </w:rPr>
        <w:t xml:space="preserve"> pirkimo</w:t>
      </w:r>
      <w:r w:rsidRPr="0026658D">
        <w:rPr>
          <w:rFonts w:eastAsia="Arial" w:cstheme="minorHAnsi"/>
        </w:rPr>
        <w:t xml:space="preserve"> sąlygos yra neatskiriama ši</w:t>
      </w:r>
      <w:r w:rsidR="00931CA2" w:rsidRPr="0026658D">
        <w:rPr>
          <w:rFonts w:eastAsia="Arial" w:cstheme="minorHAnsi"/>
        </w:rPr>
        <w:t>ų</w:t>
      </w:r>
      <w:r w:rsidRPr="0026658D">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5" w:name="_Toc137194948"/>
      <w:r w:rsidRPr="00244994">
        <w:rPr>
          <w:rFonts w:asciiTheme="minorHAnsi" w:hAnsiTheme="minorHAnsi" w:cstheme="minorHAnsi"/>
          <w:color w:val="auto"/>
        </w:rPr>
        <w:t>Pirkimo objektas</w:t>
      </w:r>
      <w:bookmarkEnd w:id="15"/>
    </w:p>
    <w:p w14:paraId="7D847502" w14:textId="77777777" w:rsidR="00FB3C75" w:rsidRDefault="00FB3C75" w:rsidP="00E62E95">
      <w:pPr>
        <w:spacing w:line="240" w:lineRule="auto"/>
        <w:ind w:firstLine="0"/>
      </w:pPr>
    </w:p>
    <w:p w14:paraId="0AEFEE07" w14:textId="0779D36E"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8F69BD">
        <w:rPr>
          <w:rFonts w:cstheme="minorHAnsi"/>
        </w:rPr>
        <w:t xml:space="preserve">Perkančioji organizacija </w:t>
      </w:r>
      <w:r w:rsidR="008F69BD" w:rsidRPr="00244994">
        <w:rPr>
          <w:rFonts w:eastAsia="Calibri" w:cstheme="minorHAnsi"/>
          <w:color w:val="000000" w:themeColor="text1"/>
        </w:rPr>
        <w:t xml:space="preserve">numato įsigyti </w:t>
      </w:r>
      <w:r w:rsidR="00FB621C" w:rsidRPr="00FB621C">
        <w:rPr>
          <w:rFonts w:eastAsia="Calibri" w:cstheme="minorHAnsi"/>
          <w:b/>
          <w:bCs/>
        </w:rPr>
        <w:t>Priklausomybės (-</w:t>
      </w:r>
      <w:proofErr w:type="spellStart"/>
      <w:r w:rsidR="00FB621C" w:rsidRPr="00FB621C">
        <w:rPr>
          <w:rFonts w:eastAsia="Calibri" w:cstheme="minorHAnsi"/>
          <w:b/>
          <w:bCs/>
        </w:rPr>
        <w:t>ių</w:t>
      </w:r>
      <w:proofErr w:type="spellEnd"/>
      <w:r w:rsidR="00FB621C" w:rsidRPr="00FB621C">
        <w:rPr>
          <w:rFonts w:eastAsia="Calibri" w:cstheme="minorHAnsi"/>
          <w:b/>
          <w:bCs/>
        </w:rPr>
        <w:t xml:space="preserve">) </w:t>
      </w:r>
      <w:r w:rsidR="008F69BD" w:rsidRPr="00186CC2">
        <w:rPr>
          <w:rFonts w:eastAsia="Calibri" w:cstheme="minorHAnsi"/>
          <w:b/>
          <w:bCs/>
        </w:rPr>
        <w:t>konsulta</w:t>
      </w:r>
      <w:r w:rsidR="008F69BD">
        <w:rPr>
          <w:rFonts w:eastAsia="Calibri" w:cstheme="minorHAnsi"/>
          <w:b/>
          <w:bCs/>
        </w:rPr>
        <w:t>nto</w:t>
      </w:r>
      <w:r w:rsidR="008F69BD" w:rsidRPr="00186CC2">
        <w:rPr>
          <w:rFonts w:eastAsia="Calibri" w:cstheme="minorHAnsi"/>
          <w:b/>
          <w:bCs/>
        </w:rPr>
        <w:t xml:space="preserve"> paslaugas (toliau – paslaugos)</w:t>
      </w:r>
      <w:r w:rsidR="008F69BD" w:rsidRPr="00186CC2">
        <w:rPr>
          <w:rFonts w:eastAsia="Calibri" w:cstheme="minorHAnsi"/>
        </w:rPr>
        <w:t>.</w:t>
      </w:r>
      <w:r w:rsidR="008F69BD" w:rsidRPr="0051562C">
        <w:rPr>
          <w:rFonts w:cstheme="minorHAnsi"/>
        </w:rPr>
        <w:t xml:space="preserve"> </w:t>
      </w:r>
      <w:r w:rsidR="008F69BD" w:rsidRPr="00186CC2">
        <w:rPr>
          <w:rFonts w:eastAsia="Calibri" w:cstheme="minorHAnsi"/>
        </w:rPr>
        <w:t xml:space="preserve">Reikalavimai pirkimo objektui nustatyti specialiųjų pirkimo sąlygų </w:t>
      </w:r>
      <w:r w:rsidR="0099396B">
        <w:rPr>
          <w:rFonts w:eastAsia="Calibri" w:cstheme="minorHAnsi"/>
          <w:b/>
          <w:bCs/>
        </w:rPr>
        <w:t>3</w:t>
      </w:r>
      <w:r w:rsidR="008F69BD" w:rsidRPr="00186CC2">
        <w:rPr>
          <w:rFonts w:eastAsia="Calibri" w:cstheme="minorHAnsi"/>
          <w:b/>
          <w:bCs/>
        </w:rPr>
        <w:t xml:space="preserve"> priede </w:t>
      </w:r>
      <w:r w:rsidR="008F69BD" w:rsidRPr="004E24D2">
        <w:rPr>
          <w:rFonts w:ascii="Times New Roman" w:eastAsia="Times New Roman" w:hAnsi="Times New Roman" w:cs="Times New Roman"/>
          <w:b/>
          <w:bCs/>
          <w:color w:val="000000"/>
          <w:kern w:val="2"/>
          <w:sz w:val="22"/>
          <w:szCs w:val="22"/>
          <w:lang w:eastAsia="en-US"/>
        </w:rPr>
        <w:t>„</w:t>
      </w:r>
      <w:r w:rsidR="008F69BD" w:rsidRPr="004E24D2">
        <w:rPr>
          <w:rFonts w:eastAsia="Calibri" w:cstheme="minorHAnsi"/>
          <w:b/>
          <w:bCs/>
        </w:rPr>
        <w:t>Techninė specifikacija</w:t>
      </w:r>
      <w:r w:rsidR="008F69BD" w:rsidRPr="004E24D2">
        <w:rPr>
          <w:rFonts w:ascii="Times New Roman" w:eastAsia="Times New Roman" w:hAnsi="Times New Roman" w:cs="Times New Roman"/>
          <w:b/>
          <w:bCs/>
          <w:color w:val="000000"/>
          <w:kern w:val="2"/>
          <w:sz w:val="22"/>
          <w:szCs w:val="22"/>
          <w:lang w:eastAsia="en-US"/>
        </w:rPr>
        <w:t>“</w:t>
      </w:r>
      <w:r w:rsidR="008F69BD" w:rsidRPr="008F69BD">
        <w:rPr>
          <w:rFonts w:cstheme="minorHAnsi"/>
        </w:rPr>
        <w:t>.</w:t>
      </w:r>
    </w:p>
    <w:p w14:paraId="49117D58" w14:textId="39F83D56"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8F69BD" w:rsidRPr="00CF3B24">
        <w:rPr>
          <w:rFonts w:cstheme="minorHAnsi"/>
        </w:rPr>
        <w:t xml:space="preserve">Pirkimo objektas į dalis neskaidomas. Pirkimo apimtys, reikalavimai ir techninė specifikacija apibrėžti techninėje specifikacijoje ir specialiųjų pirkimo sąlygų </w:t>
      </w:r>
      <w:r w:rsidR="00EA4F8A">
        <w:rPr>
          <w:rFonts w:cstheme="minorHAnsi"/>
        </w:rPr>
        <w:t>6</w:t>
      </w:r>
      <w:r w:rsidR="008F69BD" w:rsidRPr="00186CC2">
        <w:rPr>
          <w:rFonts w:cstheme="minorHAnsi"/>
        </w:rPr>
        <w:t xml:space="preserve"> priede </w:t>
      </w:r>
      <w:r w:rsidR="008F69BD" w:rsidRPr="004E24D2">
        <w:rPr>
          <w:rFonts w:ascii="Times New Roman" w:eastAsia="Times New Roman" w:hAnsi="Times New Roman" w:cs="Times New Roman"/>
          <w:color w:val="000000"/>
          <w:kern w:val="2"/>
          <w:sz w:val="22"/>
          <w:szCs w:val="22"/>
          <w:lang w:eastAsia="en-US"/>
        </w:rPr>
        <w:t>„</w:t>
      </w:r>
      <w:r w:rsidR="008F69BD" w:rsidRPr="00186CC2">
        <w:rPr>
          <w:rFonts w:cstheme="minorHAnsi"/>
        </w:rPr>
        <w:t>Sutarties projektas</w:t>
      </w:r>
      <w:r w:rsidR="008F69BD" w:rsidRPr="004E24D2">
        <w:rPr>
          <w:rFonts w:ascii="Times New Roman" w:eastAsia="Times New Roman" w:hAnsi="Times New Roman" w:cs="Times New Roman"/>
          <w:color w:val="000000"/>
          <w:kern w:val="2"/>
          <w:sz w:val="22"/>
          <w:szCs w:val="22"/>
          <w:lang w:eastAsia="en-US"/>
        </w:rPr>
        <w:t>“</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4C51FE9C" w14:textId="77777777" w:rsidR="00390847" w:rsidRDefault="003943EC" w:rsidP="00390847">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0CEA2D40" w14:textId="7FD38B57" w:rsidR="00FB3C75" w:rsidRPr="00817AB9" w:rsidRDefault="00BF3638" w:rsidP="00CB00A8">
      <w:pPr>
        <w:pStyle w:val="Antrat1"/>
        <w:numPr>
          <w:ilvl w:val="0"/>
          <w:numId w:val="7"/>
        </w:numPr>
        <w:spacing w:before="720" w:after="0"/>
        <w:rPr>
          <w:rFonts w:asciiTheme="minorHAnsi" w:hAnsiTheme="minorHAnsi" w:cstheme="minorHAnsi"/>
          <w:color w:val="auto"/>
        </w:rPr>
      </w:pPr>
      <w:bookmarkStart w:id="16"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6"/>
      <w:r w:rsidR="00817AB9" w:rsidRPr="00817AB9">
        <w:rPr>
          <w:rFonts w:asciiTheme="minorHAnsi" w:hAnsiTheme="minorHAnsi" w:cstheme="minorHAnsi"/>
          <w:color w:val="auto"/>
        </w:rPr>
        <w:t xml:space="preserve"> </w:t>
      </w:r>
    </w:p>
    <w:p w14:paraId="0ED6AD78" w14:textId="41219CB6" w:rsidR="00FB3C75" w:rsidRDefault="006E115B" w:rsidP="006E115B">
      <w:pPr>
        <w:tabs>
          <w:tab w:val="left" w:pos="5820"/>
        </w:tabs>
        <w:spacing w:line="240" w:lineRule="auto"/>
        <w:ind w:firstLine="0"/>
      </w:pPr>
      <w:r>
        <w:tab/>
      </w:r>
    </w:p>
    <w:p w14:paraId="236826AF" w14:textId="77777777" w:rsidR="00083CAC" w:rsidRDefault="00083CAC" w:rsidP="00083CAC">
      <w:pPr>
        <w:pStyle w:val="Sraopastraipa"/>
        <w:numPr>
          <w:ilvl w:val="1"/>
          <w:numId w:val="7"/>
        </w:numPr>
        <w:spacing w:line="240" w:lineRule="auto"/>
        <w:ind w:left="0" w:firstLine="697"/>
        <w:rPr>
          <w:rFonts w:cstheme="minorHAnsi"/>
        </w:rPr>
      </w:pPr>
      <w:r w:rsidRPr="001F3A79">
        <w:rPr>
          <w:rFonts w:cstheme="minorHAnsi"/>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Pr="00892635">
        <w:rPr>
          <w:rFonts w:cstheme="minorHAnsi"/>
        </w:rPr>
        <w:t>1</w:t>
      </w:r>
      <w:r w:rsidRPr="00186CC2">
        <w:rPr>
          <w:rFonts w:cstheme="minorHAnsi"/>
        </w:rPr>
        <w:t xml:space="preserve"> priede</w:t>
      </w:r>
      <w:r w:rsidRPr="001F3A79">
        <w:rPr>
          <w:rFonts w:cstheme="minorHAnsi"/>
        </w:rPr>
        <w:t xml:space="preserve"> </w:t>
      </w:r>
      <w:r w:rsidRPr="004E24D2">
        <w:rPr>
          <w:rFonts w:ascii="Times New Roman" w:eastAsia="Times New Roman" w:hAnsi="Times New Roman" w:cs="Times New Roman"/>
          <w:color w:val="000000"/>
          <w:kern w:val="2"/>
          <w:sz w:val="22"/>
          <w:szCs w:val="22"/>
          <w:lang w:eastAsia="en-US"/>
        </w:rPr>
        <w:t>„</w:t>
      </w:r>
      <w:r w:rsidRPr="001F3A79">
        <w:rPr>
          <w:rFonts w:cstheme="minorHAnsi"/>
        </w:rPr>
        <w:t>Tiekėjų pašalinimo pagrindai</w:t>
      </w:r>
      <w:r w:rsidRPr="004E24D2">
        <w:rPr>
          <w:rFonts w:ascii="Times New Roman" w:eastAsia="Times New Roman" w:hAnsi="Times New Roman" w:cs="Times New Roman"/>
          <w:color w:val="000000"/>
          <w:kern w:val="2"/>
          <w:sz w:val="22"/>
          <w:szCs w:val="22"/>
          <w:lang w:eastAsia="en-US"/>
        </w:rPr>
        <w:t>“</w:t>
      </w:r>
      <w:r>
        <w:rPr>
          <w:rFonts w:cstheme="minorHAnsi"/>
        </w:rPr>
        <w:t>.</w:t>
      </w:r>
    </w:p>
    <w:p w14:paraId="644B9B4A" w14:textId="77777777" w:rsidR="00083CAC" w:rsidRDefault="00083CAC" w:rsidP="00083CAC">
      <w:pPr>
        <w:pStyle w:val="Sraopastraipa"/>
        <w:numPr>
          <w:ilvl w:val="1"/>
          <w:numId w:val="7"/>
        </w:numPr>
        <w:spacing w:line="240" w:lineRule="auto"/>
        <w:ind w:left="0" w:firstLine="697"/>
        <w:rPr>
          <w:rFonts w:cstheme="minorHAnsi"/>
        </w:rPr>
      </w:pPr>
      <w:r w:rsidRPr="00083CAC">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w:t>
      </w:r>
      <w:r w:rsidRPr="00083CAC">
        <w:rPr>
          <w:rFonts w:cstheme="minorHAnsi"/>
          <w:bCs/>
        </w:rPr>
        <w:t xml:space="preserve">pirkimo sąlygų </w:t>
      </w:r>
      <w:r w:rsidRPr="00892635">
        <w:rPr>
          <w:rFonts w:cstheme="minorHAnsi"/>
          <w:bCs/>
        </w:rPr>
        <w:t>2</w:t>
      </w:r>
      <w:r w:rsidRPr="00083CAC">
        <w:rPr>
          <w:rFonts w:cstheme="minorHAnsi"/>
          <w:bCs/>
        </w:rPr>
        <w:t xml:space="preserve"> priede</w:t>
      </w:r>
      <w:r w:rsidRPr="00083CAC">
        <w:rPr>
          <w:rFonts w:cstheme="minorHAnsi"/>
        </w:rPr>
        <w:t>. Tiekėjas, teikdamas pasiūlymą, įsipareigoja, kad sutartį vykdys tik teisę verstis atitinkama veikla turintys asmenys.</w:t>
      </w:r>
    </w:p>
    <w:p w14:paraId="52D80500" w14:textId="4EF8363E" w:rsidR="00894FEF" w:rsidRPr="00083CAC" w:rsidRDefault="0008617B" w:rsidP="00083CAC">
      <w:pPr>
        <w:pStyle w:val="Sraopastraipa"/>
        <w:numPr>
          <w:ilvl w:val="1"/>
          <w:numId w:val="7"/>
        </w:numPr>
        <w:spacing w:line="240" w:lineRule="auto"/>
        <w:ind w:left="0" w:firstLine="697"/>
        <w:rPr>
          <w:rFonts w:cstheme="minorHAnsi"/>
        </w:rPr>
      </w:pPr>
      <w:r w:rsidRPr="00083CAC">
        <w:rPr>
          <w:rFonts w:eastAsia="Arial" w:cstheme="minorHAnsi"/>
        </w:rPr>
        <w:t xml:space="preserve">Tiekėjas teikdamas pasiūlymą </w:t>
      </w:r>
      <w:r w:rsidR="002C50AE" w:rsidRPr="00083CAC">
        <w:rPr>
          <w:rFonts w:eastAsia="Arial" w:cstheme="minorHAnsi"/>
        </w:rPr>
        <w:t xml:space="preserve">neturi </w:t>
      </w:r>
      <w:r w:rsidRPr="00083CAC">
        <w:rPr>
          <w:rFonts w:eastAsia="Arial" w:cstheme="minorHAnsi"/>
        </w:rPr>
        <w:t xml:space="preserve">pateikti </w:t>
      </w:r>
      <w:r w:rsidR="002C50AE" w:rsidRPr="00083CAC">
        <w:rPr>
          <w:rFonts w:eastAsia="Arial" w:cstheme="minorHAnsi"/>
        </w:rPr>
        <w:t>nei EBVPD</w:t>
      </w:r>
      <w:r w:rsidR="00531D05" w:rsidRPr="00083CAC">
        <w:rPr>
          <w:rFonts w:eastAsia="Arial" w:cstheme="minorHAnsi"/>
        </w:rPr>
        <w:t>,</w:t>
      </w:r>
      <w:r w:rsidR="002C50AE" w:rsidRPr="00083CAC">
        <w:rPr>
          <w:rFonts w:eastAsia="Arial" w:cstheme="minorHAnsi"/>
        </w:rPr>
        <w:t xml:space="preserve"> nei </w:t>
      </w:r>
      <w:r w:rsidRPr="00083CAC">
        <w:rPr>
          <w:rFonts w:eastAsia="Arial" w:cstheme="minorHAnsi"/>
        </w:rPr>
        <w:t>laisvos formos deklaracij</w:t>
      </w:r>
      <w:r w:rsidR="002C50AE" w:rsidRPr="00083CAC">
        <w:rPr>
          <w:rFonts w:eastAsia="Arial" w:cstheme="minorHAnsi"/>
        </w:rPr>
        <w:t>os</w:t>
      </w:r>
      <w:r w:rsidRPr="00083CAC">
        <w:rPr>
          <w:rFonts w:eastAsia="Arial" w:cstheme="minorHAnsi"/>
        </w:rPr>
        <w:t xml:space="preserve"> dėl atitikties reikalavimams.</w:t>
      </w:r>
    </w:p>
    <w:p w14:paraId="69360CD7" w14:textId="6915587E" w:rsidR="00894FEF" w:rsidRPr="00817AB9" w:rsidRDefault="00817AB9" w:rsidP="00CB00A8">
      <w:pPr>
        <w:pStyle w:val="Antrat1"/>
        <w:numPr>
          <w:ilvl w:val="0"/>
          <w:numId w:val="13"/>
        </w:numPr>
        <w:spacing w:before="720" w:after="0" w:line="300" w:lineRule="auto"/>
        <w:rPr>
          <w:rFonts w:asciiTheme="minorHAnsi" w:hAnsiTheme="minorHAnsi" w:cstheme="minorHAnsi"/>
          <w:color w:val="auto"/>
        </w:rPr>
      </w:pPr>
      <w:bookmarkStart w:id="17"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7"/>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447B60BE" w14:textId="77777777" w:rsidR="00CB00A8" w:rsidRPr="00CB00A8" w:rsidRDefault="00CB00A8" w:rsidP="00CB00A8">
      <w:pPr>
        <w:pStyle w:val="Sraopastraipa"/>
        <w:numPr>
          <w:ilvl w:val="0"/>
          <w:numId w:val="14"/>
        </w:numPr>
        <w:spacing w:line="20" w:lineRule="atLeast"/>
        <w:rPr>
          <w:rFonts w:cstheme="minorHAnsi"/>
          <w:vanish/>
        </w:rPr>
      </w:pPr>
    </w:p>
    <w:p w14:paraId="174EAC1F" w14:textId="77777777" w:rsidR="00CB00A8" w:rsidRPr="00CB00A8" w:rsidRDefault="00CB00A8" w:rsidP="00CB00A8">
      <w:pPr>
        <w:pStyle w:val="Sraopastraipa"/>
        <w:numPr>
          <w:ilvl w:val="0"/>
          <w:numId w:val="14"/>
        </w:numPr>
        <w:spacing w:line="20" w:lineRule="atLeast"/>
        <w:rPr>
          <w:rFonts w:cstheme="minorHAnsi"/>
          <w:vanish/>
        </w:rPr>
      </w:pPr>
    </w:p>
    <w:p w14:paraId="3C1E679D" w14:textId="77777777" w:rsidR="00CB00A8" w:rsidRPr="00CB00A8" w:rsidRDefault="00CB00A8" w:rsidP="00CB00A8">
      <w:pPr>
        <w:pStyle w:val="Sraopastraipa"/>
        <w:numPr>
          <w:ilvl w:val="0"/>
          <w:numId w:val="14"/>
        </w:numPr>
        <w:spacing w:line="20" w:lineRule="atLeast"/>
        <w:rPr>
          <w:rFonts w:cstheme="minorHAnsi"/>
          <w:vanish/>
        </w:rPr>
      </w:pPr>
    </w:p>
    <w:p w14:paraId="5B784E97" w14:textId="77777777" w:rsidR="00CB00A8" w:rsidRPr="00CB00A8" w:rsidRDefault="00CB00A8" w:rsidP="00CB00A8">
      <w:pPr>
        <w:pStyle w:val="Sraopastraipa"/>
        <w:numPr>
          <w:ilvl w:val="0"/>
          <w:numId w:val="14"/>
        </w:numPr>
        <w:spacing w:line="20" w:lineRule="atLeast"/>
        <w:rPr>
          <w:rFonts w:cstheme="minorHAnsi"/>
          <w:vanish/>
        </w:rPr>
      </w:pPr>
    </w:p>
    <w:p w14:paraId="1B0EF89E" w14:textId="4D584913" w:rsidR="0008378B" w:rsidRPr="003F7949" w:rsidRDefault="00CB00A8" w:rsidP="003F7949">
      <w:pPr>
        <w:pStyle w:val="Sraopastraipa"/>
        <w:numPr>
          <w:ilvl w:val="1"/>
          <w:numId w:val="14"/>
        </w:numPr>
        <w:spacing w:line="20" w:lineRule="atLeast"/>
        <w:ind w:left="0" w:firstLine="709"/>
        <w:rPr>
          <w:rFonts w:cstheme="minorHAnsi"/>
        </w:rPr>
      </w:pPr>
      <w:r w:rsidRPr="008B7A92">
        <w:rPr>
          <w:rFonts w:cstheme="minorHAnsi"/>
        </w:rPr>
        <w:t>Perkančioji organizacija šiame pirkime netaikys reikalavimų, susijusių su nacionaliniu saugumu.</w:t>
      </w:r>
    </w:p>
    <w:p w14:paraId="490591E3" w14:textId="0623FD03" w:rsidR="006D3202" w:rsidRPr="001B1CD4" w:rsidRDefault="003630A0" w:rsidP="00083CAC">
      <w:pPr>
        <w:pStyle w:val="Antrat1"/>
        <w:numPr>
          <w:ilvl w:val="0"/>
          <w:numId w:val="13"/>
        </w:numPr>
        <w:spacing w:before="720" w:after="0" w:line="300" w:lineRule="auto"/>
        <w:rPr>
          <w:rFonts w:asciiTheme="minorHAnsi" w:hAnsiTheme="minorHAnsi" w:cstheme="minorHAnsi"/>
          <w:color w:val="auto"/>
        </w:rPr>
      </w:pPr>
      <w:bookmarkStart w:id="18" w:name="_Toc137194951"/>
      <w:r w:rsidRPr="001B1CD4">
        <w:rPr>
          <w:rFonts w:asciiTheme="minorHAnsi" w:hAnsiTheme="minorHAnsi" w:cstheme="minorHAnsi"/>
          <w:color w:val="auto"/>
        </w:rPr>
        <w:t>Specialieji reikalavimai pasiūlymų rengimui ir pateikimui</w:t>
      </w:r>
      <w:bookmarkEnd w:id="10"/>
      <w:bookmarkEnd w:id="11"/>
      <w:bookmarkEnd w:id="12"/>
      <w:bookmarkEnd w:id="18"/>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53BAE15B"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5A16BB">
        <w:rPr>
          <w:rFonts w:cstheme="minorHAnsi"/>
        </w:rPr>
        <w:t>T</w:t>
      </w:r>
      <w:r w:rsidR="005A16BB" w:rsidRPr="00F70558">
        <w:rPr>
          <w:rFonts w:cstheme="minorHAnsi"/>
        </w:rPr>
        <w:t xml:space="preserve">iekėjo </w:t>
      </w:r>
      <w:r w:rsidR="005A16BB" w:rsidRPr="00CB78DB">
        <w:rPr>
          <w:rFonts w:cstheme="minorHAnsi"/>
        </w:rPr>
        <w:t>pasirašytas</w:t>
      </w:r>
      <w:r w:rsidR="005A16BB" w:rsidRPr="00CB78DB">
        <w:t xml:space="preserve"> </w:t>
      </w:r>
      <w:r w:rsidR="005A16BB" w:rsidRPr="00F70558">
        <w:rPr>
          <w:rFonts w:cstheme="minorHAnsi"/>
        </w:rPr>
        <w:t xml:space="preserve">pasiūlymas, parengtas pagal </w:t>
      </w:r>
      <w:r w:rsidR="005A16BB">
        <w:rPr>
          <w:rFonts w:cstheme="minorHAnsi"/>
        </w:rPr>
        <w:t>s</w:t>
      </w:r>
      <w:r w:rsidR="005A16BB" w:rsidRPr="00F70558">
        <w:rPr>
          <w:rFonts w:cstheme="minorHAnsi"/>
        </w:rPr>
        <w:t>pecialiųjų</w:t>
      </w:r>
      <w:r w:rsidR="00963E97">
        <w:rPr>
          <w:rFonts w:cstheme="minorHAnsi"/>
        </w:rPr>
        <w:t xml:space="preserve"> </w:t>
      </w:r>
      <w:r w:rsidR="00963E97" w:rsidRPr="00F70558">
        <w:rPr>
          <w:rFonts w:cstheme="minorHAnsi"/>
        </w:rPr>
        <w:fldChar w:fldCharType="begin"/>
      </w:r>
      <w:r w:rsidR="00963E97" w:rsidRPr="00F70558">
        <w:rPr>
          <w:rFonts w:cstheme="minorHAnsi"/>
        </w:rPr>
        <w:instrText xml:space="preserve"> REF _Ref38540913 \h  \* MERGEFORMAT </w:instrText>
      </w:r>
      <w:r w:rsidR="00963E97" w:rsidRPr="00F70558">
        <w:rPr>
          <w:rFonts w:cstheme="minorHAnsi"/>
        </w:rPr>
      </w:r>
      <w:r w:rsidR="00963E97" w:rsidRPr="00F70558">
        <w:rPr>
          <w:rFonts w:cstheme="minorHAnsi"/>
        </w:rPr>
        <w:fldChar w:fldCharType="separate"/>
      </w:r>
      <w:r w:rsidR="00963E97" w:rsidRPr="00F70558">
        <w:rPr>
          <w:rFonts w:cstheme="minorHAnsi"/>
        </w:rPr>
        <w:t xml:space="preserve">pirkimo sąlygų </w:t>
      </w:r>
      <w:r w:rsidR="00963E97" w:rsidRPr="00F70558">
        <w:rPr>
          <w:rFonts w:cstheme="minorHAnsi"/>
        </w:rPr>
        <w:fldChar w:fldCharType="end"/>
      </w:r>
      <w:r w:rsidR="00963E97">
        <w:rPr>
          <w:rFonts w:cstheme="minorHAnsi"/>
          <w:b/>
          <w:bCs/>
        </w:rPr>
        <w:t>4</w:t>
      </w:r>
      <w:r w:rsidR="005A16BB" w:rsidRPr="004E24D2">
        <w:rPr>
          <w:rFonts w:cstheme="minorHAnsi"/>
          <w:b/>
          <w:bCs/>
        </w:rPr>
        <w:t xml:space="preserve"> </w:t>
      </w:r>
      <w:r w:rsidR="005A16BB" w:rsidRPr="004E24D2">
        <w:rPr>
          <w:rFonts w:cstheme="minorHAnsi"/>
          <w:b/>
          <w:bCs/>
        </w:rPr>
        <w:fldChar w:fldCharType="begin"/>
      </w:r>
      <w:r w:rsidR="005A16BB" w:rsidRPr="004E24D2">
        <w:rPr>
          <w:rFonts w:cstheme="minorHAnsi"/>
          <w:b/>
          <w:bCs/>
        </w:rPr>
        <w:instrText xml:space="preserve"> REF _Ref38540913 \h  \* MERGEFORMAT </w:instrText>
      </w:r>
      <w:r w:rsidR="005A16BB" w:rsidRPr="004E24D2">
        <w:rPr>
          <w:rFonts w:cstheme="minorHAnsi"/>
          <w:b/>
          <w:bCs/>
        </w:rPr>
      </w:r>
      <w:r w:rsidR="005A16BB" w:rsidRPr="004E24D2">
        <w:rPr>
          <w:rFonts w:cstheme="minorHAnsi"/>
          <w:b/>
          <w:bCs/>
        </w:rPr>
        <w:fldChar w:fldCharType="end"/>
      </w:r>
      <w:r w:rsidR="005A16BB" w:rsidRPr="004E24D2">
        <w:rPr>
          <w:rFonts w:cstheme="minorHAnsi"/>
          <w:b/>
          <w:bCs/>
        </w:rPr>
        <w:t>priede pateiktą pasiūlymo formą</w:t>
      </w:r>
      <w:r w:rsidR="005A16BB" w:rsidRPr="00F70558">
        <w:rPr>
          <w:rFonts w:cstheme="minorHAnsi"/>
        </w:rPr>
        <w:t xml:space="preserve"> ir pasiūlymo formoje nurodyti ir kiti, tiekėjo nuomone, būtini dokumentai (jų kopijos).</w:t>
      </w:r>
    </w:p>
    <w:p w14:paraId="5449EA50" w14:textId="77777777" w:rsidR="009A71C5" w:rsidRPr="00F70558" w:rsidRDefault="009A71C5" w:rsidP="009A71C5">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5BFED54B" w:rsidR="009A71C5" w:rsidRPr="00164FFC" w:rsidRDefault="009A71C5" w:rsidP="00164FFC">
      <w:pPr>
        <w:pStyle w:val="Sraopastraipa"/>
        <w:spacing w:line="240" w:lineRule="auto"/>
        <w:ind w:left="0"/>
        <w:rPr>
          <w:rFonts w:eastAsia="Calibri" w:cstheme="minorHAnsi"/>
        </w:rPr>
      </w:pPr>
      <w:r w:rsidRPr="00F70558">
        <w:rPr>
          <w:rFonts w:eastAsia="Calibri" w:cstheme="minorHAnsi"/>
        </w:rPr>
        <w:t>5</w:t>
      </w:r>
      <w:r w:rsidRPr="00164FFC">
        <w:rPr>
          <w:rFonts w:eastAsia="Calibri" w:cstheme="minorHAnsi"/>
        </w:rPr>
        <w:t>.2.1.</w:t>
      </w:r>
      <w:r w:rsidR="00164FFC" w:rsidRPr="00164FFC">
        <w:rPr>
          <w:rFonts w:eastAsia="Calibri" w:cstheme="minorHAnsi"/>
        </w:rPr>
        <w:t xml:space="preserve"> </w:t>
      </w:r>
      <w:r w:rsidRPr="00164FFC">
        <w:rPr>
          <w:rFonts w:eastAsia="Calibri" w:cstheme="minorHAnsi"/>
        </w:rPr>
        <w:t>pateikiami kvalifikuotu elektroniniu parašu pasirašyti elektroninėmis priemonėmis suformuoti dokumentai;</w:t>
      </w:r>
    </w:p>
    <w:p w14:paraId="61488440" w14:textId="460D1BD1" w:rsidR="009A71C5" w:rsidRDefault="009A71C5" w:rsidP="00164FFC">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0D2E709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9A27B04"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28ECBAF4" w:rsidR="00F527B1" w:rsidRPr="00E62E95" w:rsidRDefault="00E62E95" w:rsidP="00164FFC">
      <w:pPr>
        <w:pStyle w:val="Antrat1"/>
        <w:numPr>
          <w:ilvl w:val="0"/>
          <w:numId w:val="13"/>
        </w:numPr>
        <w:spacing w:before="720" w:after="0" w:line="300" w:lineRule="auto"/>
        <w:rPr>
          <w:rFonts w:asciiTheme="minorHAnsi" w:hAnsiTheme="minorHAnsi" w:cstheme="minorHAnsi"/>
          <w:color w:val="auto"/>
        </w:rPr>
      </w:pPr>
      <w:bookmarkStart w:id="19" w:name="_Toc137194952"/>
      <w:r w:rsidRPr="00E62E95">
        <w:rPr>
          <w:rFonts w:asciiTheme="minorHAnsi" w:hAnsiTheme="minorHAnsi" w:cstheme="minorHAnsi"/>
          <w:color w:val="auto"/>
        </w:rPr>
        <w:lastRenderedPageBreak/>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B9596C1" w14:textId="4364400B" w:rsidR="00F527B1" w:rsidRPr="003F7949" w:rsidRDefault="007F65C2" w:rsidP="003F7949">
      <w:pPr>
        <w:pStyle w:val="Sraopastraipa"/>
        <w:spacing w:line="240" w:lineRule="auto"/>
        <w:ind w:left="0" w:firstLine="709"/>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164FFC" w:rsidRDefault="00B52705" w:rsidP="00164FFC">
      <w:pPr>
        <w:pStyle w:val="Antrat1"/>
        <w:numPr>
          <w:ilvl w:val="0"/>
          <w:numId w:val="13"/>
        </w:numPr>
        <w:spacing w:before="720" w:after="0" w:line="300" w:lineRule="auto"/>
        <w:rPr>
          <w:rFonts w:asciiTheme="minorHAnsi" w:hAnsiTheme="minorHAnsi" w:cstheme="minorHAnsi"/>
          <w:color w:val="auto"/>
        </w:rPr>
      </w:pPr>
      <w:bookmarkStart w:id="20" w:name="_Toc15392775"/>
      <w:bookmarkStart w:id="21" w:name="_Toc137194953"/>
      <w:r w:rsidRPr="00E62E95">
        <w:rPr>
          <w:rFonts w:asciiTheme="minorHAnsi" w:hAnsiTheme="minorHAnsi" w:cstheme="minorHAnsi"/>
          <w:color w:val="auto"/>
        </w:rPr>
        <w:t>P</w:t>
      </w:r>
      <w:bookmarkEnd w:id="20"/>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1"/>
    </w:p>
    <w:p w14:paraId="0C1B0E3A" w14:textId="77777777" w:rsidR="00E85882" w:rsidRPr="00A84437" w:rsidRDefault="00E85882" w:rsidP="00164FFC">
      <w:pPr>
        <w:spacing w:line="240" w:lineRule="auto"/>
        <w:ind w:firstLine="709"/>
        <w:rPr>
          <w:rFonts w:cstheme="minorHAnsi"/>
          <w:vanish/>
        </w:rPr>
      </w:pPr>
    </w:p>
    <w:p w14:paraId="1B516A84" w14:textId="68583003" w:rsidR="00164FFC" w:rsidRDefault="00164FFC" w:rsidP="00164FFC">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892635">
        <w:rPr>
          <w:rFonts w:eastAsia="Calibri" w:cstheme="minorHAnsi"/>
          <w:b/>
          <w:bCs/>
        </w:rPr>
        <w:t>4</w:t>
      </w:r>
      <w:r w:rsidRPr="00186CC2">
        <w:rPr>
          <w:rFonts w:eastAsia="Calibri" w:cstheme="minorHAnsi"/>
          <w:b/>
          <w:bCs/>
        </w:rPr>
        <w:t xml:space="preserve"> priede</w:t>
      </w:r>
      <w:r>
        <w:rPr>
          <w:rFonts w:eastAsia="Calibri" w:cstheme="minorHAnsi"/>
        </w:rPr>
        <w:t xml:space="preserve"> </w:t>
      </w:r>
      <w:r w:rsidRPr="004E24D2">
        <w:rPr>
          <w:rFonts w:ascii="Times New Roman" w:eastAsia="Times New Roman" w:hAnsi="Times New Roman" w:cs="Times New Roman"/>
          <w:b/>
          <w:bCs/>
          <w:color w:val="000000"/>
          <w:kern w:val="2"/>
          <w:sz w:val="22"/>
          <w:szCs w:val="22"/>
          <w:lang w:eastAsia="en-US"/>
        </w:rPr>
        <w:t>„</w:t>
      </w:r>
      <w:r w:rsidRPr="004E24D2">
        <w:rPr>
          <w:rFonts w:eastAsia="Calibri" w:cstheme="minorHAnsi"/>
          <w:b/>
          <w:bCs/>
        </w:rPr>
        <w:t>Pasiūlymo forma</w:t>
      </w:r>
      <w:r w:rsidRPr="004E24D2">
        <w:rPr>
          <w:rFonts w:ascii="Times New Roman" w:eastAsia="Times New Roman" w:hAnsi="Times New Roman" w:cs="Times New Roman"/>
          <w:b/>
          <w:bCs/>
          <w:color w:val="000000"/>
          <w:kern w:val="2"/>
          <w:sz w:val="22"/>
          <w:szCs w:val="22"/>
          <w:lang w:eastAsia="en-US"/>
        </w:rPr>
        <w:t>“</w:t>
      </w:r>
      <w:r>
        <w:rPr>
          <w:rFonts w:eastAsia="Calibri" w:cstheme="minorHAnsi"/>
        </w:rPr>
        <w:t>.</w:t>
      </w:r>
    </w:p>
    <w:p w14:paraId="1D701CFA" w14:textId="77777777" w:rsidR="00164FFC" w:rsidRPr="00A84437" w:rsidRDefault="00164FFC" w:rsidP="00164FFC">
      <w:pPr>
        <w:pStyle w:val="Sraopastraipa"/>
        <w:spacing w:line="240" w:lineRule="auto"/>
        <w:ind w:left="0" w:firstLine="709"/>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6F2065D0" w14:textId="12DB0FF7" w:rsidR="00164FFC" w:rsidRPr="003F7949" w:rsidRDefault="00164FFC" w:rsidP="003F7949">
      <w:pPr>
        <w:pStyle w:val="Betarp"/>
        <w:ind w:firstLine="709"/>
        <w:contextualSpacing/>
        <w:rPr>
          <w:rFonts w:cstheme="minorHAnsi"/>
          <w:b/>
          <w:bCs/>
        </w:rPr>
      </w:pPr>
      <w:r w:rsidRPr="00A84437">
        <w:rPr>
          <w:rStyle w:val="cf01"/>
          <w:rFonts w:asciiTheme="minorHAnsi" w:hAnsiTheme="minorHAnsi" w:cstheme="minorHAnsi"/>
          <w:sz w:val="21"/>
          <w:szCs w:val="21"/>
        </w:rPr>
        <w:t xml:space="preserve">7.3. </w:t>
      </w:r>
      <w:r w:rsidRPr="006E7B51">
        <w:rPr>
          <w:rFonts w:cstheme="minorHAnsi"/>
          <w:b/>
          <w:bCs/>
        </w:rPr>
        <w:t>Perkančioji organizacija atmes tiekėjo pasiūlymą, jeigu nebus pateikta tinkamai užpildyta pasiūlymo forma.</w:t>
      </w:r>
    </w:p>
    <w:p w14:paraId="4CFAC41F" w14:textId="0C6D839F" w:rsidR="00D83C57" w:rsidRPr="00164FFC" w:rsidRDefault="00D83C57" w:rsidP="00164FFC">
      <w:pPr>
        <w:pStyle w:val="Antrat1"/>
        <w:numPr>
          <w:ilvl w:val="0"/>
          <w:numId w:val="13"/>
        </w:numPr>
        <w:spacing w:before="720" w:after="0" w:line="300" w:lineRule="auto"/>
        <w:rPr>
          <w:rFonts w:asciiTheme="minorHAnsi" w:hAnsiTheme="minorHAnsi" w:cstheme="minorHAnsi"/>
          <w:color w:val="auto"/>
        </w:rPr>
      </w:pPr>
      <w:bookmarkStart w:id="22" w:name="_Ref39425999"/>
      <w:bookmarkStart w:id="23" w:name="_Ref39426005"/>
      <w:bookmarkStart w:id="24" w:name="_Toc126333937"/>
      <w:bookmarkStart w:id="25" w:name="_Toc137194954"/>
      <w:r w:rsidRPr="00164FFC">
        <w:rPr>
          <w:rFonts w:asciiTheme="minorHAnsi" w:hAnsiTheme="minorHAnsi" w:cstheme="minorHAnsi"/>
          <w:color w:val="auto"/>
        </w:rPr>
        <w:t>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19F2E50" w:rsidR="00D83C57" w:rsidRDefault="000003B6" w:rsidP="006C7DED">
      <w:pPr>
        <w:pStyle w:val="Sraopastraipa"/>
        <w:spacing w:line="240" w:lineRule="auto"/>
        <w:ind w:left="0" w:firstLine="709"/>
        <w:rPr>
          <w:color w:val="000000" w:themeColor="text1"/>
        </w:rPr>
      </w:pPr>
      <w:r>
        <w:rPr>
          <w:color w:val="000000" w:themeColor="text1"/>
        </w:rPr>
        <w:t xml:space="preserve">8.1. </w:t>
      </w:r>
      <w:r w:rsidR="00C6481C">
        <w:rPr>
          <w:color w:val="000000" w:themeColor="text1"/>
        </w:rPr>
        <w:t>Ši pirkimo procedūra atliekama siekiant sudaryti sutartį su tiekėju, kurio pasiūlymas, vadovaujantis pirkimo sąlygose</w:t>
      </w:r>
      <w:r w:rsidR="00C6481C">
        <w:rPr>
          <w:color w:val="0070C0"/>
        </w:rPr>
        <w:t xml:space="preserve"> </w:t>
      </w:r>
      <w:r w:rsidR="00C6481C">
        <w:rPr>
          <w:color w:val="000000" w:themeColor="text1"/>
        </w:rPr>
        <w:t xml:space="preserve">nustatyta tvarka, bus pripažintas laimėjęs, o jei pirkimas skaidomas į dalis – su tiekėjais, kurių pasiūlymai bus pripažinti laimėję. </w:t>
      </w:r>
      <w:r w:rsidR="00C6481C">
        <w:t>Sutarties sąlygos pateikiamos specialiųjų p</w:t>
      </w:r>
      <w:r w:rsidR="00C6481C" w:rsidRPr="127DD6E8">
        <w:t>irkimo sąlygų</w:t>
      </w:r>
      <w:r w:rsidR="00C6481C">
        <w:t xml:space="preserve"> </w:t>
      </w:r>
      <w:r w:rsidR="00EA4F8A">
        <w:rPr>
          <w:rFonts w:cstheme="minorHAnsi"/>
        </w:rPr>
        <w:t>6</w:t>
      </w:r>
      <w:r w:rsidR="00C6481C" w:rsidRPr="00767F6F">
        <w:rPr>
          <w:rFonts w:cstheme="minorHAnsi"/>
        </w:rPr>
        <w:t xml:space="preserve"> </w:t>
      </w:r>
      <w:r w:rsidR="00C6481C" w:rsidRPr="00C6481C">
        <w:rPr>
          <w:rFonts w:cstheme="minorHAnsi"/>
        </w:rPr>
        <w:t>priede</w:t>
      </w:r>
      <w:r w:rsidR="00C6481C">
        <w:rPr>
          <w:rFonts w:cstheme="minorHAnsi"/>
        </w:rPr>
        <w:t xml:space="preserve"> </w:t>
      </w:r>
      <w:r w:rsidR="00C6481C" w:rsidRPr="004E24D2">
        <w:rPr>
          <w:rFonts w:ascii="Times New Roman" w:eastAsia="Times New Roman" w:hAnsi="Times New Roman" w:cs="Times New Roman"/>
          <w:color w:val="000000"/>
          <w:kern w:val="2"/>
          <w:sz w:val="22"/>
          <w:szCs w:val="22"/>
          <w:lang w:eastAsia="en-US"/>
        </w:rPr>
        <w:t>„</w:t>
      </w:r>
      <w:r w:rsidR="00C6481C" w:rsidRPr="00186CC2">
        <w:rPr>
          <w:rFonts w:cstheme="minorHAnsi"/>
        </w:rPr>
        <w:t>Sutarties projektas</w:t>
      </w:r>
      <w:r w:rsidR="00C6481C" w:rsidRPr="004E24D2">
        <w:rPr>
          <w:rFonts w:ascii="Times New Roman" w:eastAsia="Times New Roman" w:hAnsi="Times New Roman" w:cs="Times New Roman"/>
          <w:color w:val="000000"/>
          <w:kern w:val="2"/>
          <w:sz w:val="22"/>
          <w:szCs w:val="22"/>
          <w:lang w:eastAsia="en-US"/>
        </w:rPr>
        <w:t>“</w:t>
      </w:r>
      <w:r w:rsidR="00C6481C" w:rsidRPr="00186CC2">
        <w:rPr>
          <w:rFonts w:cstheme="minorHAnsi"/>
        </w:rPr>
        <w:t>.</w:t>
      </w:r>
    </w:p>
    <w:p w14:paraId="5B316373" w14:textId="6C57B5F1" w:rsidR="000D5039" w:rsidRPr="00A84437" w:rsidRDefault="00274B64" w:rsidP="00164FFC">
      <w:pPr>
        <w:pStyle w:val="Antrat1"/>
        <w:numPr>
          <w:ilvl w:val="0"/>
          <w:numId w:val="13"/>
        </w:numPr>
        <w:spacing w:before="720" w:after="0" w:line="300" w:lineRule="auto"/>
        <w:rPr>
          <w:rFonts w:asciiTheme="minorHAnsi" w:hAnsiTheme="minorHAnsi" w:cstheme="minorHAnsi"/>
          <w:color w:val="auto"/>
        </w:rPr>
      </w:pPr>
      <w:bookmarkStart w:id="26" w:name="_Toc137194955"/>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6"/>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004DA0C" w:rsidR="00E250DF" w:rsidRDefault="00C6481C" w:rsidP="00C6481C">
      <w:pPr>
        <w:pStyle w:val="Betarp"/>
        <w:spacing w:line="276" w:lineRule="auto"/>
        <w:contextualSpacing/>
        <w:rPr>
          <w:rFonts w:ascii="Arial" w:eastAsiaTheme="minorHAnsi" w:hAnsi="Arial" w:cs="Arial"/>
        </w:rPr>
      </w:pPr>
      <w:r w:rsidRPr="00995AC0">
        <w:rPr>
          <w:rFonts w:eastAsia="Times New Roman" w:cstheme="minorHAnsi"/>
        </w:rPr>
        <w:t>Perkančioji organizacija pirkime netaikys papildomų sąlygų.</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401FEEF" w14:textId="77777777" w:rsidR="00D1000A" w:rsidRPr="004E24D2" w:rsidRDefault="00D1000A" w:rsidP="00D1000A">
      <w:pPr>
        <w:spacing w:line="240" w:lineRule="auto"/>
        <w:ind w:firstLine="567"/>
        <w:rPr>
          <w:rFonts w:eastAsia="Arial" w:cstheme="minorHAnsi"/>
          <w:iCs/>
        </w:rPr>
      </w:pPr>
      <w:r w:rsidRPr="004E24D2">
        <w:rPr>
          <w:rFonts w:eastAsia="Arial" w:cstheme="minorHAnsi"/>
          <w:iCs/>
        </w:rPr>
        <w:t xml:space="preserve">Perkančioji organizacija atmeta tiekėjo pasiūlymą, jeigu: </w:t>
      </w:r>
    </w:p>
    <w:p w14:paraId="0B9E0905" w14:textId="77777777" w:rsidR="00D1000A" w:rsidRPr="004E24D2" w:rsidRDefault="00D1000A" w:rsidP="00D1000A">
      <w:pPr>
        <w:pStyle w:val="Betarp"/>
        <w:ind w:firstLine="567"/>
        <w:rPr>
          <w:rFonts w:eastAsia="Yu Mincho" w:cstheme="minorHAnsi"/>
          <w:b/>
          <w:bCs/>
          <w:iCs/>
        </w:rPr>
      </w:pPr>
      <w:r w:rsidRPr="004E24D2">
        <w:rPr>
          <w:rFonts w:eastAsia="Arial" w:cstheme="minorHAnsi"/>
          <w:iCs/>
        </w:rPr>
        <w:t xml:space="preserve">1. </w:t>
      </w:r>
      <w:r w:rsidRPr="004E24D2">
        <w:rPr>
          <w:rFonts w:cstheme="minorHAnsi"/>
          <w:iCs/>
        </w:rPr>
        <w:t xml:space="preserve">Tiekėjas su kitais tiekėjais yra sudaręs susitarimų, kuriais siekiama iškreipti konkurenciją atliekamame pirkime, ir perkančioji organizacija dėl to turi įtikinamų duomenų </w:t>
      </w:r>
      <w:r w:rsidRPr="004E24D2">
        <w:rPr>
          <w:rFonts w:cstheme="minorHAnsi"/>
          <w:b/>
          <w:iCs/>
        </w:rPr>
        <w:t>(</w:t>
      </w:r>
      <w:r w:rsidRPr="004E24D2">
        <w:rPr>
          <w:rFonts w:eastAsia="Yu Mincho" w:cstheme="minorHAnsi"/>
          <w:b/>
          <w:iCs/>
        </w:rPr>
        <w:t>VPĮ 46 straipsnio 4 dalies 1 punktas</w:t>
      </w:r>
      <w:r w:rsidRPr="004E24D2">
        <w:rPr>
          <w:rFonts w:eastAsia="Arial" w:cstheme="minorHAnsi"/>
          <w:iCs/>
        </w:rPr>
        <w:t>).</w:t>
      </w:r>
    </w:p>
    <w:p w14:paraId="48CCB166" w14:textId="77777777" w:rsidR="00D1000A" w:rsidRPr="004E24D2" w:rsidRDefault="00D1000A" w:rsidP="00D1000A">
      <w:pPr>
        <w:pStyle w:val="Betarp"/>
        <w:ind w:firstLine="567"/>
        <w:rPr>
          <w:rFonts w:cstheme="minorHAnsi"/>
          <w:b/>
          <w:iCs/>
        </w:rPr>
      </w:pPr>
      <w:r w:rsidRPr="004E24D2">
        <w:rPr>
          <w:rFonts w:eastAsia="Arial" w:cstheme="minorHAnsi"/>
          <w:iCs/>
        </w:rPr>
        <w:t xml:space="preserve">2. </w:t>
      </w:r>
      <w:r w:rsidRPr="004E24D2">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E24D2">
        <w:rPr>
          <w:rFonts w:cstheme="minorHAnsi"/>
          <w:b/>
          <w:iCs/>
        </w:rPr>
        <w:t>(</w:t>
      </w:r>
      <w:r w:rsidRPr="004E24D2">
        <w:rPr>
          <w:rFonts w:eastAsia="Yu Mincho" w:cstheme="minorHAnsi"/>
          <w:b/>
          <w:iCs/>
        </w:rPr>
        <w:t>VPĮ 46 straipsnio 4 dalies 2 punktas)</w:t>
      </w:r>
      <w:r w:rsidRPr="004E24D2">
        <w:rPr>
          <w:rFonts w:cstheme="minorHAnsi"/>
          <w:iCs/>
        </w:rPr>
        <w:t>.</w:t>
      </w:r>
    </w:p>
    <w:p w14:paraId="6FBE72D0" w14:textId="77777777" w:rsidR="00D1000A" w:rsidRPr="007F4209" w:rsidRDefault="00D1000A" w:rsidP="00D1000A">
      <w:pPr>
        <w:pStyle w:val="Betarp"/>
        <w:ind w:firstLine="567"/>
        <w:rPr>
          <w:rFonts w:eastAsia="Yu Mincho" w:cstheme="minorHAnsi"/>
          <w:b/>
          <w:bCs/>
        </w:rPr>
      </w:pPr>
      <w:r w:rsidRPr="00272A91">
        <w:rPr>
          <w:rFonts w:eastAsia="Arial" w:cstheme="minorHAnsi"/>
          <w:iCs/>
        </w:rPr>
        <w:t>3.</w:t>
      </w:r>
      <w:r w:rsidRPr="007F4209">
        <w:rPr>
          <w:rFonts w:eastAsia="Arial" w:cstheme="minorHAnsi"/>
          <w:i/>
        </w:rPr>
        <w:t xml:space="preserve"> </w:t>
      </w:r>
      <w:r w:rsidRPr="007F4209">
        <w:rPr>
          <w:rFonts w:cstheme="minorHAnsi"/>
        </w:rPr>
        <w:t xml:space="preserve">Pažeista konkurencija, kaip nustatyta VPĮ 27 straipsnio 3 ir 4 dalyse, ir atitinkamos padėties negalima ištaisyti </w:t>
      </w:r>
      <w:r w:rsidRPr="007F4209">
        <w:rPr>
          <w:rFonts w:cstheme="minorHAnsi"/>
          <w:b/>
        </w:rPr>
        <w:t>(</w:t>
      </w:r>
      <w:r w:rsidRPr="007F4209">
        <w:rPr>
          <w:rFonts w:eastAsia="Yu Mincho" w:cstheme="minorHAnsi"/>
          <w:b/>
        </w:rPr>
        <w:t>VPĮ 46 straipsnio 4 dalies 3 punktas).</w:t>
      </w:r>
    </w:p>
    <w:p w14:paraId="784790D1" w14:textId="77777777" w:rsidR="00D1000A" w:rsidRPr="007F4209" w:rsidRDefault="00D1000A" w:rsidP="00D1000A">
      <w:pPr>
        <w:pStyle w:val="Betarp"/>
        <w:ind w:firstLine="567"/>
        <w:rPr>
          <w:rFonts w:cstheme="minorHAnsi"/>
        </w:rPr>
      </w:pPr>
      <w:r w:rsidRPr="00272A91">
        <w:rPr>
          <w:rFonts w:eastAsia="Arial" w:cstheme="minorHAnsi"/>
          <w:iCs/>
        </w:rPr>
        <w:t>4.</w:t>
      </w:r>
      <w:r w:rsidRPr="007F4209">
        <w:rPr>
          <w:rFonts w:eastAsia="Arial" w:cstheme="minorHAnsi"/>
          <w:i/>
        </w:rPr>
        <w:t xml:space="preserve"> </w:t>
      </w:r>
      <w:r w:rsidRPr="007F420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C8B9A7C" w14:textId="77777777" w:rsidR="00D1000A" w:rsidRPr="007F4209" w:rsidRDefault="00D1000A" w:rsidP="00D1000A">
      <w:pPr>
        <w:pStyle w:val="Betarp"/>
        <w:ind w:firstLine="567"/>
        <w:rPr>
          <w:rFonts w:eastAsia="Yu Mincho" w:cstheme="minorHAnsi"/>
          <w:b/>
        </w:rPr>
      </w:pPr>
      <w:r w:rsidRPr="007F4209">
        <w:rPr>
          <w:rFonts w:eastAsia="Arial" w:cstheme="minorHAnsi"/>
        </w:rPr>
        <w:t>5.</w:t>
      </w:r>
      <w:r w:rsidRPr="007F420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F4209">
        <w:rPr>
          <w:rFonts w:cstheme="minorHAnsi"/>
        </w:rPr>
        <w:t>(</w:t>
      </w:r>
      <w:r w:rsidRPr="007F4209">
        <w:rPr>
          <w:rFonts w:eastAsia="Yu Mincho" w:cstheme="minorHAnsi"/>
          <w:b/>
        </w:rPr>
        <w:t>VPĮ 46 straipsnio 4 dalies 5 punktas).</w:t>
      </w:r>
    </w:p>
    <w:p w14:paraId="42B26AED" w14:textId="77777777" w:rsidR="00D1000A" w:rsidRPr="004E24D2" w:rsidRDefault="00D1000A" w:rsidP="00D1000A">
      <w:pPr>
        <w:pStyle w:val="Betarp"/>
        <w:ind w:firstLine="567"/>
        <w:rPr>
          <w:rFonts w:cstheme="minorHAnsi"/>
          <w:iCs/>
        </w:rPr>
      </w:pPr>
      <w:r w:rsidRPr="004E24D2">
        <w:rPr>
          <w:rFonts w:cstheme="minorHAnsi"/>
          <w:iCs/>
        </w:rPr>
        <w:t>6. Tiekėjui taikoma baudžiamojo poveikio priemonė – uždraudimas juridiniam asmeniui dalyvauti viešuosiuose pirkimuose (VPĮ 46 straipsnio 2¹ dalis).</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16363A6" w14:textId="77777777" w:rsidR="00A43167" w:rsidRPr="00194164" w:rsidRDefault="00A43167" w:rsidP="00A43167">
      <w:pPr>
        <w:tabs>
          <w:tab w:val="left" w:pos="568"/>
        </w:tabs>
        <w:spacing w:line="276" w:lineRule="auto"/>
        <w:ind w:firstLine="709"/>
        <w:rPr>
          <w:rFonts w:eastAsia="Arial" w:cstheme="minorHAnsi"/>
          <w:iCs/>
        </w:rPr>
      </w:pPr>
      <w:r w:rsidRPr="00194164">
        <w:rPr>
          <w:rFonts w:eastAsia="Arial" w:cstheme="minorHAnsi"/>
          <w:iCs/>
        </w:rPr>
        <w:t xml:space="preserve">1. Tiekėjo kvalifikacijos reikalavimai nustatomi vadovaujantis </w:t>
      </w:r>
      <w:hyperlink r:id="rId17" w:history="1">
        <w:r w:rsidRPr="00194164">
          <w:rPr>
            <w:rStyle w:val="Hipersaitas"/>
            <w:rFonts w:eastAsia="Arial" w:cstheme="minorHAnsi"/>
            <w:iCs/>
          </w:rPr>
          <w:t>Tiekėjo kvalifikacijos reikalavimų nustatymo metodika</w:t>
        </w:r>
      </w:hyperlink>
      <w:r w:rsidRPr="00194164">
        <w:rPr>
          <w:rFonts w:eastAsia="Arial" w:cstheme="minorHAnsi"/>
          <w:iCs/>
        </w:rPr>
        <w:t>, patvirtinta Viešųjų pirkimų tarnybos direktoriaus 2017 m. birželio 29 d. įsakymu Nr. 1S-105.</w:t>
      </w:r>
    </w:p>
    <w:p w14:paraId="7CF294D1" w14:textId="77777777" w:rsidR="00A43167" w:rsidRPr="00194164" w:rsidRDefault="00A43167" w:rsidP="00A43167">
      <w:pPr>
        <w:tabs>
          <w:tab w:val="left" w:pos="568"/>
        </w:tabs>
        <w:spacing w:line="276" w:lineRule="auto"/>
        <w:ind w:firstLine="709"/>
        <w:rPr>
          <w:rFonts w:eastAsia="Arial" w:cstheme="minorHAnsi"/>
        </w:rPr>
      </w:pPr>
      <w:r w:rsidRPr="00194164">
        <w:rPr>
          <w:rFonts w:eastAsia="Arial" w:cstheme="minorHAnsi"/>
        </w:rPr>
        <w:t xml:space="preserve">2. Tiekėjo kvalifikacija turi atitikti šiame priede nustatytus reikalavimus kvalifikacijai. </w:t>
      </w:r>
    </w:p>
    <w:p w14:paraId="01441B01" w14:textId="77777777" w:rsidR="00A43167" w:rsidRPr="00194164" w:rsidRDefault="00A43167" w:rsidP="00A43167">
      <w:pPr>
        <w:tabs>
          <w:tab w:val="left" w:pos="568"/>
        </w:tabs>
        <w:spacing w:line="276" w:lineRule="auto"/>
        <w:ind w:firstLine="709"/>
        <w:rPr>
          <w:rFonts w:eastAsia="Arial" w:cstheme="minorHAnsi"/>
          <w:bCs/>
        </w:rPr>
      </w:pPr>
      <w:r w:rsidRPr="00194164">
        <w:rPr>
          <w:rFonts w:eastAsia="Arial" w:cstheme="minorHAnsi"/>
        </w:rPr>
        <w:t xml:space="preserve">3. </w:t>
      </w:r>
      <w:r w:rsidRPr="00194164">
        <w:rPr>
          <w:rFonts w:eastAsia="Arial" w:cstheme="minorHAnsi"/>
          <w:bCs/>
        </w:rPr>
        <w:t>Jeigu tiekėjo kvalifikacija dėl teisės verstis atitinkama veikla nebuvo tikrinama arba tikrinama ne visa apimtimi, tiekėjas perkančiajai organizacijai įsipareigoja, kad pirkimo sutartį vykdys tik tokią teisę turintys asmenys.</w:t>
      </w:r>
    </w:p>
    <w:p w14:paraId="2CCC9941" w14:textId="77777777" w:rsidR="00A43167" w:rsidRPr="00194164" w:rsidRDefault="00A43167" w:rsidP="00A43167">
      <w:pPr>
        <w:tabs>
          <w:tab w:val="left" w:pos="568"/>
        </w:tabs>
        <w:spacing w:line="276" w:lineRule="auto"/>
        <w:ind w:firstLine="709"/>
        <w:rPr>
          <w:rFonts w:eastAsia="Arial" w:cstheme="minorHAnsi"/>
          <w:bCs/>
        </w:rPr>
      </w:pPr>
      <w:r w:rsidRPr="00194164">
        <w:rPr>
          <w:rFonts w:eastAsia="Arial" w:cstheme="minorHAnsi"/>
          <w:bC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194164">
        <w:rPr>
          <w:rFonts w:eastAsia="Arial" w:cstheme="minorHAnsi"/>
          <w:bCs/>
        </w:rPr>
        <w:t>kvazisubtiekėjai</w:t>
      </w:r>
      <w:proofErr w:type="spellEnd"/>
      <w:r w:rsidRPr="00194164">
        <w:rPr>
          <w:rFonts w:eastAsia="Arial" w:cstheme="minorHAnsi"/>
          <w:bCs/>
        </w:rPr>
        <w:t xml:space="preserve">) ir/ar pasiūlymo pateikimo metu žinomi subrangovai turi būti nurodyti pasiūlymo formoje (Pirkimo sąlygų 5 priedas). Tiekėjas įsipareigoja, kad pirkimo sutartį vykdys tik tokią teisę turintys fiziniai ar juridiniai asmenys. </w:t>
      </w:r>
    </w:p>
    <w:p w14:paraId="40202CAE" w14:textId="77777777" w:rsidR="00A43167" w:rsidRPr="00194164" w:rsidRDefault="00A43167" w:rsidP="00A43167">
      <w:pPr>
        <w:tabs>
          <w:tab w:val="left" w:pos="568"/>
        </w:tabs>
        <w:spacing w:line="276" w:lineRule="auto"/>
        <w:ind w:firstLine="709"/>
        <w:rPr>
          <w:rFonts w:eastAsia="Arial" w:cstheme="minorHAnsi"/>
          <w:bCs/>
        </w:rPr>
      </w:pPr>
      <w:r w:rsidRPr="00194164">
        <w:rPr>
          <w:rFonts w:eastAsia="Arial" w:cstheme="minorHAnsi"/>
          <w:bC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194164">
        <w:rPr>
          <w:rFonts w:eastAsia="Arial" w:cstheme="minorHAnsi"/>
          <w:bCs/>
        </w:rPr>
        <w:t>kvazisubtiekėją</w:t>
      </w:r>
      <w:proofErr w:type="spellEnd"/>
      <w:r w:rsidRPr="00194164">
        <w:rPr>
          <w:rFonts w:eastAsia="Arial" w:cstheme="minorHAnsi"/>
          <w:bCs/>
        </w:rPr>
        <w:t>), tokiu atveju, tiekėjas iki pateikiant pasiūlymą turi sudaryti su tokiu specialistu susitarimą arba ketinimų protokolą arba kitą lygiavertį dokumentą (pateikiamas skenuotu dokumentu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juos sieja darbo santykiai (tiekėjas yra darbdavys).</w:t>
      </w:r>
    </w:p>
    <w:p w14:paraId="2D5EDAED" w14:textId="77777777" w:rsidR="00A43167" w:rsidRPr="00194164" w:rsidRDefault="00A43167" w:rsidP="00A43167">
      <w:pPr>
        <w:tabs>
          <w:tab w:val="left" w:pos="568"/>
        </w:tabs>
        <w:spacing w:line="276" w:lineRule="auto"/>
        <w:ind w:firstLine="709"/>
        <w:rPr>
          <w:rFonts w:eastAsia="Arial" w:cstheme="minorHAnsi"/>
        </w:rPr>
      </w:pPr>
      <w:r w:rsidRPr="00194164">
        <w:rPr>
          <w:rFonts w:eastAsia="Arial" w:cstheme="minorHAnsi"/>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2B0191D0" w14:textId="77777777" w:rsidR="00A43167" w:rsidRPr="00DC6221" w:rsidRDefault="00A43167" w:rsidP="00A43167">
      <w:pPr>
        <w:tabs>
          <w:tab w:val="left" w:pos="568"/>
        </w:tabs>
        <w:spacing w:line="276" w:lineRule="auto"/>
        <w:ind w:firstLine="709"/>
        <w:rPr>
          <w:rFonts w:eastAsia="Arial" w:cstheme="minorHAnsi"/>
        </w:rPr>
      </w:pPr>
      <w:r w:rsidRPr="00194164">
        <w:rPr>
          <w:rFonts w:eastAsia="Arial" w:cstheme="minorHAnsi"/>
        </w:rPr>
        <w:t>7. Tiekėjo pasiūlymas atmetamas, jeigu apie nustatytų reikalavimų atitikimą jis pateikė melagingą informaciją, kurią perkančioji organizacija gali įrodyti bet kokiomis teisėtomis priemonėmis.</w:t>
      </w:r>
    </w:p>
    <w:p w14:paraId="6816C509" w14:textId="77777777" w:rsidR="00A43167" w:rsidRDefault="00A43167"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DCCB595" w14:textId="77777777" w:rsidR="007C483C" w:rsidRDefault="007C483C" w:rsidP="007C483C">
      <w:pPr>
        <w:spacing w:before="60" w:after="60" w:line="256" w:lineRule="auto"/>
        <w:jc w:val="center"/>
        <w:rPr>
          <w:rFonts w:eastAsiaTheme="minorHAnsi" w:cstheme="minorHAnsi"/>
          <w:b/>
          <w:bCs/>
        </w:rPr>
      </w:pPr>
    </w:p>
    <w:p w14:paraId="3D92A8E0" w14:textId="77777777" w:rsidR="00A43167" w:rsidRDefault="00A43167" w:rsidP="007C483C">
      <w:pPr>
        <w:spacing w:before="60" w:after="60" w:line="256" w:lineRule="auto"/>
        <w:jc w:val="center"/>
        <w:rPr>
          <w:rFonts w:eastAsiaTheme="minorHAnsi" w:cstheme="minorHAnsi"/>
          <w:b/>
          <w:bCs/>
        </w:rPr>
      </w:pPr>
    </w:p>
    <w:p w14:paraId="54BFB9A0" w14:textId="77777777" w:rsidR="00A43167" w:rsidRDefault="00A43167" w:rsidP="007C483C">
      <w:pPr>
        <w:spacing w:before="60" w:after="60" w:line="256" w:lineRule="auto"/>
        <w:jc w:val="center"/>
        <w:rPr>
          <w:rFonts w:eastAsiaTheme="minorHAnsi" w:cstheme="minorHAnsi"/>
          <w:b/>
          <w:bCs/>
        </w:rPr>
      </w:pPr>
    </w:p>
    <w:p w14:paraId="0EA53F04" w14:textId="77777777" w:rsidR="00A43167" w:rsidRDefault="00A43167" w:rsidP="007C483C">
      <w:pPr>
        <w:spacing w:before="60" w:after="60" w:line="256" w:lineRule="auto"/>
        <w:jc w:val="center"/>
        <w:rPr>
          <w:rFonts w:eastAsiaTheme="minorHAnsi" w:cstheme="minorHAnsi"/>
          <w:b/>
          <w:bCs/>
        </w:rPr>
      </w:pPr>
    </w:p>
    <w:p w14:paraId="67160013" w14:textId="77777777" w:rsidR="00A43167" w:rsidRDefault="00A43167" w:rsidP="007C483C">
      <w:pPr>
        <w:spacing w:before="60" w:after="60" w:line="256" w:lineRule="auto"/>
        <w:jc w:val="center"/>
        <w:rPr>
          <w:rFonts w:eastAsiaTheme="minorHAnsi" w:cstheme="minorHAnsi"/>
          <w:b/>
          <w:bCs/>
        </w:rPr>
      </w:pPr>
    </w:p>
    <w:p w14:paraId="03FDAC45" w14:textId="77777777" w:rsidR="004D6BB3" w:rsidRPr="0087078D" w:rsidRDefault="004D6BB3" w:rsidP="004D6BB3">
      <w:pPr>
        <w:jc w:val="center"/>
        <w:rPr>
          <w:rFonts w:ascii="Calibri" w:eastAsia="Arial" w:hAnsi="Calibri" w:cs="Calibri"/>
          <w:smallCaps/>
          <w:color w:val="404040"/>
          <w:sz w:val="28"/>
          <w:szCs w:val="28"/>
        </w:rPr>
      </w:pPr>
      <w:r w:rsidRPr="0087078D">
        <w:rPr>
          <w:rFonts w:ascii="Calibri" w:eastAsia="Arial" w:hAnsi="Calibri" w:cs="Calibri"/>
          <w:smallCaps/>
          <w:color w:val="404040"/>
          <w:sz w:val="28"/>
          <w:szCs w:val="28"/>
        </w:rPr>
        <w:t>TIEKĖJŲ KVALIFIKACIJOS REIKALAVIMAI</w:t>
      </w:r>
    </w:p>
    <w:p w14:paraId="35C69827" w14:textId="77777777" w:rsidR="004D6BB3" w:rsidRPr="0087078D" w:rsidRDefault="004D6BB3" w:rsidP="004D6BB3">
      <w:pPr>
        <w:rPr>
          <w:rFonts w:ascii="Calibri" w:eastAsia="Arial" w:hAnsi="Calibri" w:cs="Calibri"/>
          <w:smallCaps/>
          <w:color w:val="404040"/>
          <w:sz w:val="28"/>
          <w:szCs w:val="28"/>
        </w:rPr>
      </w:pPr>
      <w:r w:rsidRPr="0087078D">
        <w:rPr>
          <w:rFonts w:ascii="Calibri" w:eastAsia="Calibri" w:hAnsi="Calibri" w:cs="Calibri"/>
        </w:rPr>
        <w:t>1.</w:t>
      </w:r>
      <w:r w:rsidRPr="0087078D">
        <w:rPr>
          <w:rFonts w:ascii="Calibri" w:eastAsia="Calibri" w:hAnsi="Calibri" w:cs="Calibri"/>
          <w:bCs/>
          <w:iCs/>
          <w:lang w:eastAsia="ar-SA"/>
        </w:rPr>
        <w:t>Tiekėjas, pageidaujantis dalyvauti pirkime, turi atitikti minimalius kvalifikacijos reikalavimus:</w:t>
      </w:r>
    </w:p>
    <w:tbl>
      <w:tblPr>
        <w:tblStyle w:val="TableGrid31"/>
        <w:tblpPr w:leftFromText="180" w:rightFromText="180" w:vertAnchor="page" w:horzAnchor="margin" w:tblpY="2471"/>
        <w:tblW w:w="5231" w:type="pct"/>
        <w:tblLook w:val="04A0" w:firstRow="1" w:lastRow="0" w:firstColumn="1" w:lastColumn="0" w:noHBand="0" w:noVBand="1"/>
      </w:tblPr>
      <w:tblGrid>
        <w:gridCol w:w="586"/>
        <w:gridCol w:w="4167"/>
        <w:gridCol w:w="2818"/>
        <w:gridCol w:w="2851"/>
      </w:tblGrid>
      <w:tr w:rsidR="004D6BB3" w:rsidRPr="0087078D" w14:paraId="2E898064" w14:textId="77777777" w:rsidTr="004D6BB3">
        <w:trPr>
          <w:cantSplit/>
          <w:trHeight w:val="322"/>
          <w:tblHeader/>
        </w:trPr>
        <w:tc>
          <w:tcPr>
            <w:tcW w:w="28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9126BDB" w14:textId="77777777" w:rsidR="004D6BB3" w:rsidRPr="0087078D" w:rsidRDefault="004D6BB3" w:rsidP="004D6BB3">
            <w:pPr>
              <w:rPr>
                <w:rFonts w:ascii="Calibri" w:eastAsia="Calibri" w:hAnsi="Calibri" w:cs="Calibri"/>
                <w:b/>
                <w:bCs/>
                <w:noProof/>
                <w:sz w:val="22"/>
                <w:szCs w:val="22"/>
                <w:lang w:val="en-GB"/>
              </w:rPr>
            </w:pPr>
            <w:r w:rsidRPr="0087078D">
              <w:rPr>
                <w:rFonts w:eastAsia="Calibri" w:cs="Calibri"/>
                <w:b/>
                <w:bCs/>
                <w:noProof/>
                <w:sz w:val="22"/>
                <w:szCs w:val="22"/>
                <w:lang w:val="en-GB"/>
              </w:rPr>
              <w:t>Eil. Nr.</w:t>
            </w:r>
          </w:p>
        </w:tc>
        <w:tc>
          <w:tcPr>
            <w:tcW w:w="199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72C065C1" w14:textId="77777777" w:rsidR="004D6BB3" w:rsidRPr="0087078D" w:rsidRDefault="004D6BB3" w:rsidP="004D6BB3">
            <w:pPr>
              <w:rPr>
                <w:rFonts w:ascii="Calibri" w:eastAsia="Calibri" w:hAnsi="Calibri" w:cs="Calibri"/>
                <w:b/>
                <w:bCs/>
                <w:noProof/>
                <w:sz w:val="22"/>
                <w:szCs w:val="22"/>
                <w:lang w:val="en-GB"/>
              </w:rPr>
            </w:pPr>
            <w:r w:rsidRPr="0087078D">
              <w:rPr>
                <w:rFonts w:eastAsia="Calibri" w:cs="Calibri"/>
                <w:b/>
                <w:bCs/>
                <w:noProof/>
                <w:sz w:val="22"/>
                <w:szCs w:val="22"/>
                <w:lang w:val="en-GB"/>
              </w:rPr>
              <w:t>Kvalifikacijos reikalavimas</w:t>
            </w:r>
          </w:p>
        </w:tc>
        <w:tc>
          <w:tcPr>
            <w:tcW w:w="135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5A0C9BF7" w14:textId="77777777" w:rsidR="004D6BB3" w:rsidRPr="0087078D" w:rsidRDefault="004D6BB3" w:rsidP="004D6BB3">
            <w:pPr>
              <w:rPr>
                <w:rFonts w:ascii="Calibri" w:eastAsia="Calibri" w:hAnsi="Calibri" w:cs="Calibri"/>
                <w:b/>
                <w:bCs/>
                <w:noProof/>
                <w:sz w:val="22"/>
                <w:szCs w:val="22"/>
                <w:lang w:val="en-GB"/>
              </w:rPr>
            </w:pPr>
            <w:r w:rsidRPr="0087078D">
              <w:rPr>
                <w:rFonts w:eastAsia="Calibri" w:cs="Calibri"/>
                <w:b/>
                <w:bCs/>
                <w:noProof/>
                <w:sz w:val="22"/>
                <w:szCs w:val="22"/>
                <w:lang w:val="en-GB"/>
              </w:rPr>
              <w:t>Atitiktį reikalavimui įrodantys  dokumentai</w:t>
            </w:r>
          </w:p>
        </w:tc>
        <w:tc>
          <w:tcPr>
            <w:tcW w:w="1368" w:type="pct"/>
            <w:tcBorders>
              <w:top w:val="single" w:sz="4" w:space="0" w:color="000000"/>
              <w:left w:val="single" w:sz="4" w:space="0" w:color="000000"/>
              <w:bottom w:val="single" w:sz="4" w:space="0" w:color="000000"/>
              <w:right w:val="single" w:sz="4" w:space="0" w:color="000000"/>
            </w:tcBorders>
            <w:shd w:val="clear" w:color="auto" w:fill="DEEAF6"/>
          </w:tcPr>
          <w:p w14:paraId="30C84080" w14:textId="77777777" w:rsidR="004D6BB3" w:rsidRPr="0087078D" w:rsidRDefault="004D6BB3" w:rsidP="004D6BB3">
            <w:pPr>
              <w:rPr>
                <w:rFonts w:ascii="Calibri" w:eastAsia="Calibri" w:hAnsi="Calibri" w:cs="Calibri"/>
                <w:b/>
                <w:bCs/>
                <w:noProof/>
                <w:sz w:val="22"/>
                <w:szCs w:val="22"/>
                <w:lang w:val="en-GB"/>
              </w:rPr>
            </w:pPr>
          </w:p>
          <w:p w14:paraId="0D5F4C50" w14:textId="77777777" w:rsidR="004D6BB3" w:rsidRPr="0087078D" w:rsidRDefault="004D6BB3" w:rsidP="004D6BB3">
            <w:pPr>
              <w:rPr>
                <w:rFonts w:ascii="Calibri" w:eastAsia="Calibri" w:hAnsi="Calibri" w:cs="Calibri"/>
                <w:b/>
                <w:bCs/>
                <w:noProof/>
                <w:sz w:val="22"/>
                <w:szCs w:val="22"/>
                <w:lang w:val="en-GB"/>
              </w:rPr>
            </w:pPr>
            <w:r w:rsidRPr="0087078D">
              <w:rPr>
                <w:rFonts w:eastAsia="Calibri" w:cs="Calibri"/>
                <w:b/>
                <w:bCs/>
                <w:noProof/>
                <w:sz w:val="22"/>
                <w:szCs w:val="22"/>
                <w:lang w:val="en-GB"/>
              </w:rPr>
              <w:t>Pastabos</w:t>
            </w:r>
          </w:p>
          <w:p w14:paraId="1BFF5C6D" w14:textId="77777777" w:rsidR="004D6BB3" w:rsidRPr="0087078D" w:rsidRDefault="004D6BB3" w:rsidP="004D6BB3">
            <w:pPr>
              <w:rPr>
                <w:rFonts w:ascii="Calibri" w:eastAsia="Calibri" w:hAnsi="Calibri" w:cs="Calibri"/>
                <w:b/>
                <w:bCs/>
                <w:noProof/>
                <w:sz w:val="22"/>
                <w:szCs w:val="22"/>
                <w:lang w:val="en-GB"/>
              </w:rPr>
            </w:pPr>
          </w:p>
        </w:tc>
      </w:tr>
      <w:tr w:rsidR="004D6BB3" w:rsidRPr="0087078D" w14:paraId="1EE5F549" w14:textId="77777777" w:rsidTr="004D6BB3">
        <w:trPr>
          <w:trHeight w:val="378"/>
        </w:trPr>
        <w:tc>
          <w:tcPr>
            <w:tcW w:w="5000" w:type="pct"/>
            <w:gridSpan w:val="4"/>
            <w:tcBorders>
              <w:top w:val="single" w:sz="4" w:space="0" w:color="000000"/>
              <w:left w:val="single" w:sz="4" w:space="0" w:color="000000"/>
              <w:bottom w:val="single" w:sz="4" w:space="0" w:color="000000"/>
              <w:right w:val="single" w:sz="4" w:space="0" w:color="000000"/>
            </w:tcBorders>
          </w:tcPr>
          <w:p w14:paraId="6C0F380B" w14:textId="77777777" w:rsidR="004D6BB3" w:rsidRPr="0087078D" w:rsidRDefault="004D6BB3" w:rsidP="004D6BB3">
            <w:pPr>
              <w:rPr>
                <w:rFonts w:cs="Calibri"/>
                <w:b/>
                <w:bCs/>
                <w:i/>
                <w:iCs/>
                <w:sz w:val="22"/>
                <w:szCs w:val="22"/>
              </w:rPr>
            </w:pPr>
            <w:r w:rsidRPr="0087078D">
              <w:rPr>
                <w:rFonts w:ascii="Calibri" w:eastAsia="Calibri" w:hAnsi="Calibri" w:cs="Calibri"/>
                <w:b/>
                <w:bCs/>
                <w:i/>
                <w:iCs/>
                <w:noProof/>
              </w:rPr>
              <w:t>Paslaugų teikėjo ar rangovo, ar jų personalo, ar jų vadovaujančio personalo (toliau – personalas) išsilavinimas ir profesinė kvalifikacija.</w:t>
            </w:r>
          </w:p>
        </w:tc>
      </w:tr>
      <w:tr w:rsidR="004D6BB3" w:rsidRPr="0087078D" w14:paraId="49C05014" w14:textId="77777777" w:rsidTr="004D6BB3">
        <w:trPr>
          <w:trHeight w:val="9611"/>
        </w:trPr>
        <w:tc>
          <w:tcPr>
            <w:tcW w:w="281" w:type="pct"/>
            <w:tcBorders>
              <w:top w:val="single" w:sz="4" w:space="0" w:color="000000"/>
              <w:left w:val="single" w:sz="4" w:space="0" w:color="000000"/>
              <w:right w:val="single" w:sz="4" w:space="0" w:color="000000"/>
            </w:tcBorders>
          </w:tcPr>
          <w:p w14:paraId="76FFAB96" w14:textId="77777777" w:rsidR="004D6BB3" w:rsidRPr="0087078D" w:rsidRDefault="004D6BB3" w:rsidP="004D6BB3">
            <w:pPr>
              <w:rPr>
                <w:rFonts w:eastAsia="Calibri" w:cs="Calibri"/>
                <w:noProof/>
                <w:lang w:val="pt-BR"/>
              </w:rPr>
            </w:pPr>
            <w:r w:rsidRPr="0087078D">
              <w:rPr>
                <w:rFonts w:eastAsia="Calibri" w:cs="Calibri"/>
                <w:noProof/>
                <w:lang w:val="pt-BR"/>
              </w:rPr>
              <w:t>1.1</w:t>
            </w:r>
          </w:p>
        </w:tc>
        <w:tc>
          <w:tcPr>
            <w:tcW w:w="1999" w:type="pct"/>
            <w:tcBorders>
              <w:top w:val="single" w:sz="4" w:space="0" w:color="000000"/>
              <w:left w:val="single" w:sz="4" w:space="0" w:color="000000"/>
              <w:right w:val="single" w:sz="4" w:space="0" w:color="auto"/>
            </w:tcBorders>
          </w:tcPr>
          <w:p w14:paraId="496690ED" w14:textId="77777777" w:rsidR="004D6BB3" w:rsidRPr="004E50CC" w:rsidRDefault="004D6BB3" w:rsidP="004D6BB3">
            <w:pPr>
              <w:tabs>
                <w:tab w:val="left" w:pos="284"/>
              </w:tabs>
              <w:autoSpaceDE w:val="0"/>
              <w:autoSpaceDN w:val="0"/>
              <w:adjustRightInd w:val="0"/>
              <w:contextualSpacing/>
              <w:rPr>
                <w:rFonts w:ascii="Calibri" w:eastAsia="Calibri" w:hAnsi="Calibri" w:cs="Calibri"/>
                <w:noProof/>
              </w:rPr>
            </w:pPr>
            <w:r w:rsidRPr="004E50CC">
              <w:rPr>
                <w:rFonts w:ascii="Calibri" w:eastAsia="Calibri" w:hAnsi="Calibri" w:cs="Calibri"/>
                <w:b/>
                <w:bCs/>
                <w:noProof/>
              </w:rPr>
              <w:t>Tiekėjas sutarčiai įvykdyti turi skirti ne mažiau kaip 1 (vieną) atsakingą specialistą – Priklausomybių konsultantą, kuris bus atsakingas už paslaugų teikimą ir sutarties vykdymą.</w:t>
            </w:r>
            <w:r>
              <w:rPr>
                <w:rFonts w:ascii="Calibri" w:eastAsia="Calibri" w:hAnsi="Calibri" w:cs="Calibri"/>
                <w:b/>
                <w:bCs/>
                <w:noProof/>
              </w:rPr>
              <w:br/>
            </w:r>
          </w:p>
          <w:p w14:paraId="7ED2C29D" w14:textId="77777777" w:rsidR="004D6BB3" w:rsidRPr="004E50CC" w:rsidRDefault="004D6BB3" w:rsidP="004D6BB3">
            <w:pPr>
              <w:tabs>
                <w:tab w:val="left" w:pos="284"/>
              </w:tabs>
              <w:autoSpaceDE w:val="0"/>
              <w:autoSpaceDN w:val="0"/>
              <w:adjustRightInd w:val="0"/>
              <w:contextualSpacing/>
              <w:rPr>
                <w:rFonts w:ascii="Calibri" w:eastAsia="Calibri" w:hAnsi="Calibri" w:cs="Calibri"/>
                <w:noProof/>
              </w:rPr>
            </w:pPr>
            <w:r w:rsidRPr="004E50CC">
              <w:rPr>
                <w:rFonts w:ascii="Calibri" w:eastAsia="Calibri" w:hAnsi="Calibri" w:cs="Calibri"/>
                <w:noProof/>
              </w:rPr>
              <w:t xml:space="preserve">Priklausomybės (-ių) konsultavimo paslaugas teikiantis asmuo (toliau – Priklausomybių konsultantas) </w:t>
            </w:r>
            <w:r>
              <w:rPr>
                <w:rFonts w:ascii="Calibri" w:eastAsia="Calibri" w:hAnsi="Calibri" w:cs="Calibri"/>
                <w:noProof/>
              </w:rPr>
              <w:t>turi</w:t>
            </w:r>
            <w:r w:rsidRPr="004E50CC">
              <w:rPr>
                <w:rFonts w:ascii="Calibri" w:eastAsia="Calibri" w:hAnsi="Calibri" w:cs="Calibri"/>
                <w:noProof/>
              </w:rPr>
              <w:t xml:space="preserve"> atitikti Lietuvos Respublikos sveikatos apsaugos ministro 2018 m. rugsėjo 7 d. įsakymu Nr. V-989 „Dėl priklausomybių konsultavimo paslaugų teikimo tvarkos aprašo patvirtinimo“</w:t>
            </w:r>
            <w:r>
              <w:rPr>
                <w:rFonts w:ascii="Calibri" w:eastAsia="Calibri" w:hAnsi="Calibri" w:cs="Calibri"/>
                <w:noProof/>
              </w:rPr>
              <w:t xml:space="preserve"> </w:t>
            </w:r>
            <w:r w:rsidRPr="004E50CC">
              <w:rPr>
                <w:rFonts w:ascii="Calibri" w:eastAsia="Calibri" w:hAnsi="Calibri" w:cs="Calibri"/>
                <w:noProof/>
              </w:rPr>
              <w:t>patvirtinto Priklausomybių konsultavimo paslaugų teikimo tvarkos aprašo reikalavimus:</w:t>
            </w:r>
            <w:r>
              <w:rPr>
                <w:rFonts w:ascii="Calibri" w:eastAsia="Calibri" w:hAnsi="Calibri" w:cs="Calibri"/>
                <w:noProof/>
              </w:rPr>
              <w:br/>
            </w:r>
          </w:p>
          <w:p w14:paraId="7680FE2A" w14:textId="77777777" w:rsidR="004D6BB3" w:rsidRPr="00260474" w:rsidRDefault="004D6BB3" w:rsidP="004D6BB3">
            <w:pPr>
              <w:tabs>
                <w:tab w:val="left" w:pos="284"/>
              </w:tabs>
              <w:autoSpaceDE w:val="0"/>
              <w:autoSpaceDN w:val="0"/>
              <w:adjustRightInd w:val="0"/>
              <w:contextualSpacing/>
              <w:rPr>
                <w:rFonts w:ascii="Calibri" w:eastAsia="Calibri" w:hAnsi="Calibri" w:cs="Calibri"/>
                <w:noProof/>
              </w:rPr>
            </w:pPr>
            <w:r w:rsidRPr="00260474">
              <w:rPr>
                <w:rFonts w:ascii="Calibri" w:eastAsia="Calibri" w:hAnsi="Calibri" w:cs="Calibri"/>
                <w:b/>
                <w:bCs/>
                <w:noProof/>
              </w:rPr>
              <w:t>1)</w:t>
            </w:r>
            <w:r w:rsidRPr="00260474">
              <w:rPr>
                <w:rFonts w:ascii="Calibri" w:eastAsia="Calibri" w:hAnsi="Calibri" w:cs="Calibri"/>
                <w:noProof/>
              </w:rPr>
              <w:t xml:space="preserve"> būti pilnametis asmuo, atitinkantis Priklausomybių konsultantui keliamus reikalavimus ir turintis teisę teikti priklausomybių konsultavimo paslaugas;</w:t>
            </w:r>
          </w:p>
          <w:p w14:paraId="4DA37849" w14:textId="77777777" w:rsidR="004D6BB3" w:rsidRPr="00260474" w:rsidRDefault="004D6BB3" w:rsidP="004D6BB3">
            <w:pPr>
              <w:tabs>
                <w:tab w:val="left" w:pos="284"/>
              </w:tabs>
              <w:autoSpaceDE w:val="0"/>
              <w:autoSpaceDN w:val="0"/>
              <w:adjustRightInd w:val="0"/>
              <w:contextualSpacing/>
              <w:rPr>
                <w:rFonts w:ascii="Calibri" w:eastAsia="Calibri" w:hAnsi="Calibri" w:cs="Calibri"/>
                <w:noProof/>
              </w:rPr>
            </w:pPr>
            <w:r w:rsidRPr="00260474">
              <w:rPr>
                <w:rFonts w:ascii="Calibri" w:eastAsia="Calibri" w:hAnsi="Calibri" w:cs="Calibri"/>
                <w:b/>
                <w:bCs/>
                <w:noProof/>
              </w:rPr>
              <w:t>2)</w:t>
            </w:r>
            <w:r w:rsidRPr="00260474">
              <w:rPr>
                <w:rFonts w:ascii="Calibri" w:eastAsia="Calibri" w:hAnsi="Calibri" w:cs="Calibri"/>
                <w:noProof/>
              </w:rPr>
              <w:t xml:space="preserve"> būti baigęs priklausomybių konsultavimo dėl alkoholio vartojimo mokymus pagal neformaliojo mokymo programą arba kitus lygiaverčius mokymus Lietuvos Respublikos sveikatos apsaugos ministro nustatyta tvarka ir turėti tai patvirtinantį pažymėjimą, suteikiantį kvalifikaciją teikti konsultavimo paslaugas alkoholį žalingai vartojančiam asmeniui ir (ar) jo artimiesiems;</w:t>
            </w:r>
          </w:p>
          <w:p w14:paraId="134A5912" w14:textId="77777777" w:rsidR="004D6BB3" w:rsidRPr="00016D8F" w:rsidRDefault="004D6BB3" w:rsidP="004D6BB3">
            <w:pPr>
              <w:tabs>
                <w:tab w:val="left" w:pos="284"/>
              </w:tabs>
              <w:autoSpaceDE w:val="0"/>
              <w:autoSpaceDN w:val="0"/>
              <w:adjustRightInd w:val="0"/>
              <w:contextualSpacing/>
              <w:rPr>
                <w:rFonts w:ascii="Calibri" w:eastAsia="Calibri" w:hAnsi="Calibri" w:cs="Calibri"/>
                <w:noProof/>
              </w:rPr>
            </w:pPr>
            <w:r w:rsidRPr="00260474">
              <w:rPr>
                <w:rFonts w:ascii="Calibri" w:eastAsia="Calibri" w:hAnsi="Calibri" w:cs="Calibri"/>
                <w:b/>
                <w:bCs/>
                <w:noProof/>
              </w:rPr>
              <w:t>3)</w:t>
            </w:r>
            <w:r w:rsidRPr="00260474">
              <w:rPr>
                <w:rFonts w:ascii="Calibri" w:eastAsia="Calibri" w:hAnsi="Calibri" w:cs="Calibri"/>
                <w:noProof/>
              </w:rPr>
              <w:t xml:space="preserve"> būti baigęs priklausomybių konsultavimo dėl alkoholio, narkotinių medžiagų vartojimo ir rizikingo elgesio, susijusio su lošimu, mokymus pagal neformaliojo mokymo programą Lietuvos Respublikos sveikatos apsaugos ministro nustatyta tvarka ir turėti tai patvirtinantį pažymėjimą, suteikiantį kvalifikaciją teikti konsultavimo paslaugas alkoholį ir (ar) narkotines medžiagas žalingai vartojančiam ir (ar) lošiančiam asmeniui ir (ar) jo artimiesiems.</w:t>
            </w:r>
          </w:p>
        </w:tc>
        <w:tc>
          <w:tcPr>
            <w:tcW w:w="1352" w:type="pct"/>
            <w:tcBorders>
              <w:top w:val="single" w:sz="4" w:space="0" w:color="000000"/>
              <w:left w:val="single" w:sz="4" w:space="0" w:color="auto"/>
              <w:right w:val="single" w:sz="4" w:space="0" w:color="000000"/>
            </w:tcBorders>
          </w:tcPr>
          <w:p w14:paraId="2647C522" w14:textId="77777777" w:rsidR="004D6BB3" w:rsidRPr="0087078D" w:rsidRDefault="004D6BB3" w:rsidP="004D6BB3">
            <w:pPr>
              <w:numPr>
                <w:ilvl w:val="0"/>
                <w:numId w:val="16"/>
              </w:numPr>
              <w:ind w:left="319"/>
              <w:contextualSpacing/>
              <w:rPr>
                <w:rFonts w:ascii="Calibri" w:eastAsia="Calibri" w:hAnsi="Calibri" w:cs="Calibri"/>
                <w:noProof/>
              </w:rPr>
            </w:pPr>
            <w:r w:rsidRPr="0087078D">
              <w:rPr>
                <w:rFonts w:ascii="Calibri" w:eastAsia="Calibri" w:hAnsi="Calibri" w:cs="Calibri"/>
                <w:b/>
                <w:bCs/>
                <w:noProof/>
              </w:rPr>
              <w:t>Laisvos formos specialistų sąrašas</w:t>
            </w:r>
            <w:r w:rsidRPr="0087078D">
              <w:rPr>
                <w:rFonts w:ascii="Calibri" w:eastAsia="Calibri" w:hAnsi="Calibri" w:cs="Calibri"/>
                <w:noProof/>
              </w:rPr>
              <w:t xml:space="preserve">, patvirtintas tiekėjo (juridinio asmens) vadovo ar jo įgalioto asmens parašu, kuriame nurodoma: specialisto vardas, pavardė; siūlomos pareigos vykdant pirkimo sutartį; įgyta kvalifikacija. </w:t>
            </w:r>
          </w:p>
          <w:p w14:paraId="2A6268AB" w14:textId="77777777" w:rsidR="004D6BB3" w:rsidRPr="0087078D" w:rsidRDefault="004D6BB3" w:rsidP="004D6BB3">
            <w:pPr>
              <w:numPr>
                <w:ilvl w:val="0"/>
                <w:numId w:val="16"/>
              </w:numPr>
              <w:ind w:left="319"/>
              <w:contextualSpacing/>
              <w:rPr>
                <w:rFonts w:ascii="Calibri" w:eastAsia="Calibri" w:hAnsi="Calibri" w:cs="Calibri"/>
                <w:noProof/>
              </w:rPr>
            </w:pPr>
            <w:r w:rsidRPr="0087078D">
              <w:rPr>
                <w:rFonts w:ascii="Calibri" w:eastAsia="Calibri" w:hAnsi="Calibri" w:cs="Calibri"/>
                <w:noProof/>
              </w:rPr>
              <w:t xml:space="preserve">Kartu su sąrašu turi būti pateiktos </w:t>
            </w:r>
            <w:r w:rsidRPr="0087078D">
              <w:rPr>
                <w:rFonts w:ascii="Calibri" w:eastAsia="Calibri" w:hAnsi="Calibri" w:cs="Calibri"/>
                <w:b/>
                <w:bCs/>
                <w:noProof/>
              </w:rPr>
              <w:t xml:space="preserve">kvalifikaciją patvirtinančių dokumentų kopijos </w:t>
            </w:r>
            <w:r w:rsidRPr="0087078D">
              <w:rPr>
                <w:rFonts w:ascii="Calibri" w:eastAsia="Calibri" w:hAnsi="Calibri" w:cs="Calibri"/>
                <w:noProof/>
              </w:rPr>
              <w:t>arba nuorodos į nacionalines duomenų bazes bet kurioje valstybėje narėje, prie kurių pirkimo vykdytojas turės galimybę tiesiogiai ir neatlygintinai prisijungusi ir susipažinti su reikalaujamais dokumentais ir (ar) informacija.</w:t>
            </w:r>
          </w:p>
        </w:tc>
        <w:tc>
          <w:tcPr>
            <w:tcW w:w="1368" w:type="pct"/>
            <w:tcBorders>
              <w:top w:val="single" w:sz="4" w:space="0" w:color="000000"/>
              <w:left w:val="single" w:sz="4" w:space="0" w:color="000000"/>
              <w:right w:val="single" w:sz="4" w:space="0" w:color="000000"/>
            </w:tcBorders>
          </w:tcPr>
          <w:p w14:paraId="1C562E42" w14:textId="77777777" w:rsidR="004D6BB3" w:rsidRPr="0087078D" w:rsidRDefault="004D6BB3" w:rsidP="004D6BB3">
            <w:pPr>
              <w:rPr>
                <w:rFonts w:ascii="Calibri" w:eastAsia="Calibri" w:hAnsi="Calibri" w:cs="Calibri"/>
                <w:noProof/>
              </w:rPr>
            </w:pPr>
            <w:r w:rsidRPr="0087078D">
              <w:rPr>
                <w:rFonts w:ascii="Calibri" w:eastAsia="Calibri" w:hAnsi="Calibri" w:cs="Calibri"/>
                <w:noProof/>
              </w:rPr>
              <w:t>- jeigu pasiūlymą teikia ūkio subjektų grupė – reikalavimą turi atitikti kiekvienas ūkio subjektų grupės narys (-iai), pagal jų prisiimamus įsipareigojimus pirkimo sutarčiai vykdyti;</w:t>
            </w:r>
          </w:p>
          <w:p w14:paraId="31394E0E" w14:textId="77777777" w:rsidR="004D6BB3" w:rsidRPr="0087078D" w:rsidRDefault="004D6BB3" w:rsidP="004D6BB3">
            <w:pPr>
              <w:rPr>
                <w:rFonts w:ascii="Calibri" w:eastAsia="Calibri" w:hAnsi="Calibri" w:cs="Calibri"/>
                <w:noProof/>
              </w:rPr>
            </w:pPr>
            <w:r w:rsidRPr="0087078D">
              <w:rPr>
                <w:rFonts w:ascii="Calibri" w:eastAsia="Calibri" w:hAnsi="Calibri" w:cs="Calibri"/>
                <w:noProof/>
              </w:rPr>
              <w:t>- tiekėjas gali remtis kitų ūkio subjektų pajėgumais tik tuomet, kai tie subjektai, kurių pajėgumais buvo pasiremta, patys tieks prekes, teiks paslaugas ar atliks darbus, kuriems reikia jų pajėgumų;</w:t>
            </w:r>
          </w:p>
          <w:p w14:paraId="7E742BC6" w14:textId="77777777" w:rsidR="004D6BB3" w:rsidRPr="0087078D" w:rsidRDefault="004D6BB3" w:rsidP="004D6BB3">
            <w:pPr>
              <w:rPr>
                <w:rFonts w:eastAsia="Calibri" w:cs="Calibri"/>
                <w:noProof/>
              </w:rPr>
            </w:pPr>
            <w:r w:rsidRPr="0087078D">
              <w:rPr>
                <w:rFonts w:ascii="Calibri" w:eastAsia="Calibri" w:hAnsi="Calibri" w:cs="Calibri"/>
                <w:noProof/>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tc>
      </w:tr>
    </w:tbl>
    <w:p w14:paraId="610A2AFE" w14:textId="77777777" w:rsidR="004D6BB3" w:rsidRDefault="004D6BB3" w:rsidP="004D6BB3">
      <w:pPr>
        <w:tabs>
          <w:tab w:val="left" w:pos="550"/>
        </w:tabs>
        <w:ind w:firstLine="709"/>
        <w:rPr>
          <w:rFonts w:ascii="Calibri" w:eastAsia="Calibri" w:hAnsi="Calibri" w:cs="Arial"/>
          <w:bCs/>
          <w:iCs/>
          <w:lang w:eastAsia="ar-SA"/>
        </w:rPr>
      </w:pPr>
    </w:p>
    <w:p w14:paraId="3F52679F" w14:textId="5BCFD139" w:rsidR="00F25D62" w:rsidRPr="00F25D62" w:rsidRDefault="004D6BB3" w:rsidP="004D6BB3">
      <w:pPr>
        <w:tabs>
          <w:tab w:val="left" w:pos="550"/>
        </w:tabs>
        <w:ind w:firstLine="709"/>
        <w:rPr>
          <w:rFonts w:cstheme="minorHAnsi"/>
          <w:lang w:eastAsia="ar-SA"/>
        </w:rPr>
        <w:sectPr w:rsidR="00F25D62" w:rsidRPr="00F25D62" w:rsidSect="0094708F">
          <w:headerReference w:type="first" r:id="rId18"/>
          <w:pgSz w:w="12240" w:h="15840"/>
          <w:pgMar w:top="1134" w:right="567" w:bottom="1134" w:left="1701" w:header="720" w:footer="720" w:gutter="0"/>
          <w:pgNumType w:start="0"/>
          <w:cols w:space="720"/>
          <w:titlePg/>
          <w:docGrid w:linePitch="360"/>
        </w:sectPr>
      </w:pPr>
      <w:r w:rsidRPr="0087078D">
        <w:rPr>
          <w:rFonts w:ascii="Calibri" w:eastAsia="Calibri" w:hAnsi="Calibri" w:cs="Arial"/>
          <w:bCs/>
          <w:iCs/>
          <w:lang w:eastAsia="ar-SA"/>
        </w:rPr>
        <w:t>2. Pirkime nebus naudojamas Europos bendrasis viešojo pirkimo dokumentas (EBVPD), visi pirkime dalyvaujantys tiekėjai turi pateikti dokumentus, patvirtinančius tiekėjo atitiktį keliamiems reikalavimams tiekėjui.</w:t>
      </w:r>
    </w:p>
    <w:p w14:paraId="6BCC2113" w14:textId="6C832054" w:rsidR="00CB5907" w:rsidRPr="00A76EAF" w:rsidRDefault="00DE051B" w:rsidP="00105DAD">
      <w:pPr>
        <w:spacing w:line="240" w:lineRule="auto"/>
        <w:ind w:left="7314" w:firstLine="0"/>
        <w:rPr>
          <w:rFonts w:cstheme="minorHAnsi"/>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Start w:id="34" w:name="_Hlk222391720"/>
      <w:r w:rsidRPr="00A76EAF">
        <w:rPr>
          <w:rFonts w:cstheme="minorHAnsi"/>
        </w:rPr>
        <w:lastRenderedPageBreak/>
        <w:t>P</w:t>
      </w:r>
      <w:r w:rsidR="00CB5907" w:rsidRPr="00A76EAF">
        <w:rPr>
          <w:rFonts w:cstheme="minorHAnsi"/>
        </w:rPr>
        <w:t xml:space="preserve">irkimo sąlygų </w:t>
      </w:r>
      <w:r w:rsidR="00F25D62">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bookmarkEnd w:id="34"/>
    <w:p w14:paraId="7F4E24DF" w14:textId="77777777" w:rsidR="00D2623D" w:rsidRPr="004D6BB3" w:rsidRDefault="00D2623D" w:rsidP="00D2623D">
      <w:pPr>
        <w:spacing w:after="160" w:line="276" w:lineRule="auto"/>
        <w:ind w:firstLine="0"/>
        <w:jc w:val="center"/>
        <w:rPr>
          <w:rFonts w:cstheme="minorHAnsi"/>
          <w:b/>
          <w:caps/>
          <w:noProof/>
          <w:spacing w:val="20"/>
          <w:sz w:val="24"/>
          <w:szCs w:val="24"/>
        </w:rPr>
      </w:pPr>
      <w:r w:rsidRPr="004D6BB3">
        <w:rPr>
          <w:rFonts w:cstheme="minorHAnsi"/>
          <w:b/>
          <w:caps/>
          <w:noProof/>
          <w:spacing w:val="20"/>
          <w:sz w:val="24"/>
          <w:szCs w:val="24"/>
        </w:rPr>
        <w:t xml:space="preserve">Techninė specifikacija </w:t>
      </w:r>
    </w:p>
    <w:p w14:paraId="73E9753F" w14:textId="77777777" w:rsidR="00D2623D" w:rsidRPr="004D6BB3" w:rsidRDefault="00D2623D" w:rsidP="00D2623D">
      <w:pPr>
        <w:spacing w:after="160" w:line="276" w:lineRule="auto"/>
        <w:ind w:firstLine="0"/>
        <w:jc w:val="center"/>
        <w:rPr>
          <w:rFonts w:cstheme="minorHAnsi"/>
          <w:b/>
          <w:noProof/>
          <w:sz w:val="24"/>
          <w:szCs w:val="24"/>
        </w:rPr>
      </w:pPr>
      <w:r w:rsidRPr="004D6BB3">
        <w:rPr>
          <w:rFonts w:cstheme="minorHAnsi"/>
          <w:b/>
          <w:noProof/>
          <w:sz w:val="24"/>
          <w:szCs w:val="24"/>
        </w:rPr>
        <w:t>Pateikiama atskiru dokumentu</w:t>
      </w:r>
    </w:p>
    <w:p w14:paraId="467E54C0" w14:textId="7786368B" w:rsidR="00D2623D" w:rsidRPr="004D6BB3" w:rsidRDefault="00D2623D" w:rsidP="00D2623D">
      <w:pPr>
        <w:spacing w:after="160" w:line="276" w:lineRule="auto"/>
        <w:ind w:firstLine="0"/>
        <w:jc w:val="center"/>
        <w:rPr>
          <w:rFonts w:cstheme="minorHAnsi"/>
          <w:b/>
          <w:noProof/>
          <w:sz w:val="24"/>
          <w:szCs w:val="24"/>
        </w:rPr>
      </w:pPr>
      <w:r w:rsidRPr="004D6BB3">
        <w:rPr>
          <w:rFonts w:eastAsia="Calibri" w:cstheme="minorHAnsi"/>
          <w:noProof/>
          <w:sz w:val="24"/>
          <w:szCs w:val="24"/>
        </w:rPr>
        <w:t>__________</w:t>
      </w:r>
    </w:p>
    <w:p w14:paraId="56E7F792" w14:textId="77777777" w:rsidR="00D2623D" w:rsidRDefault="00D2623D" w:rsidP="007154B7">
      <w:pPr>
        <w:rPr>
          <w:rFonts w:cstheme="minorHAnsi"/>
          <w:color w:val="7030A0"/>
          <w:sz w:val="20"/>
          <w:szCs w:val="20"/>
        </w:rPr>
      </w:pPr>
    </w:p>
    <w:p w14:paraId="65CCDFEF" w14:textId="77777777" w:rsidR="00D2623D" w:rsidRDefault="00D2623D" w:rsidP="007154B7">
      <w:pPr>
        <w:rPr>
          <w:rFonts w:cstheme="minorHAnsi"/>
          <w:color w:val="7030A0"/>
          <w:sz w:val="20"/>
          <w:szCs w:val="20"/>
        </w:rPr>
      </w:pPr>
    </w:p>
    <w:p w14:paraId="4634B16B" w14:textId="77777777" w:rsidR="00D2623D" w:rsidRDefault="00D2623D" w:rsidP="007154B7">
      <w:pPr>
        <w:rPr>
          <w:rFonts w:cstheme="minorHAnsi"/>
          <w:color w:val="7030A0"/>
          <w:sz w:val="20"/>
          <w:szCs w:val="20"/>
        </w:rPr>
      </w:pPr>
    </w:p>
    <w:p w14:paraId="54635D99" w14:textId="77777777" w:rsidR="00D2623D" w:rsidRDefault="00D2623D" w:rsidP="007154B7">
      <w:pPr>
        <w:rPr>
          <w:rFonts w:cstheme="minorHAnsi"/>
          <w:color w:val="7030A0"/>
          <w:sz w:val="20"/>
          <w:szCs w:val="20"/>
        </w:rPr>
      </w:pPr>
    </w:p>
    <w:p w14:paraId="47814ED6" w14:textId="77777777" w:rsidR="00D2623D" w:rsidRDefault="00D2623D" w:rsidP="007154B7">
      <w:pPr>
        <w:rPr>
          <w:rFonts w:cstheme="minorHAnsi"/>
          <w:color w:val="7030A0"/>
          <w:sz w:val="20"/>
          <w:szCs w:val="20"/>
        </w:rPr>
      </w:pPr>
    </w:p>
    <w:p w14:paraId="73FF87F4" w14:textId="77777777" w:rsidR="00D2623D" w:rsidRDefault="00D2623D" w:rsidP="007154B7">
      <w:pPr>
        <w:rPr>
          <w:rFonts w:cstheme="minorHAnsi"/>
          <w:color w:val="7030A0"/>
          <w:sz w:val="20"/>
          <w:szCs w:val="20"/>
        </w:rPr>
      </w:pPr>
    </w:p>
    <w:p w14:paraId="4A702413" w14:textId="77777777" w:rsidR="00D2623D" w:rsidRDefault="00D2623D" w:rsidP="007154B7">
      <w:pPr>
        <w:rPr>
          <w:rFonts w:cstheme="minorHAnsi"/>
          <w:color w:val="7030A0"/>
          <w:sz w:val="20"/>
          <w:szCs w:val="20"/>
        </w:rPr>
      </w:pPr>
    </w:p>
    <w:p w14:paraId="5EC94319" w14:textId="77777777" w:rsidR="00D2623D" w:rsidRDefault="00D2623D" w:rsidP="007154B7">
      <w:pPr>
        <w:rPr>
          <w:rFonts w:cstheme="minorHAnsi"/>
          <w:color w:val="7030A0"/>
          <w:sz w:val="20"/>
          <w:szCs w:val="20"/>
        </w:rPr>
      </w:pPr>
    </w:p>
    <w:p w14:paraId="668BDF2C" w14:textId="77777777" w:rsidR="00D2623D" w:rsidRDefault="00D2623D" w:rsidP="007154B7">
      <w:pPr>
        <w:rPr>
          <w:rFonts w:cstheme="minorHAnsi"/>
          <w:color w:val="7030A0"/>
          <w:sz w:val="20"/>
          <w:szCs w:val="20"/>
        </w:rPr>
      </w:pPr>
    </w:p>
    <w:p w14:paraId="7E352046" w14:textId="77777777" w:rsidR="00D2623D" w:rsidRDefault="00D2623D" w:rsidP="007154B7">
      <w:pPr>
        <w:rPr>
          <w:rFonts w:cstheme="minorHAnsi"/>
          <w:color w:val="7030A0"/>
          <w:sz w:val="20"/>
          <w:szCs w:val="20"/>
        </w:rPr>
      </w:pPr>
    </w:p>
    <w:p w14:paraId="2182EB27" w14:textId="77777777" w:rsidR="00D2623D" w:rsidRDefault="00D2623D" w:rsidP="007154B7">
      <w:pPr>
        <w:rPr>
          <w:rFonts w:cstheme="minorHAnsi"/>
          <w:color w:val="7030A0"/>
          <w:sz w:val="20"/>
          <w:szCs w:val="20"/>
        </w:rPr>
      </w:pPr>
    </w:p>
    <w:p w14:paraId="002092D9" w14:textId="77777777" w:rsidR="00D2623D" w:rsidRDefault="00D2623D" w:rsidP="007154B7">
      <w:pPr>
        <w:rPr>
          <w:rFonts w:cstheme="minorHAnsi"/>
          <w:color w:val="7030A0"/>
          <w:sz w:val="20"/>
          <w:szCs w:val="20"/>
        </w:rPr>
      </w:pPr>
    </w:p>
    <w:p w14:paraId="42C592CC" w14:textId="77777777" w:rsidR="00D2623D" w:rsidRDefault="00D2623D" w:rsidP="007154B7">
      <w:pPr>
        <w:rPr>
          <w:rFonts w:cstheme="minorHAnsi"/>
          <w:color w:val="7030A0"/>
          <w:sz w:val="20"/>
          <w:szCs w:val="20"/>
        </w:rPr>
      </w:pPr>
    </w:p>
    <w:p w14:paraId="23CE3C6F" w14:textId="77777777" w:rsidR="00D2623D" w:rsidRDefault="00D2623D" w:rsidP="007154B7">
      <w:pPr>
        <w:rPr>
          <w:rFonts w:cstheme="minorHAnsi"/>
          <w:color w:val="7030A0"/>
          <w:sz w:val="20"/>
          <w:szCs w:val="20"/>
        </w:rPr>
      </w:pPr>
    </w:p>
    <w:p w14:paraId="75E0A228" w14:textId="77777777" w:rsidR="00D2623D" w:rsidRDefault="00D2623D" w:rsidP="007154B7">
      <w:pPr>
        <w:rPr>
          <w:rFonts w:cstheme="minorHAnsi"/>
          <w:color w:val="7030A0"/>
          <w:sz w:val="20"/>
          <w:szCs w:val="20"/>
        </w:rPr>
      </w:pPr>
    </w:p>
    <w:p w14:paraId="0183A6AD" w14:textId="77777777" w:rsidR="00D2623D" w:rsidRDefault="00D2623D" w:rsidP="007154B7">
      <w:pPr>
        <w:rPr>
          <w:rFonts w:cstheme="minorHAnsi"/>
          <w:color w:val="7030A0"/>
          <w:sz w:val="20"/>
          <w:szCs w:val="20"/>
        </w:rPr>
      </w:pPr>
    </w:p>
    <w:p w14:paraId="6D45F4EC" w14:textId="77777777" w:rsidR="00D2623D" w:rsidRDefault="00D2623D" w:rsidP="007154B7">
      <w:pPr>
        <w:rPr>
          <w:rFonts w:cstheme="minorHAnsi"/>
          <w:color w:val="7030A0"/>
          <w:sz w:val="20"/>
          <w:szCs w:val="20"/>
        </w:rPr>
      </w:pPr>
    </w:p>
    <w:p w14:paraId="238379C9" w14:textId="77777777" w:rsidR="00D2623D" w:rsidRDefault="00D2623D" w:rsidP="007154B7">
      <w:pPr>
        <w:rPr>
          <w:rFonts w:cstheme="minorHAnsi"/>
          <w:color w:val="7030A0"/>
          <w:sz w:val="20"/>
          <w:szCs w:val="20"/>
        </w:rPr>
      </w:pPr>
    </w:p>
    <w:p w14:paraId="138509F8" w14:textId="77777777" w:rsidR="00D2623D" w:rsidRDefault="00D2623D" w:rsidP="007154B7">
      <w:pPr>
        <w:rPr>
          <w:rFonts w:cstheme="minorHAnsi"/>
          <w:color w:val="7030A0"/>
          <w:sz w:val="20"/>
          <w:szCs w:val="20"/>
        </w:rPr>
      </w:pPr>
    </w:p>
    <w:p w14:paraId="25CAE557" w14:textId="77777777" w:rsidR="00D2623D" w:rsidRDefault="00D2623D" w:rsidP="007154B7">
      <w:pPr>
        <w:rPr>
          <w:rFonts w:cstheme="minorHAnsi"/>
          <w:color w:val="7030A0"/>
          <w:sz w:val="20"/>
          <w:szCs w:val="20"/>
        </w:rPr>
      </w:pPr>
    </w:p>
    <w:p w14:paraId="1CD2B3E2" w14:textId="77777777" w:rsidR="00D2623D" w:rsidRDefault="00D2623D" w:rsidP="007154B7">
      <w:pPr>
        <w:rPr>
          <w:rFonts w:cstheme="minorHAnsi"/>
          <w:color w:val="7030A0"/>
          <w:sz w:val="20"/>
          <w:szCs w:val="20"/>
        </w:rPr>
      </w:pPr>
    </w:p>
    <w:p w14:paraId="22DE23C8" w14:textId="77777777" w:rsidR="00D2623D" w:rsidRDefault="00D2623D" w:rsidP="007154B7">
      <w:pPr>
        <w:rPr>
          <w:rFonts w:cstheme="minorHAnsi"/>
          <w:color w:val="7030A0"/>
          <w:sz w:val="20"/>
          <w:szCs w:val="20"/>
        </w:rPr>
      </w:pPr>
    </w:p>
    <w:p w14:paraId="50267550" w14:textId="77777777" w:rsidR="00D2623D" w:rsidRDefault="00D2623D" w:rsidP="007154B7">
      <w:pPr>
        <w:rPr>
          <w:rFonts w:cstheme="minorHAnsi"/>
          <w:color w:val="7030A0"/>
          <w:sz w:val="20"/>
          <w:szCs w:val="20"/>
        </w:rPr>
      </w:pPr>
    </w:p>
    <w:p w14:paraId="3EB49FCD" w14:textId="77777777" w:rsidR="00D2623D" w:rsidRDefault="00D2623D" w:rsidP="007154B7">
      <w:pPr>
        <w:rPr>
          <w:rFonts w:cstheme="minorHAnsi"/>
          <w:color w:val="7030A0"/>
          <w:sz w:val="20"/>
          <w:szCs w:val="20"/>
        </w:rPr>
      </w:pPr>
    </w:p>
    <w:p w14:paraId="258DC99A" w14:textId="77777777" w:rsidR="00D2623D" w:rsidRDefault="00D2623D" w:rsidP="007154B7">
      <w:pPr>
        <w:rPr>
          <w:rFonts w:cstheme="minorHAnsi"/>
          <w:color w:val="7030A0"/>
          <w:sz w:val="20"/>
          <w:szCs w:val="20"/>
        </w:rPr>
      </w:pPr>
    </w:p>
    <w:p w14:paraId="6A15BD9B" w14:textId="77777777" w:rsidR="00D2623D" w:rsidRDefault="00D2623D" w:rsidP="007154B7">
      <w:pPr>
        <w:rPr>
          <w:rFonts w:cstheme="minorHAnsi"/>
          <w:color w:val="7030A0"/>
          <w:sz w:val="20"/>
          <w:szCs w:val="20"/>
        </w:rPr>
      </w:pPr>
    </w:p>
    <w:p w14:paraId="32746AC8" w14:textId="77777777" w:rsidR="00D2623D" w:rsidRDefault="00D2623D" w:rsidP="007154B7">
      <w:pPr>
        <w:rPr>
          <w:rFonts w:cstheme="minorHAnsi"/>
          <w:color w:val="7030A0"/>
          <w:sz w:val="20"/>
          <w:szCs w:val="20"/>
        </w:rPr>
      </w:pPr>
    </w:p>
    <w:p w14:paraId="772AC458" w14:textId="77777777" w:rsidR="00D2623D" w:rsidRDefault="00D2623D" w:rsidP="007154B7">
      <w:pPr>
        <w:rPr>
          <w:rFonts w:cstheme="minorHAnsi"/>
          <w:color w:val="7030A0"/>
          <w:sz w:val="20"/>
          <w:szCs w:val="20"/>
        </w:rPr>
      </w:pPr>
    </w:p>
    <w:p w14:paraId="35FEBDBB" w14:textId="77777777" w:rsidR="00D2623D" w:rsidRDefault="00D2623D" w:rsidP="007154B7">
      <w:pPr>
        <w:rPr>
          <w:rFonts w:cstheme="minorHAnsi"/>
          <w:color w:val="7030A0"/>
          <w:sz w:val="20"/>
          <w:szCs w:val="20"/>
        </w:rPr>
      </w:pPr>
    </w:p>
    <w:p w14:paraId="04A2FA5B" w14:textId="77777777" w:rsidR="00D2623D" w:rsidRDefault="00D2623D" w:rsidP="007154B7">
      <w:pPr>
        <w:rPr>
          <w:rFonts w:cstheme="minorHAnsi"/>
          <w:color w:val="7030A0"/>
          <w:sz w:val="20"/>
          <w:szCs w:val="20"/>
        </w:rPr>
      </w:pPr>
    </w:p>
    <w:p w14:paraId="56F0D91B" w14:textId="77777777" w:rsidR="00D2623D" w:rsidRDefault="00D2623D" w:rsidP="007154B7">
      <w:pPr>
        <w:rPr>
          <w:rFonts w:cstheme="minorHAnsi"/>
          <w:color w:val="7030A0"/>
          <w:sz w:val="20"/>
          <w:szCs w:val="20"/>
        </w:rPr>
      </w:pPr>
    </w:p>
    <w:p w14:paraId="7050990A" w14:textId="77777777" w:rsidR="00D2623D" w:rsidRDefault="00D2623D" w:rsidP="007154B7">
      <w:pPr>
        <w:rPr>
          <w:rFonts w:cstheme="minorHAnsi"/>
          <w:color w:val="7030A0"/>
          <w:sz w:val="20"/>
          <w:szCs w:val="20"/>
        </w:rPr>
      </w:pPr>
    </w:p>
    <w:p w14:paraId="69AB53FA" w14:textId="77777777" w:rsidR="00D2623D" w:rsidRDefault="00D2623D" w:rsidP="007154B7">
      <w:pPr>
        <w:rPr>
          <w:rFonts w:cstheme="minorHAnsi"/>
          <w:color w:val="7030A0"/>
          <w:sz w:val="20"/>
          <w:szCs w:val="20"/>
        </w:rPr>
      </w:pPr>
    </w:p>
    <w:p w14:paraId="6D050637" w14:textId="4D9F1165" w:rsidR="00CB5907" w:rsidRDefault="007154B7" w:rsidP="00D2623D">
      <w:pPr>
        <w:rPr>
          <w:rFonts w:cstheme="minorHAnsi"/>
          <w:color w:val="7030A0"/>
          <w:sz w:val="20"/>
          <w:szCs w:val="20"/>
        </w:rPr>
      </w:pPr>
      <w:r w:rsidRPr="006E2539">
        <w:rPr>
          <w:rFonts w:cstheme="minorHAnsi"/>
          <w:color w:val="7030A0"/>
          <w:sz w:val="20"/>
          <w:szCs w:val="20"/>
        </w:rPr>
        <w:t> </w:t>
      </w:r>
    </w:p>
    <w:p w14:paraId="2A816AF6" w14:textId="77777777" w:rsidR="00D2623D" w:rsidRPr="00D2623D" w:rsidRDefault="00D2623D" w:rsidP="00D2623D">
      <w:pPr>
        <w:rPr>
          <w:rFonts w:cstheme="minorHAnsi"/>
          <w:color w:val="7030A0"/>
          <w:sz w:val="20"/>
          <w:szCs w:val="20"/>
        </w:rPr>
      </w:pPr>
    </w:p>
    <w:p w14:paraId="12DA495F" w14:textId="0929412F"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8311C6">
        <w:rPr>
          <w:rFonts w:cstheme="minorHAnsi"/>
        </w:rPr>
        <w:t>4</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7E8B5766" w14:textId="77777777" w:rsidR="008311C6" w:rsidRPr="008311C6" w:rsidRDefault="008311C6" w:rsidP="008311C6">
      <w:pPr>
        <w:ind w:firstLine="0"/>
        <w:jc w:val="center"/>
        <w:rPr>
          <w:rFonts w:eastAsia="Calibri" w:cstheme="minorHAnsi"/>
          <w:b/>
          <w:bCs/>
          <w:noProof/>
          <w:sz w:val="24"/>
          <w:szCs w:val="24"/>
        </w:rPr>
      </w:pPr>
      <w:r w:rsidRPr="008311C6">
        <w:rPr>
          <w:rFonts w:eastAsia="Calibri" w:cstheme="minorHAnsi"/>
          <w:b/>
          <w:noProof/>
          <w:sz w:val="24"/>
          <w:szCs w:val="24"/>
        </w:rPr>
        <w:t>Pasiūlymo forma</w:t>
      </w:r>
    </w:p>
    <w:p w14:paraId="1BABFDEB" w14:textId="1B51EF47" w:rsidR="00CB5907" w:rsidRDefault="008311C6" w:rsidP="00D2623D">
      <w:pPr>
        <w:ind w:firstLine="0"/>
        <w:jc w:val="center"/>
        <w:rPr>
          <w:rFonts w:eastAsia="Calibri" w:cstheme="minorHAnsi"/>
          <w:b/>
          <w:noProof/>
          <w:sz w:val="24"/>
          <w:szCs w:val="24"/>
        </w:rPr>
      </w:pPr>
      <w:r w:rsidRPr="008311C6">
        <w:rPr>
          <w:rFonts w:eastAsia="Calibri" w:cstheme="minorHAnsi"/>
          <w:b/>
          <w:noProof/>
          <w:sz w:val="24"/>
          <w:szCs w:val="24"/>
        </w:rPr>
        <w:t>Pateikiama atskiru dokumentu</w:t>
      </w:r>
      <w:bookmarkStart w:id="42" w:name="_Pirkimo_sąlygų_3"/>
      <w:bookmarkEnd w:id="42"/>
    </w:p>
    <w:p w14:paraId="2D994FD7" w14:textId="6D98B74E" w:rsidR="00D2623D" w:rsidRPr="00D2623D" w:rsidRDefault="00D2623D" w:rsidP="00D2623D">
      <w:pPr>
        <w:ind w:firstLine="0"/>
        <w:jc w:val="center"/>
        <w:rPr>
          <w:rFonts w:eastAsia="Calibri" w:cstheme="minorHAnsi"/>
          <w:b/>
          <w:noProof/>
          <w:sz w:val="24"/>
          <w:szCs w:val="24"/>
        </w:rPr>
      </w:pPr>
      <w:r w:rsidRPr="0098451C">
        <w:rPr>
          <w:rFonts w:eastAsia="Calibri" w:cstheme="minorHAnsi"/>
          <w:noProof/>
          <w:sz w:val="24"/>
          <w:szCs w:val="24"/>
          <w:lang w:val="pt-BR"/>
        </w:rPr>
        <w:t>__________</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02733DF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8311C6">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7F1CE5" w:rsidRDefault="00A54EAE" w:rsidP="00A54EAE">
      <w:pPr>
        <w:pStyle w:val="Paantrat"/>
        <w:jc w:val="center"/>
        <w:rPr>
          <w:rFonts w:cstheme="minorHAnsi"/>
          <w:b/>
          <w:bCs/>
          <w:smallCaps/>
          <w:sz w:val="22"/>
          <w:szCs w:val="22"/>
        </w:rPr>
      </w:pPr>
      <w:r w:rsidRPr="007F1CE5">
        <w:rPr>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E0B3FF1" w14:textId="77777777" w:rsidR="0014346E" w:rsidRPr="004D7BB3" w:rsidRDefault="0014346E" w:rsidP="0014346E">
      <w:pPr>
        <w:spacing w:before="240" w:line="240" w:lineRule="auto"/>
        <w:ind w:firstLine="993"/>
        <w:contextualSpacing/>
        <w:rPr>
          <w:rFonts w:cstheme="minorHAnsi"/>
        </w:rPr>
      </w:pPr>
      <w:r w:rsidRPr="004D7BB3">
        <w:rPr>
          <w:rFonts w:cstheme="minorHAnsi"/>
        </w:rPr>
        <w:t>1. Šiame pirkime ekonomiškai naudingiausias pasiūlymas bus išrenkamas pagal kainą.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CCA315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8311C6">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355D938C" w14:textId="77777777" w:rsidR="0014346E" w:rsidRPr="0098451C" w:rsidRDefault="0014346E" w:rsidP="0014346E">
      <w:pPr>
        <w:ind w:firstLine="0"/>
        <w:jc w:val="center"/>
        <w:rPr>
          <w:rFonts w:cstheme="minorHAnsi"/>
          <w:b/>
          <w:caps/>
          <w:noProof/>
          <w:spacing w:val="20"/>
          <w:sz w:val="24"/>
          <w:szCs w:val="24"/>
          <w:lang w:val="pt-BR"/>
        </w:rPr>
      </w:pPr>
      <w:r w:rsidRPr="0098451C">
        <w:rPr>
          <w:rFonts w:cstheme="minorHAnsi"/>
          <w:b/>
          <w:bCs/>
          <w:caps/>
          <w:noProof/>
          <w:spacing w:val="20"/>
          <w:sz w:val="24"/>
          <w:szCs w:val="24"/>
          <w:lang w:val="pt-BR"/>
        </w:rPr>
        <w:t>Sutarties projektas</w:t>
      </w:r>
      <w:r w:rsidRPr="0098451C">
        <w:rPr>
          <w:rFonts w:cstheme="minorHAnsi"/>
          <w:b/>
          <w:caps/>
          <w:noProof/>
          <w:spacing w:val="20"/>
          <w:sz w:val="24"/>
          <w:szCs w:val="24"/>
          <w:lang w:val="pt-BR"/>
        </w:rPr>
        <w:t xml:space="preserve"> </w:t>
      </w:r>
    </w:p>
    <w:p w14:paraId="61F23A7F" w14:textId="77777777" w:rsidR="0014346E" w:rsidRDefault="0014346E" w:rsidP="0014346E">
      <w:pPr>
        <w:ind w:firstLine="0"/>
        <w:jc w:val="center"/>
        <w:rPr>
          <w:rFonts w:cstheme="minorHAnsi"/>
          <w:b/>
          <w:noProof/>
          <w:sz w:val="24"/>
          <w:szCs w:val="24"/>
          <w:lang w:val="pt-BR"/>
        </w:rPr>
      </w:pPr>
      <w:r w:rsidRPr="0098451C">
        <w:rPr>
          <w:rFonts w:cstheme="minorHAnsi"/>
          <w:b/>
          <w:noProof/>
          <w:sz w:val="24"/>
          <w:szCs w:val="24"/>
          <w:lang w:val="pt-BR"/>
        </w:rPr>
        <w:t>Pateikiama atskiru dokumentu</w:t>
      </w:r>
    </w:p>
    <w:p w14:paraId="5CA31303" w14:textId="771D526C" w:rsidR="00D2623D" w:rsidRPr="0098451C" w:rsidRDefault="00D2623D" w:rsidP="0014346E">
      <w:pPr>
        <w:ind w:firstLine="0"/>
        <w:jc w:val="center"/>
        <w:rPr>
          <w:rFonts w:cstheme="minorHAnsi"/>
          <w:b/>
          <w:noProof/>
          <w:sz w:val="24"/>
          <w:szCs w:val="24"/>
          <w:lang w:val="pt-BR"/>
        </w:rPr>
      </w:pPr>
      <w:r w:rsidRPr="0098451C">
        <w:rPr>
          <w:rFonts w:eastAsia="Calibri" w:cstheme="minorHAnsi"/>
          <w:noProof/>
          <w:sz w:val="24"/>
          <w:szCs w:val="24"/>
          <w:lang w:val="pt-BR"/>
        </w:rPr>
        <w:t>__________</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304042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311C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B33884">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20DE44E" w:rsidR="009B4090" w:rsidRPr="00B33884" w:rsidRDefault="00B33884" w:rsidP="00B33884">
            <w:pPr>
              <w:ind w:firstLine="0"/>
              <w:rPr>
                <w:rFonts w:asciiTheme="minorHAnsi" w:hAnsiTheme="minorHAnsi" w:cstheme="minorHAnsi"/>
                <w:sz w:val="21"/>
                <w:szCs w:val="21"/>
              </w:rPr>
            </w:pPr>
            <w:r w:rsidRPr="00B3388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C311A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EE2EE76" w14:textId="77777777" w:rsidR="00B33884" w:rsidRPr="00B33884" w:rsidRDefault="00B33884" w:rsidP="00B33884">
            <w:pPr>
              <w:ind w:firstLine="0"/>
              <w:rPr>
                <w:rFonts w:asciiTheme="minorHAnsi" w:hAnsiTheme="minorHAnsi" w:cstheme="minorHAnsi"/>
                <w:sz w:val="21"/>
                <w:szCs w:val="21"/>
              </w:rPr>
            </w:pPr>
            <w:r w:rsidRPr="00B3388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2E2E1B6"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3"/>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43D9B3E5"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86E2" w14:textId="2A463F95" w:rsidR="006E115B" w:rsidRDefault="006E115B" w:rsidP="006E115B">
    <w:pPr>
      <w:pStyle w:val="Porat"/>
      <w:ind w:firstLine="0"/>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53465A86"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34558E95" w:rsidR="00AD53C9" w:rsidRDefault="00AD53C9" w:rsidP="00FE510B">
    <w:pPr>
      <w:pStyle w:val="Antrats"/>
      <w:tabs>
        <w:tab w:val="left" w:pos="46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ECEB9" w:rsidR="00285B02" w:rsidRDefault="00285B02" w:rsidP="0014346E">
    <w:pPr>
      <w:pStyle w:val="Antrats"/>
      <w:ind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3A63B9"/>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5658B0"/>
    <w:multiLevelType w:val="hybridMultilevel"/>
    <w:tmpl w:val="C056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983732"/>
    <w:multiLevelType w:val="multilevel"/>
    <w:tmpl w:val="264A6B2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C3280A"/>
    <w:multiLevelType w:val="hybridMultilevel"/>
    <w:tmpl w:val="6A34ED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E0F3E"/>
    <w:multiLevelType w:val="multilevel"/>
    <w:tmpl w:val="FFBA2546"/>
    <w:lvl w:ilvl="0">
      <w:start w:val="4"/>
      <w:numFmt w:val="decimal"/>
      <w:lvlText w:val="%1."/>
      <w:lvlJc w:val="left"/>
      <w:pPr>
        <w:ind w:left="360" w:hanging="360"/>
      </w:pPr>
      <w:rPr>
        <w:rFonts w:hint="default"/>
        <w:b w:val="0"/>
        <w:bCs/>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DDD08F9"/>
    <w:multiLevelType w:val="multilevel"/>
    <w:tmpl w:val="30385EDE"/>
    <w:lvl w:ilvl="0">
      <w:start w:val="1"/>
      <w:numFmt w:val="decimal"/>
      <w:lvlText w:val="%1."/>
      <w:lvlJc w:val="left"/>
      <w:pPr>
        <w:ind w:left="360" w:hanging="360"/>
      </w:pPr>
      <w:rPr>
        <w:rFonts w:eastAsiaTheme="minorEastAsia" w:hint="default"/>
        <w:b/>
        <w:color w:val="auto"/>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64D37A4"/>
    <w:multiLevelType w:val="hybridMultilevel"/>
    <w:tmpl w:val="5D0C10BC"/>
    <w:lvl w:ilvl="0" w:tplc="00D8ACB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574F2"/>
    <w:multiLevelType w:val="hybridMultilevel"/>
    <w:tmpl w:val="C0564052"/>
    <w:lvl w:ilvl="0" w:tplc="688C44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8"/>
  </w:num>
  <w:num w:numId="4" w16cid:durableId="219707255">
    <w:abstractNumId w:val="18"/>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4"/>
  </w:num>
  <w:num w:numId="10" w16cid:durableId="1236630376">
    <w:abstractNumId w:val="15"/>
  </w:num>
  <w:num w:numId="11" w16cid:durableId="1415740606">
    <w:abstractNumId w:val="13"/>
  </w:num>
  <w:num w:numId="12" w16cid:durableId="1594045305">
    <w:abstractNumId w:val="10"/>
  </w:num>
  <w:num w:numId="13" w16cid:durableId="2122409712">
    <w:abstractNumId w:val="7"/>
  </w:num>
  <w:num w:numId="14" w16cid:durableId="29884912">
    <w:abstractNumId w:val="1"/>
  </w:num>
  <w:num w:numId="15" w16cid:durableId="925727205">
    <w:abstractNumId w:val="6"/>
  </w:num>
  <w:num w:numId="16" w16cid:durableId="2068647617">
    <w:abstractNumId w:val="17"/>
  </w:num>
  <w:num w:numId="17" w16cid:durableId="727801177">
    <w:abstractNumId w:val="4"/>
  </w:num>
  <w:num w:numId="18" w16cid:durableId="1487431549">
    <w:abstractNumId w:val="16"/>
  </w:num>
  <w:num w:numId="19" w16cid:durableId="134023047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25"/>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CAC"/>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1F50"/>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46E"/>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FF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46B1"/>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58D"/>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196"/>
    <w:rsid w:val="002F05C1"/>
    <w:rsid w:val="002F0663"/>
    <w:rsid w:val="002F0FBA"/>
    <w:rsid w:val="002F12E7"/>
    <w:rsid w:val="002F148F"/>
    <w:rsid w:val="002F1CB8"/>
    <w:rsid w:val="002F1CD9"/>
    <w:rsid w:val="002F3773"/>
    <w:rsid w:val="002F396F"/>
    <w:rsid w:val="002F44C0"/>
    <w:rsid w:val="002F536E"/>
    <w:rsid w:val="002F5EE2"/>
    <w:rsid w:val="002F5F47"/>
    <w:rsid w:val="002F61F0"/>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847"/>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1E5"/>
    <w:rsid w:val="003F246A"/>
    <w:rsid w:val="003F2587"/>
    <w:rsid w:val="003F25CB"/>
    <w:rsid w:val="003F2E3E"/>
    <w:rsid w:val="003F3617"/>
    <w:rsid w:val="003F3EFE"/>
    <w:rsid w:val="003F3FC9"/>
    <w:rsid w:val="003F5489"/>
    <w:rsid w:val="003F54D8"/>
    <w:rsid w:val="003F5D40"/>
    <w:rsid w:val="003F740A"/>
    <w:rsid w:val="003F7949"/>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6E4"/>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80"/>
    <w:rsid w:val="00471043"/>
    <w:rsid w:val="004713B5"/>
    <w:rsid w:val="00472F7A"/>
    <w:rsid w:val="00472F8C"/>
    <w:rsid w:val="004730BE"/>
    <w:rsid w:val="0047509D"/>
    <w:rsid w:val="0047554A"/>
    <w:rsid w:val="004758C1"/>
    <w:rsid w:val="00475F9B"/>
    <w:rsid w:val="0047687E"/>
    <w:rsid w:val="00477068"/>
    <w:rsid w:val="00477E28"/>
    <w:rsid w:val="00481D96"/>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B3"/>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6B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582"/>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540"/>
    <w:rsid w:val="006D1BC0"/>
    <w:rsid w:val="006D2363"/>
    <w:rsid w:val="006D3202"/>
    <w:rsid w:val="006D3C8B"/>
    <w:rsid w:val="006D3FB5"/>
    <w:rsid w:val="006D463E"/>
    <w:rsid w:val="006D6694"/>
    <w:rsid w:val="006D67EE"/>
    <w:rsid w:val="006E04DD"/>
    <w:rsid w:val="006E05DF"/>
    <w:rsid w:val="006E0E52"/>
    <w:rsid w:val="006E115B"/>
    <w:rsid w:val="006E2477"/>
    <w:rsid w:val="006E28D7"/>
    <w:rsid w:val="006E2957"/>
    <w:rsid w:val="006E2B14"/>
    <w:rsid w:val="006E42EC"/>
    <w:rsid w:val="006E533D"/>
    <w:rsid w:val="006E6528"/>
    <w:rsid w:val="006E6883"/>
    <w:rsid w:val="006E75C7"/>
    <w:rsid w:val="006E7679"/>
    <w:rsid w:val="006F1F4B"/>
    <w:rsid w:val="006F2F71"/>
    <w:rsid w:val="006F345E"/>
    <w:rsid w:val="006F486C"/>
    <w:rsid w:val="006F631C"/>
    <w:rsid w:val="006F6DAA"/>
    <w:rsid w:val="006F7115"/>
    <w:rsid w:val="006F7332"/>
    <w:rsid w:val="006F73A9"/>
    <w:rsid w:val="0070133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D4C"/>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CE5"/>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1C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635"/>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BD"/>
    <w:rsid w:val="008F6A15"/>
    <w:rsid w:val="008F6D6B"/>
    <w:rsid w:val="008F7226"/>
    <w:rsid w:val="008F77D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3E9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6B"/>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6E8"/>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167"/>
    <w:rsid w:val="00A432E9"/>
    <w:rsid w:val="00A436C9"/>
    <w:rsid w:val="00A43835"/>
    <w:rsid w:val="00A4394E"/>
    <w:rsid w:val="00A43C02"/>
    <w:rsid w:val="00A44AE6"/>
    <w:rsid w:val="00A44B13"/>
    <w:rsid w:val="00A45433"/>
    <w:rsid w:val="00A4599F"/>
    <w:rsid w:val="00A466F1"/>
    <w:rsid w:val="00A47CF5"/>
    <w:rsid w:val="00A50669"/>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88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2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860"/>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1C"/>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84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00A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00A"/>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23D"/>
    <w:rsid w:val="00D26F9A"/>
    <w:rsid w:val="00D278FA"/>
    <w:rsid w:val="00D3069A"/>
    <w:rsid w:val="00D31033"/>
    <w:rsid w:val="00D31FE9"/>
    <w:rsid w:val="00D324CF"/>
    <w:rsid w:val="00D325C1"/>
    <w:rsid w:val="00D331C2"/>
    <w:rsid w:val="00D341BE"/>
    <w:rsid w:val="00D354EB"/>
    <w:rsid w:val="00D35F9A"/>
    <w:rsid w:val="00D36D61"/>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4F8A"/>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E20"/>
    <w:rsid w:val="00F20FBA"/>
    <w:rsid w:val="00F211FE"/>
    <w:rsid w:val="00F229DE"/>
    <w:rsid w:val="00F2421D"/>
    <w:rsid w:val="00F24A9F"/>
    <w:rsid w:val="00F25241"/>
    <w:rsid w:val="00F25D62"/>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83C"/>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219"/>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33F"/>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21C"/>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10B"/>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A4316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tar.lt/portal/lt/legalAct/674ebaf05d7111e79198ffdb108a3753/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B1E12A5D7E4755A8BDCEF391ED0193"/>
        <w:category>
          <w:name w:val="Bendrosios nuostatos"/>
          <w:gallery w:val="placeholder"/>
        </w:category>
        <w:types>
          <w:type w:val="bbPlcHdr"/>
        </w:types>
        <w:behaviors>
          <w:behavior w:val="content"/>
        </w:behaviors>
        <w:guid w:val="{093DDD96-A0F4-4BB9-901D-49C5B003B15F}"/>
      </w:docPartPr>
      <w:docPartBody>
        <w:p w:rsidR="00252551" w:rsidRDefault="00252551" w:rsidP="00252551">
          <w:pPr>
            <w:pStyle w:val="97B1E12A5D7E4755A8BDCEF391ED019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2551"/>
    <w:rsid w:val="00256A57"/>
    <w:rsid w:val="00295EF8"/>
    <w:rsid w:val="002B602E"/>
    <w:rsid w:val="002C1509"/>
    <w:rsid w:val="003661A6"/>
    <w:rsid w:val="00372672"/>
    <w:rsid w:val="004161F4"/>
    <w:rsid w:val="00430113"/>
    <w:rsid w:val="004446E4"/>
    <w:rsid w:val="00460C76"/>
    <w:rsid w:val="0046126A"/>
    <w:rsid w:val="004C214A"/>
    <w:rsid w:val="004D38E9"/>
    <w:rsid w:val="00515E63"/>
    <w:rsid w:val="00565992"/>
    <w:rsid w:val="005C3D97"/>
    <w:rsid w:val="00652F79"/>
    <w:rsid w:val="00685665"/>
    <w:rsid w:val="006D77F5"/>
    <w:rsid w:val="0070133B"/>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51860"/>
    <w:rsid w:val="00C64F5A"/>
    <w:rsid w:val="00C85847"/>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7B1E12A5D7E4755A8BDCEF391ED0193">
    <w:name w:val="97B1E12A5D7E4755A8BDCEF391ED0193"/>
    <w:rsid w:val="00252551"/>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13</Pages>
  <Words>12642</Words>
  <Characters>7207</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19810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Salagubovaitė</cp:lastModifiedBy>
  <cp:revision>17</cp:revision>
  <cp:lastPrinted>2021-11-03T05:49:00Z</cp:lastPrinted>
  <dcterms:created xsi:type="dcterms:W3CDTF">2026-02-18T14:57:00Z</dcterms:created>
  <dcterms:modified xsi:type="dcterms:W3CDTF">2026-02-25T12:01:00Z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