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E4C60" w14:textId="77777777" w:rsidR="000A49CE" w:rsidRPr="000C73E6" w:rsidRDefault="000A49CE" w:rsidP="000A49CE">
      <w:pPr>
        <w:widowControl w:val="0"/>
        <w:shd w:val="clear" w:color="auto" w:fill="FFFFFF"/>
        <w:autoSpaceDE w:val="0"/>
        <w:autoSpaceDN w:val="0"/>
        <w:adjustRightInd w:val="0"/>
        <w:spacing w:after="0" w:line="240" w:lineRule="auto"/>
        <w:ind w:left="4742"/>
        <w:jc w:val="right"/>
        <w:rPr>
          <w:rFonts w:ascii="Times New Roman" w:eastAsiaTheme="minorEastAsia" w:hAnsi="Times New Roman" w:cs="Times New Roman"/>
          <w:sz w:val="20"/>
          <w:szCs w:val="20"/>
          <w:lang w:val="lt-LT"/>
        </w:rPr>
      </w:pPr>
      <w:r w:rsidRPr="000C73E6">
        <w:rPr>
          <w:rFonts w:ascii="Times New Roman" w:eastAsiaTheme="minorEastAsia" w:hAnsi="Times New Roman" w:cs="Times New Roman"/>
          <w:sz w:val="20"/>
          <w:szCs w:val="20"/>
          <w:lang w:val="lt-LT"/>
        </w:rPr>
        <w:t>Pirkimo sąlygų</w:t>
      </w:r>
    </w:p>
    <w:p w14:paraId="1B84D498" w14:textId="77777777" w:rsidR="000A49CE" w:rsidRPr="000C73E6" w:rsidRDefault="000A49CE" w:rsidP="000A49CE">
      <w:pPr>
        <w:widowControl w:val="0"/>
        <w:shd w:val="clear" w:color="auto" w:fill="FFFFFF"/>
        <w:autoSpaceDE w:val="0"/>
        <w:autoSpaceDN w:val="0"/>
        <w:adjustRightInd w:val="0"/>
        <w:spacing w:after="0" w:line="240" w:lineRule="auto"/>
        <w:ind w:left="4742"/>
        <w:jc w:val="right"/>
        <w:rPr>
          <w:rFonts w:ascii="Times New Roman" w:eastAsiaTheme="minorEastAsia" w:hAnsi="Times New Roman" w:cs="Times New Roman"/>
          <w:sz w:val="20"/>
          <w:szCs w:val="20"/>
          <w:lang w:val="lt-LT"/>
        </w:rPr>
      </w:pPr>
      <w:r w:rsidRPr="000C73E6">
        <w:rPr>
          <w:rFonts w:ascii="Times New Roman" w:eastAsiaTheme="minorEastAsia" w:hAnsi="Times New Roman" w:cs="Times New Roman"/>
          <w:sz w:val="20"/>
          <w:szCs w:val="20"/>
          <w:lang w:val="lt-LT"/>
        </w:rPr>
        <w:t>1 priedas „Techninė specifikacija“</w:t>
      </w:r>
    </w:p>
    <w:p w14:paraId="51DC9D44" w14:textId="77777777" w:rsidR="000A49CE" w:rsidRPr="000C73E6" w:rsidRDefault="000A49CE" w:rsidP="000A49CE">
      <w:pPr>
        <w:widowControl w:val="0"/>
        <w:autoSpaceDE w:val="0"/>
        <w:autoSpaceDN w:val="0"/>
        <w:adjustRightInd w:val="0"/>
        <w:spacing w:after="0" w:line="240" w:lineRule="auto"/>
        <w:rPr>
          <w:rFonts w:ascii="Times New Roman" w:eastAsiaTheme="minorEastAsia" w:hAnsi="Times New Roman" w:cs="Times New Roman"/>
          <w:b/>
          <w:bCs/>
          <w:sz w:val="24"/>
          <w:szCs w:val="24"/>
          <w:lang w:val="lt-LT"/>
        </w:rPr>
      </w:pPr>
    </w:p>
    <w:p w14:paraId="0363F03C" w14:textId="2A722113" w:rsidR="00706888" w:rsidRPr="000C73E6" w:rsidRDefault="00706888" w:rsidP="009C2104">
      <w:pPr>
        <w:jc w:val="center"/>
        <w:rPr>
          <w:rFonts w:ascii="Times New Roman" w:hAnsi="Times New Roman" w:cs="Times New Roman"/>
          <w:b/>
          <w:sz w:val="24"/>
          <w:szCs w:val="24"/>
          <w:lang w:val="lt-LT"/>
        </w:rPr>
      </w:pPr>
      <w:r w:rsidRPr="000C73E6">
        <w:rPr>
          <w:rFonts w:ascii="Times New Roman" w:hAnsi="Times New Roman" w:cs="Times New Roman"/>
          <w:b/>
          <w:sz w:val="24"/>
          <w:szCs w:val="24"/>
          <w:lang w:val="lt-LT"/>
        </w:rPr>
        <w:t>I</w:t>
      </w:r>
      <w:r w:rsidR="00941C8B">
        <w:rPr>
          <w:rFonts w:ascii="Times New Roman" w:hAnsi="Times New Roman" w:cs="Times New Roman"/>
          <w:b/>
          <w:sz w:val="24"/>
          <w:szCs w:val="24"/>
          <w:lang w:val="lt-LT"/>
        </w:rPr>
        <w:t>I</w:t>
      </w:r>
      <w:r w:rsidRPr="000C73E6">
        <w:rPr>
          <w:rFonts w:ascii="Times New Roman" w:hAnsi="Times New Roman" w:cs="Times New Roman"/>
          <w:b/>
          <w:sz w:val="24"/>
          <w:szCs w:val="24"/>
          <w:lang w:val="lt-LT"/>
        </w:rPr>
        <w:t xml:space="preserve"> dalis – </w:t>
      </w:r>
      <w:r w:rsidR="00621BCE">
        <w:rPr>
          <w:rFonts w:ascii="Times New Roman" w:hAnsi="Times New Roman" w:cs="Times New Roman"/>
          <w:b/>
          <w:bCs/>
          <w:sz w:val="24"/>
          <w:szCs w:val="24"/>
          <w:lang w:val="lt-LT"/>
        </w:rPr>
        <w:t>STEAM</w:t>
      </w:r>
      <w:r w:rsidR="00EE1217" w:rsidRPr="000C73E6">
        <w:rPr>
          <w:rFonts w:ascii="Times New Roman" w:hAnsi="Times New Roman" w:cs="Times New Roman"/>
          <w:b/>
          <w:bCs/>
          <w:sz w:val="24"/>
          <w:szCs w:val="24"/>
          <w:lang w:val="lt-LT"/>
        </w:rPr>
        <w:t xml:space="preserve"> LABORATORIJ</w:t>
      </w:r>
      <w:r w:rsidR="00621BCE">
        <w:rPr>
          <w:rFonts w:ascii="Times New Roman" w:hAnsi="Times New Roman" w:cs="Times New Roman"/>
          <w:b/>
          <w:bCs/>
          <w:sz w:val="24"/>
          <w:szCs w:val="24"/>
          <w:lang w:val="lt-LT"/>
        </w:rPr>
        <w:t>OS</w:t>
      </w:r>
      <w:r w:rsidR="00EE1217" w:rsidRPr="000C73E6">
        <w:rPr>
          <w:rFonts w:ascii="Times New Roman" w:hAnsi="Times New Roman" w:cs="Times New Roman"/>
          <w:b/>
          <w:bCs/>
          <w:sz w:val="24"/>
          <w:szCs w:val="24"/>
          <w:lang w:val="lt-LT"/>
        </w:rPr>
        <w:t xml:space="preserve"> BALDAI (TUM): </w:t>
      </w:r>
      <w:r w:rsidR="00A82A57">
        <w:rPr>
          <w:rFonts w:ascii="Times New Roman" w:hAnsi="Times New Roman" w:cs="Times New Roman"/>
          <w:b/>
          <w:sz w:val="24"/>
          <w:szCs w:val="24"/>
          <w:lang w:val="lt-LT"/>
        </w:rPr>
        <w:t>kėdės</w:t>
      </w:r>
    </w:p>
    <w:p w14:paraId="337C61D0" w14:textId="77777777" w:rsidR="002B5488" w:rsidRPr="000C73E6" w:rsidRDefault="002B5488" w:rsidP="002B5488">
      <w:pPr>
        <w:pStyle w:val="Betarp"/>
        <w:numPr>
          <w:ilvl w:val="0"/>
          <w:numId w:val="1"/>
        </w:numPr>
        <w:spacing w:line="276" w:lineRule="auto"/>
        <w:jc w:val="center"/>
        <w:rPr>
          <w:b/>
          <w:bCs/>
          <w:sz w:val="22"/>
          <w:szCs w:val="22"/>
        </w:rPr>
      </w:pPr>
      <w:r w:rsidRPr="000C73E6">
        <w:rPr>
          <w:b/>
          <w:bCs/>
          <w:sz w:val="22"/>
          <w:szCs w:val="22"/>
        </w:rPr>
        <w:t>Bendrieji reikalavimai</w:t>
      </w:r>
    </w:p>
    <w:p w14:paraId="4A35D4D7" w14:textId="77777777" w:rsidR="009C2104" w:rsidRPr="000C73E6" w:rsidRDefault="009C2104" w:rsidP="009C2104">
      <w:pPr>
        <w:pStyle w:val="Betarp"/>
        <w:spacing w:line="276" w:lineRule="auto"/>
        <w:ind w:left="360"/>
        <w:rPr>
          <w:b/>
          <w:bCs/>
          <w:sz w:val="22"/>
          <w:szCs w:val="22"/>
        </w:rPr>
      </w:pPr>
    </w:p>
    <w:p w14:paraId="12780E1D" w14:textId="77777777" w:rsidR="00437260" w:rsidRPr="000C73E6" w:rsidRDefault="00437260" w:rsidP="00744F68">
      <w:pPr>
        <w:pStyle w:val="Sraopastraipa"/>
        <w:numPr>
          <w:ilvl w:val="1"/>
          <w:numId w:val="1"/>
        </w:numPr>
        <w:spacing w:after="0" w:line="276" w:lineRule="auto"/>
        <w:jc w:val="both"/>
        <w:rPr>
          <w:rFonts w:ascii="Times New Roman" w:eastAsiaTheme="minorEastAsia" w:hAnsi="Times New Roman" w:cs="Times New Roman"/>
          <w:kern w:val="2"/>
          <w:lang w:val="lt-LT" w:eastAsia="lt-LT"/>
          <w14:ligatures w14:val="standardContextual"/>
        </w:rPr>
      </w:pPr>
      <w:r w:rsidRPr="000C73E6">
        <w:rPr>
          <w:rFonts w:ascii="Times New Roman" w:eastAsiaTheme="minorEastAsia" w:hAnsi="Times New Roman" w:cs="Times New Roman"/>
          <w:kern w:val="2"/>
          <w:lang w:val="lt-LT" w:eastAsia="lt-LT"/>
          <w14:ligatures w14:val="standardContextual"/>
        </w:rPr>
        <w:t>Laboratoriniai baldai turi būti saugūs naudoti švietimo ar laboratorinėje aplinkoje ir atitikti galiojančių teisės aktų bei higienos normų reikalavimus. Šią atitiktį tiekėjas privalo pagrįsti pateikdamas bandymų protokolus, sertifikatus arba kitus lygiaverčius dokumentus (pvz. akredituotos laboratorijos ar kompetentingos institucijos išduotus dokumentus).</w:t>
      </w:r>
    </w:p>
    <w:p w14:paraId="27A8CAE9" w14:textId="0AD4584F" w:rsidR="00FD5CB9" w:rsidRPr="000C73E6" w:rsidRDefault="00FD5CB9" w:rsidP="00744F68">
      <w:pPr>
        <w:pStyle w:val="Betarp"/>
        <w:numPr>
          <w:ilvl w:val="1"/>
          <w:numId w:val="1"/>
        </w:numPr>
        <w:spacing w:line="276" w:lineRule="auto"/>
        <w:jc w:val="both"/>
        <w:rPr>
          <w:sz w:val="22"/>
          <w:szCs w:val="22"/>
        </w:rPr>
      </w:pPr>
      <w:r w:rsidRPr="000C73E6">
        <w:rPr>
          <w:sz w:val="22"/>
          <w:szCs w:val="22"/>
        </w:rPr>
        <w:t>Tiekėjas privalo užtikrinti, kad siūlomi baldai būtų teisėtai tiekiami į Europos Sąjungos rinką ir atitiktų Europos Sąjungos bei Lietuvos Respublikos teisės aktų reikalavimus, reglamentuojančius gaminių tiekimą į rinką ir jų saugą. Pasiūlyme turi būti pateikti baldų atitiktį pagrindžiantys dokumentai, tokie kaip gamintojo atitikties deklaracija, bandymų protokolai, sertifikatai, CE ženklinimo dokumentai (jei taikoma) ar kiti lygiaverčiai įrodymai.</w:t>
      </w:r>
    </w:p>
    <w:p w14:paraId="00A55711" w14:textId="77777777" w:rsidR="000D086B" w:rsidRPr="000C73E6" w:rsidRDefault="000D086B" w:rsidP="00744F68">
      <w:pPr>
        <w:pStyle w:val="Sraopastraipa"/>
        <w:numPr>
          <w:ilvl w:val="1"/>
          <w:numId w:val="1"/>
        </w:numPr>
        <w:spacing w:after="0" w:line="276" w:lineRule="auto"/>
        <w:jc w:val="both"/>
        <w:rPr>
          <w:rFonts w:ascii="Times New Roman" w:eastAsiaTheme="minorEastAsia" w:hAnsi="Times New Roman" w:cs="Times New Roman"/>
          <w:kern w:val="2"/>
          <w:lang w:val="lt-LT" w:eastAsia="lt-LT"/>
          <w14:ligatures w14:val="standardContextual"/>
        </w:rPr>
      </w:pPr>
      <w:r w:rsidRPr="000C73E6">
        <w:rPr>
          <w:rFonts w:ascii="Times New Roman" w:eastAsiaTheme="minorEastAsia" w:hAnsi="Times New Roman" w:cs="Times New Roman"/>
          <w:kern w:val="2"/>
          <w:lang w:val="lt-LT" w:eastAsia="lt-LT"/>
          <w14:ligatures w14:val="standardContextual"/>
        </w:rPr>
        <w:t xml:space="preserve">Siūlomi laboratoriniai baldai turi atitikti techniniame projekte „262-TP-SA“ (pridedama) nurodytus dizaino sprendinius – spalvinę gamą, išdėstymą ir bendrą vizualinį vientisumą. Jeigu baldai siūlomi iš kelių gamintojų, jie turi būti tarpusavyje vizualiai suderinti pagal techninio projekto sprendinius, kad būtų išlaikytas bendras patalpų dizaino vientisumas. Tiekėjas pasiūlyme turi pateikti informaciją, leidžiančią perkančiajai organizacijai įvertinti baldų atitiktį techninio projekto dizaino sprendiniams (pvz. užpildytą atitikties lentelę (pasiūlymo </w:t>
      </w:r>
      <w:r w:rsidRPr="00783DD7">
        <w:rPr>
          <w:rFonts w:ascii="Times New Roman" w:eastAsiaTheme="minorEastAsia" w:hAnsi="Times New Roman" w:cs="Times New Roman"/>
          <w:kern w:val="2"/>
          <w:lang w:val="lt-LT" w:eastAsia="lt-LT"/>
          <w14:ligatures w14:val="standardContextual"/>
        </w:rPr>
        <w:t>priedas Nr. 1) ir baldų vizualizacijas ar kitus</w:t>
      </w:r>
      <w:r w:rsidRPr="000C73E6">
        <w:rPr>
          <w:rFonts w:ascii="Times New Roman" w:eastAsiaTheme="minorEastAsia" w:hAnsi="Times New Roman" w:cs="Times New Roman"/>
          <w:kern w:val="2"/>
          <w:lang w:val="lt-LT" w:eastAsia="lt-LT"/>
          <w14:ligatures w14:val="standardContextual"/>
        </w:rPr>
        <w:t xml:space="preserve"> lygiaverčius dokumentus). </w:t>
      </w:r>
    </w:p>
    <w:p w14:paraId="24A914EE" w14:textId="77777777" w:rsidR="00BE48D2" w:rsidRPr="000C73E6" w:rsidRDefault="000116B5" w:rsidP="00744F68">
      <w:pPr>
        <w:pStyle w:val="Betarp"/>
        <w:numPr>
          <w:ilvl w:val="1"/>
          <w:numId w:val="1"/>
        </w:numPr>
        <w:spacing w:line="276" w:lineRule="auto"/>
        <w:jc w:val="both"/>
        <w:rPr>
          <w:sz w:val="22"/>
          <w:szCs w:val="22"/>
        </w:rPr>
      </w:pPr>
      <w:r w:rsidRPr="000C73E6">
        <w:rPr>
          <w:sz w:val="22"/>
          <w:szCs w:val="22"/>
        </w:rPr>
        <w:t xml:space="preserve">Tiekėjas privalo pristatyti ir sumontuoti baldus perkančiosios organizacijos patalpose savo sąskaita. </w:t>
      </w:r>
    </w:p>
    <w:p w14:paraId="1433548E" w14:textId="28DAA5C7" w:rsidR="00B22BFF" w:rsidRPr="00B22BFF" w:rsidRDefault="00B22BFF" w:rsidP="00B22BFF">
      <w:pPr>
        <w:pStyle w:val="Sraopastraipa"/>
        <w:numPr>
          <w:ilvl w:val="1"/>
          <w:numId w:val="1"/>
        </w:numPr>
        <w:spacing w:after="0" w:line="276" w:lineRule="auto"/>
        <w:jc w:val="both"/>
        <w:rPr>
          <w:rFonts w:ascii="Times New Roman" w:eastAsiaTheme="minorEastAsia" w:hAnsi="Times New Roman" w:cs="Times New Roman"/>
          <w:kern w:val="2"/>
          <w:lang w:val="lt-LT" w:eastAsia="lt-LT"/>
          <w14:ligatures w14:val="standardContextual"/>
        </w:rPr>
      </w:pPr>
      <w:r w:rsidRPr="00B22BFF">
        <w:rPr>
          <w:rFonts w:ascii="Times New Roman" w:eastAsiaTheme="minorEastAsia" w:hAnsi="Times New Roman" w:cs="Times New Roman"/>
          <w:kern w:val="2"/>
          <w:lang w:val="lt-LT" w:eastAsia="lt-LT"/>
          <w14:ligatures w14:val="standardContextual"/>
        </w:rPr>
        <w:t xml:space="preserve">Jei iš baldų techninėje specifikacijoje pateiktų duomenų (reikalavimų) būtų galima daryti prielaidą apie konkrečius baldų modelius ar šaltinius, konkrečius technologinius procesus ar prekių ženklus, patentus, tipus, standartus, sertifikatus, konkrečią kilmę ar gamybą, laikoma, kad jie yra tik orientaciniai ir tiekėjai gali siūlyti lygiaverčius (lygiavertiškumą privalo įrodyti tiekėjas). Tiekėjai gali siūlyti ir geresnių </w:t>
      </w:r>
      <w:r w:rsidR="00AB0A68">
        <w:rPr>
          <w:rFonts w:ascii="Times New Roman" w:eastAsiaTheme="minorEastAsia" w:hAnsi="Times New Roman" w:cs="Times New Roman"/>
          <w:kern w:val="2"/>
          <w:lang w:val="lt-LT" w:eastAsia="lt-LT"/>
          <w14:ligatures w14:val="standardContextual"/>
        </w:rPr>
        <w:t xml:space="preserve">techninių </w:t>
      </w:r>
      <w:r w:rsidRPr="00B22BFF">
        <w:rPr>
          <w:rFonts w:ascii="Times New Roman" w:eastAsiaTheme="minorEastAsia" w:hAnsi="Times New Roman" w:cs="Times New Roman"/>
          <w:kern w:val="2"/>
          <w:lang w:val="lt-LT" w:eastAsia="lt-LT"/>
          <w14:ligatures w14:val="standardContextual"/>
        </w:rPr>
        <w:t>charakteristikų baldus.</w:t>
      </w:r>
    </w:p>
    <w:p w14:paraId="2A9FB6E4" w14:textId="500D9D62" w:rsidR="002D7821" w:rsidRPr="000C73E6" w:rsidRDefault="002D7821" w:rsidP="00744F68">
      <w:pPr>
        <w:pStyle w:val="Betarp"/>
        <w:numPr>
          <w:ilvl w:val="1"/>
          <w:numId w:val="1"/>
        </w:numPr>
        <w:spacing w:line="276" w:lineRule="auto"/>
        <w:jc w:val="both"/>
        <w:rPr>
          <w:sz w:val="22"/>
          <w:szCs w:val="22"/>
        </w:rPr>
      </w:pPr>
      <w:r w:rsidRPr="000C73E6">
        <w:rPr>
          <w:sz w:val="22"/>
          <w:szCs w:val="22"/>
        </w:rPr>
        <w:t>Kartu su pasiūlymu turi būti pateikti gamintojo techniniai dokumentai arba kiti lygiaverčiai duomenys, pagrindžiantys siūlomų baldų atitiktį esminiams techninės specifikacijos reikalavimams, tokiems kaip gaminių matmenys ir konstrukciniai sprendiniai, naudojamos medžiagos ir paviršių apdaila, atitiktis taikomiems EN standartams, baldų atsparumo, stabilumo ar saugos bandymų rezultatai, turimi sertifikatai ar atitikties deklaracijos. Reikalavimai, kurių pasiūlymų vertinimo metu objektyviai patikrinti nėra galimybės (pvz., montavimo, spalvinės gamos ar garantinio aptarnavimo), bus vertinami sutarties vykdymo metu. Pateikti dokumentai turi būti galiojantys pasiūlymo pateikimo dieną.</w:t>
      </w:r>
    </w:p>
    <w:p w14:paraId="1BF3DF9F" w14:textId="77777777" w:rsidR="001254A7" w:rsidRPr="000C73E6" w:rsidRDefault="001254A7" w:rsidP="00744F68">
      <w:pPr>
        <w:pStyle w:val="Betarp"/>
        <w:numPr>
          <w:ilvl w:val="1"/>
          <w:numId w:val="1"/>
        </w:numPr>
        <w:spacing w:line="276" w:lineRule="auto"/>
        <w:jc w:val="both"/>
        <w:rPr>
          <w:sz w:val="22"/>
          <w:szCs w:val="22"/>
        </w:rPr>
      </w:pPr>
      <w:r w:rsidRPr="000C73E6">
        <w:rPr>
          <w:sz w:val="22"/>
          <w:szCs w:val="22"/>
        </w:rPr>
        <w:t>Visų baldų atitiktį keliamus reikalavimus pagrindžiantys dokumentai turi būti pateikti lietuvių kalba arba anglų kalba.</w:t>
      </w:r>
    </w:p>
    <w:p w14:paraId="75D6965F" w14:textId="77777777" w:rsidR="001254A7" w:rsidRPr="000C73E6" w:rsidRDefault="001254A7" w:rsidP="00744F68">
      <w:pPr>
        <w:pStyle w:val="Betarp"/>
        <w:numPr>
          <w:ilvl w:val="1"/>
          <w:numId w:val="1"/>
        </w:numPr>
        <w:spacing w:line="276" w:lineRule="auto"/>
        <w:jc w:val="both"/>
        <w:rPr>
          <w:sz w:val="22"/>
          <w:szCs w:val="22"/>
        </w:rPr>
      </w:pPr>
      <w:r w:rsidRPr="000C73E6">
        <w:rPr>
          <w:sz w:val="22"/>
          <w:szCs w:val="22"/>
        </w:rPr>
        <w:t>Garantinis laikotarpis baldams – ne mažesnis nei 36 mėn. nuo baldų sumontavimo ir priėmimo - perdavimo akto pasirašymo datos.</w:t>
      </w:r>
    </w:p>
    <w:p w14:paraId="4453C2E2" w14:textId="77777777" w:rsidR="001254A7" w:rsidRPr="000C73E6" w:rsidRDefault="001254A7" w:rsidP="00744F68">
      <w:pPr>
        <w:pStyle w:val="Betarp"/>
        <w:numPr>
          <w:ilvl w:val="1"/>
          <w:numId w:val="1"/>
        </w:numPr>
        <w:spacing w:line="276" w:lineRule="auto"/>
        <w:jc w:val="both"/>
        <w:rPr>
          <w:sz w:val="22"/>
          <w:szCs w:val="22"/>
        </w:rPr>
      </w:pPr>
      <w:r w:rsidRPr="000C73E6">
        <w:rPr>
          <w:sz w:val="22"/>
          <w:szCs w:val="22"/>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aktualia redakcija,  4.1. papunkčiu. Aplinkos apaugos kriterijai, taikomi baldams ir pakuotėms, nurodyti Tvarkos aprašo 2 priedo VII skyriaus „Baldai“ 7 punkte ir II skyriaus „Pakuotės“ 2 punkte. </w:t>
      </w:r>
    </w:p>
    <w:p w14:paraId="12C9E31B" w14:textId="77777777" w:rsidR="005A413C" w:rsidRPr="000C73E6" w:rsidRDefault="005A413C" w:rsidP="00744F68">
      <w:pPr>
        <w:pStyle w:val="Betarp"/>
        <w:spacing w:line="276" w:lineRule="auto"/>
        <w:ind w:left="792"/>
        <w:jc w:val="both"/>
        <w:rPr>
          <w:sz w:val="22"/>
          <w:szCs w:val="22"/>
        </w:rPr>
      </w:pPr>
    </w:p>
    <w:p w14:paraId="1DA16647" w14:textId="77777777" w:rsidR="006B1166" w:rsidRPr="000C73E6" w:rsidRDefault="006B1166" w:rsidP="006B1166">
      <w:pPr>
        <w:pStyle w:val="Betarp"/>
        <w:numPr>
          <w:ilvl w:val="0"/>
          <w:numId w:val="1"/>
        </w:numPr>
        <w:spacing w:line="259" w:lineRule="auto"/>
        <w:jc w:val="center"/>
        <w:rPr>
          <w:b/>
          <w:bCs/>
          <w:sz w:val="22"/>
          <w:szCs w:val="22"/>
        </w:rPr>
      </w:pPr>
      <w:r w:rsidRPr="000C73E6">
        <w:rPr>
          <w:b/>
          <w:bCs/>
          <w:sz w:val="22"/>
          <w:szCs w:val="22"/>
        </w:rPr>
        <w:lastRenderedPageBreak/>
        <w:t>Prekių techninės specifikacijos</w:t>
      </w:r>
    </w:p>
    <w:p w14:paraId="42ACD9C1" w14:textId="4FF87AB6" w:rsidR="006B1166" w:rsidRPr="000C73E6" w:rsidRDefault="0040078A" w:rsidP="0040078A">
      <w:pPr>
        <w:pStyle w:val="Betarp"/>
        <w:spacing w:line="259" w:lineRule="auto"/>
        <w:ind w:left="360"/>
        <w:jc w:val="right"/>
        <w:rPr>
          <w:sz w:val="22"/>
          <w:szCs w:val="22"/>
        </w:rPr>
      </w:pPr>
      <w:r w:rsidRPr="000C73E6">
        <w:rPr>
          <w:sz w:val="22"/>
          <w:szCs w:val="22"/>
        </w:rPr>
        <w:t>Lentelė Nr. 1</w:t>
      </w:r>
    </w:p>
    <w:tbl>
      <w:tblPr>
        <w:tblStyle w:val="Lentelstinklelis"/>
        <w:tblW w:w="5000" w:type="pct"/>
        <w:tblLook w:val="04A0" w:firstRow="1" w:lastRow="0" w:firstColumn="1" w:lastColumn="0" w:noHBand="0" w:noVBand="1"/>
      </w:tblPr>
      <w:tblGrid>
        <w:gridCol w:w="927"/>
        <w:gridCol w:w="1496"/>
        <w:gridCol w:w="2186"/>
        <w:gridCol w:w="5870"/>
      </w:tblGrid>
      <w:tr w:rsidR="003F29EF" w:rsidRPr="000C73E6" w14:paraId="2199D96D" w14:textId="77777777" w:rsidTr="00226457">
        <w:tc>
          <w:tcPr>
            <w:tcW w:w="442" w:type="pct"/>
            <w:shd w:val="clear" w:color="auto" w:fill="E7E6E6" w:themeFill="background2"/>
            <w:vAlign w:val="center"/>
          </w:tcPr>
          <w:p w14:paraId="74792C2E" w14:textId="77777777" w:rsidR="003F29EF" w:rsidRPr="00783DD7" w:rsidRDefault="003F29EF" w:rsidP="00412976">
            <w:pPr>
              <w:jc w:val="center"/>
              <w:rPr>
                <w:rFonts w:ascii="Times New Roman" w:hAnsi="Times New Roman" w:cs="Times New Roman"/>
                <w:b/>
                <w:lang w:val="lt-LT"/>
              </w:rPr>
            </w:pPr>
            <w:r w:rsidRPr="00783DD7">
              <w:rPr>
                <w:rFonts w:ascii="Times New Roman" w:hAnsi="Times New Roman" w:cs="Times New Roman"/>
                <w:b/>
                <w:lang w:val="lt-LT"/>
              </w:rPr>
              <w:t>Eil.</w:t>
            </w:r>
          </w:p>
          <w:p w14:paraId="67A0D8AB" w14:textId="77777777" w:rsidR="003F29EF" w:rsidRPr="00783DD7" w:rsidRDefault="003F29EF" w:rsidP="00412976">
            <w:pPr>
              <w:jc w:val="center"/>
              <w:rPr>
                <w:rFonts w:ascii="Times New Roman" w:hAnsi="Times New Roman" w:cs="Times New Roman"/>
                <w:b/>
                <w:lang w:val="lt-LT"/>
              </w:rPr>
            </w:pPr>
            <w:r w:rsidRPr="00783DD7">
              <w:rPr>
                <w:rFonts w:ascii="Times New Roman" w:hAnsi="Times New Roman" w:cs="Times New Roman"/>
                <w:b/>
                <w:lang w:val="lt-LT"/>
              </w:rPr>
              <w:t>Nr.</w:t>
            </w:r>
          </w:p>
        </w:tc>
        <w:tc>
          <w:tcPr>
            <w:tcW w:w="714" w:type="pct"/>
            <w:shd w:val="clear" w:color="auto" w:fill="E7E6E6" w:themeFill="background2"/>
            <w:vAlign w:val="center"/>
          </w:tcPr>
          <w:p w14:paraId="20A510FC" w14:textId="77777777" w:rsidR="003F29EF" w:rsidRPr="00783DD7" w:rsidRDefault="003F29EF" w:rsidP="00412976">
            <w:pPr>
              <w:jc w:val="center"/>
              <w:rPr>
                <w:rFonts w:ascii="Times New Roman" w:hAnsi="Times New Roman" w:cs="Times New Roman"/>
                <w:b/>
                <w:lang w:val="lt-LT"/>
              </w:rPr>
            </w:pPr>
            <w:r w:rsidRPr="00783DD7">
              <w:rPr>
                <w:rFonts w:ascii="Times New Roman" w:hAnsi="Times New Roman" w:cs="Times New Roman"/>
                <w:b/>
                <w:lang w:val="lt-LT"/>
              </w:rPr>
              <w:t>Kiekis, vnt.</w:t>
            </w:r>
          </w:p>
        </w:tc>
        <w:tc>
          <w:tcPr>
            <w:tcW w:w="1043" w:type="pct"/>
            <w:shd w:val="clear" w:color="auto" w:fill="E7E6E6" w:themeFill="background2"/>
            <w:vAlign w:val="center"/>
          </w:tcPr>
          <w:p w14:paraId="7789467F" w14:textId="77777777" w:rsidR="003F29EF" w:rsidRPr="00783DD7" w:rsidRDefault="003F29EF" w:rsidP="00412976">
            <w:pPr>
              <w:jc w:val="center"/>
              <w:rPr>
                <w:rFonts w:ascii="Times New Roman" w:hAnsi="Times New Roman" w:cs="Times New Roman"/>
                <w:b/>
                <w:lang w:val="lt-LT"/>
              </w:rPr>
            </w:pPr>
            <w:r w:rsidRPr="00783DD7">
              <w:rPr>
                <w:rFonts w:ascii="Times New Roman" w:hAnsi="Times New Roman" w:cs="Times New Roman"/>
                <w:b/>
                <w:lang w:val="lt-LT"/>
              </w:rPr>
              <w:t>Pavadinimas</w:t>
            </w:r>
          </w:p>
        </w:tc>
        <w:tc>
          <w:tcPr>
            <w:tcW w:w="2801" w:type="pct"/>
            <w:shd w:val="clear" w:color="auto" w:fill="E7E6E6" w:themeFill="background2"/>
            <w:vAlign w:val="center"/>
          </w:tcPr>
          <w:p w14:paraId="686263C1" w14:textId="77777777" w:rsidR="003F29EF" w:rsidRPr="00783DD7" w:rsidRDefault="003F29EF" w:rsidP="00412976">
            <w:pPr>
              <w:jc w:val="center"/>
              <w:rPr>
                <w:rFonts w:ascii="Times New Roman" w:hAnsi="Times New Roman" w:cs="Times New Roman"/>
                <w:b/>
                <w:lang w:val="lt-LT"/>
              </w:rPr>
            </w:pPr>
            <w:r w:rsidRPr="00783DD7">
              <w:rPr>
                <w:rFonts w:ascii="Times New Roman" w:hAnsi="Times New Roman" w:cs="Times New Roman"/>
                <w:b/>
                <w:lang w:val="lt-LT"/>
              </w:rPr>
              <w:t>Reikalaujamos charakteristikos</w:t>
            </w:r>
          </w:p>
        </w:tc>
      </w:tr>
      <w:tr w:rsidR="003F29EF" w:rsidRPr="000C73E6" w14:paraId="39166358" w14:textId="77777777" w:rsidTr="00226457">
        <w:tc>
          <w:tcPr>
            <w:tcW w:w="442" w:type="pct"/>
            <w:shd w:val="clear" w:color="auto" w:fill="E7E6E6" w:themeFill="background2"/>
          </w:tcPr>
          <w:p w14:paraId="2636FD2C" w14:textId="77777777" w:rsidR="003F29EF" w:rsidRPr="00783DD7" w:rsidRDefault="003F29EF" w:rsidP="00412976">
            <w:pPr>
              <w:jc w:val="center"/>
              <w:rPr>
                <w:rFonts w:ascii="Times New Roman" w:hAnsi="Times New Roman" w:cs="Times New Roman"/>
                <w:lang w:val="lt-LT"/>
              </w:rPr>
            </w:pPr>
            <w:r w:rsidRPr="00783DD7">
              <w:rPr>
                <w:rFonts w:ascii="Times New Roman" w:hAnsi="Times New Roman" w:cs="Times New Roman"/>
                <w:iCs/>
                <w:lang w:val="lt-LT"/>
              </w:rPr>
              <w:t>1</w:t>
            </w:r>
          </w:p>
        </w:tc>
        <w:tc>
          <w:tcPr>
            <w:tcW w:w="714" w:type="pct"/>
            <w:shd w:val="clear" w:color="auto" w:fill="E7E6E6" w:themeFill="background2"/>
            <w:vAlign w:val="center"/>
          </w:tcPr>
          <w:p w14:paraId="269B3AE8" w14:textId="77777777" w:rsidR="003F29EF" w:rsidRPr="00783DD7" w:rsidRDefault="003F29EF" w:rsidP="00412976">
            <w:pPr>
              <w:jc w:val="center"/>
              <w:rPr>
                <w:rFonts w:ascii="Times New Roman" w:hAnsi="Times New Roman" w:cs="Times New Roman"/>
                <w:lang w:val="lt-LT"/>
              </w:rPr>
            </w:pPr>
            <w:r w:rsidRPr="00783DD7">
              <w:rPr>
                <w:rFonts w:ascii="Times New Roman" w:hAnsi="Times New Roman" w:cs="Times New Roman"/>
                <w:iCs/>
                <w:lang w:val="lt-LT"/>
              </w:rPr>
              <w:t>2</w:t>
            </w:r>
          </w:p>
        </w:tc>
        <w:tc>
          <w:tcPr>
            <w:tcW w:w="1043" w:type="pct"/>
            <w:shd w:val="clear" w:color="auto" w:fill="E7E6E6" w:themeFill="background2"/>
          </w:tcPr>
          <w:p w14:paraId="2C2F996B" w14:textId="77777777" w:rsidR="003F29EF" w:rsidRPr="00783DD7" w:rsidRDefault="003F29EF" w:rsidP="00412976">
            <w:pPr>
              <w:jc w:val="center"/>
              <w:rPr>
                <w:rFonts w:ascii="Times New Roman" w:hAnsi="Times New Roman" w:cs="Times New Roman"/>
                <w:lang w:val="lt-LT"/>
              </w:rPr>
            </w:pPr>
            <w:r w:rsidRPr="00783DD7">
              <w:rPr>
                <w:rFonts w:ascii="Times New Roman" w:hAnsi="Times New Roman" w:cs="Times New Roman"/>
                <w:iCs/>
                <w:lang w:val="lt-LT"/>
              </w:rPr>
              <w:t>3</w:t>
            </w:r>
          </w:p>
        </w:tc>
        <w:tc>
          <w:tcPr>
            <w:tcW w:w="2801" w:type="pct"/>
            <w:shd w:val="clear" w:color="auto" w:fill="E7E6E6" w:themeFill="background2"/>
            <w:vAlign w:val="center"/>
          </w:tcPr>
          <w:p w14:paraId="391D6E1F" w14:textId="77777777" w:rsidR="003F29EF" w:rsidRPr="00783DD7" w:rsidRDefault="003F29EF" w:rsidP="00412976">
            <w:pPr>
              <w:jc w:val="center"/>
              <w:rPr>
                <w:rFonts w:ascii="Times New Roman" w:hAnsi="Times New Roman" w:cs="Times New Roman"/>
                <w:bCs/>
                <w:lang w:val="lt-LT"/>
              </w:rPr>
            </w:pPr>
            <w:r w:rsidRPr="00783DD7">
              <w:rPr>
                <w:rFonts w:ascii="Times New Roman" w:hAnsi="Times New Roman" w:cs="Times New Roman"/>
                <w:bCs/>
                <w:lang w:val="lt-LT"/>
              </w:rPr>
              <w:t>4</w:t>
            </w:r>
          </w:p>
        </w:tc>
      </w:tr>
      <w:tr w:rsidR="00F950A3" w:rsidRPr="00783DD7" w14:paraId="01BB5F1E" w14:textId="77777777" w:rsidTr="00783DD7">
        <w:tc>
          <w:tcPr>
            <w:tcW w:w="442" w:type="pct"/>
          </w:tcPr>
          <w:p w14:paraId="3DD1A677" w14:textId="58775849" w:rsidR="00F950A3" w:rsidRPr="00783DD7" w:rsidRDefault="00621BCE" w:rsidP="00783DD7">
            <w:pPr>
              <w:jc w:val="center"/>
              <w:rPr>
                <w:rFonts w:ascii="Times New Roman" w:hAnsi="Times New Roman" w:cs="Times New Roman"/>
                <w:lang w:val="lt-LT"/>
              </w:rPr>
            </w:pPr>
            <w:r>
              <w:rPr>
                <w:rFonts w:ascii="Times New Roman" w:hAnsi="Times New Roman" w:cs="Times New Roman"/>
                <w:lang w:val="lt-LT"/>
              </w:rPr>
              <w:t>1</w:t>
            </w:r>
            <w:r w:rsidR="00783DD7">
              <w:rPr>
                <w:rFonts w:ascii="Times New Roman" w:hAnsi="Times New Roman" w:cs="Times New Roman"/>
                <w:lang w:val="lt-LT"/>
              </w:rPr>
              <w:t>.</w:t>
            </w:r>
          </w:p>
        </w:tc>
        <w:tc>
          <w:tcPr>
            <w:tcW w:w="714" w:type="pct"/>
          </w:tcPr>
          <w:p w14:paraId="2EEC052A" w14:textId="418EF996" w:rsidR="00F950A3" w:rsidRPr="00783DD7" w:rsidRDefault="00621BCE" w:rsidP="00783DD7">
            <w:pPr>
              <w:jc w:val="center"/>
              <w:rPr>
                <w:rFonts w:ascii="Times New Roman" w:hAnsi="Times New Roman" w:cs="Times New Roman"/>
                <w:lang w:val="lt-LT"/>
              </w:rPr>
            </w:pPr>
            <w:r>
              <w:rPr>
                <w:rFonts w:ascii="Times New Roman" w:hAnsi="Times New Roman" w:cs="Times New Roman"/>
              </w:rPr>
              <w:t>3</w:t>
            </w:r>
            <w:r w:rsidR="00947863" w:rsidRPr="00783DD7">
              <w:rPr>
                <w:rFonts w:ascii="Times New Roman" w:hAnsi="Times New Roman" w:cs="Times New Roman"/>
              </w:rPr>
              <w:t>0</w:t>
            </w:r>
          </w:p>
        </w:tc>
        <w:tc>
          <w:tcPr>
            <w:tcW w:w="1043" w:type="pct"/>
          </w:tcPr>
          <w:p w14:paraId="2F8EDF3F" w14:textId="19A9DB0A" w:rsidR="006B7DB3" w:rsidRPr="00783DD7" w:rsidRDefault="00F950A3" w:rsidP="00783DD7">
            <w:pPr>
              <w:spacing w:line="259" w:lineRule="auto"/>
              <w:contextualSpacing/>
              <w:jc w:val="center"/>
              <w:rPr>
                <w:rFonts w:ascii="Times New Roman" w:hAnsi="Times New Roman" w:cs="Times New Roman"/>
                <w:lang w:val="lt-LT"/>
              </w:rPr>
            </w:pPr>
            <w:proofErr w:type="spellStart"/>
            <w:r w:rsidRPr="00783DD7">
              <w:rPr>
                <w:rFonts w:ascii="Times New Roman" w:hAnsi="Times New Roman" w:cs="Times New Roman"/>
                <w:b/>
                <w:bCs/>
              </w:rPr>
              <w:t>Laboratorinė</w:t>
            </w:r>
            <w:proofErr w:type="spellEnd"/>
            <w:r w:rsidRPr="00783DD7">
              <w:rPr>
                <w:rFonts w:ascii="Times New Roman" w:hAnsi="Times New Roman" w:cs="Times New Roman"/>
                <w:b/>
                <w:bCs/>
              </w:rPr>
              <w:t xml:space="preserve"> </w:t>
            </w:r>
            <w:proofErr w:type="spellStart"/>
            <w:r w:rsidR="00200CB0" w:rsidRPr="00783DD7">
              <w:rPr>
                <w:rFonts w:ascii="Times New Roman" w:hAnsi="Times New Roman" w:cs="Times New Roman"/>
                <w:b/>
                <w:bCs/>
              </w:rPr>
              <w:t>mokinio</w:t>
            </w:r>
            <w:proofErr w:type="spellEnd"/>
            <w:r w:rsidR="00200CB0" w:rsidRPr="00783DD7">
              <w:rPr>
                <w:rFonts w:ascii="Times New Roman" w:hAnsi="Times New Roman" w:cs="Times New Roman"/>
                <w:b/>
                <w:bCs/>
              </w:rPr>
              <w:t xml:space="preserve"> </w:t>
            </w:r>
            <w:proofErr w:type="spellStart"/>
            <w:r w:rsidRPr="00783DD7">
              <w:rPr>
                <w:rFonts w:ascii="Times New Roman" w:hAnsi="Times New Roman" w:cs="Times New Roman"/>
                <w:b/>
                <w:bCs/>
              </w:rPr>
              <w:t>kėdė</w:t>
            </w:r>
            <w:proofErr w:type="spellEnd"/>
          </w:p>
        </w:tc>
        <w:tc>
          <w:tcPr>
            <w:tcW w:w="2801" w:type="pct"/>
          </w:tcPr>
          <w:p w14:paraId="493867EF" w14:textId="13F82321" w:rsidR="00F950A3" w:rsidRPr="00783DD7" w:rsidRDefault="00F950A3" w:rsidP="00F950A3">
            <w:pPr>
              <w:pStyle w:val="Sraopastraipa"/>
              <w:numPr>
                <w:ilvl w:val="0"/>
                <w:numId w:val="20"/>
              </w:numPr>
              <w:suppressAutoHyphens/>
              <w:autoSpaceDN w:val="0"/>
              <w:contextualSpacing w:val="0"/>
              <w:jc w:val="both"/>
              <w:textAlignment w:val="baseline"/>
              <w:rPr>
                <w:rFonts w:ascii="Times New Roman" w:eastAsia="Times New Roman" w:hAnsi="Times New Roman" w:cs="Times New Roman"/>
                <w:bCs/>
                <w:lang w:val="pt-BR"/>
              </w:rPr>
            </w:pPr>
            <w:r w:rsidRPr="00783DD7">
              <w:rPr>
                <w:rFonts w:ascii="Times New Roman" w:eastAsia="Times New Roman" w:hAnsi="Times New Roman" w:cs="Times New Roman"/>
                <w:bCs/>
                <w:lang w:val="pt-BR"/>
              </w:rPr>
              <w:t xml:space="preserve">Sėdimoji ir atraminė dalys turi būti pagamintos iš  dvigubos sienelės struktūros struktūrinio polipropileno arba lygiavertės perdirbamos konstrukcinės medžiagos. </w:t>
            </w:r>
          </w:p>
          <w:p w14:paraId="59F22537" w14:textId="739C6283" w:rsidR="008F50F5" w:rsidRPr="00783DD7" w:rsidRDefault="00AC3E0D" w:rsidP="00DF5B88">
            <w:pPr>
              <w:pStyle w:val="Sraopastraipa"/>
              <w:numPr>
                <w:ilvl w:val="0"/>
                <w:numId w:val="20"/>
              </w:numPr>
              <w:suppressAutoHyphens/>
              <w:autoSpaceDN w:val="0"/>
              <w:contextualSpacing w:val="0"/>
              <w:jc w:val="both"/>
              <w:textAlignment w:val="baseline"/>
              <w:rPr>
                <w:rFonts w:ascii="Times New Roman" w:eastAsia="Times New Roman" w:hAnsi="Times New Roman" w:cs="Times New Roman"/>
                <w:bCs/>
                <w:lang w:val="pt-BR"/>
              </w:rPr>
            </w:pPr>
            <w:r w:rsidRPr="00783DD7">
              <w:rPr>
                <w:rFonts w:ascii="Times New Roman" w:eastAsia="Times New Roman" w:hAnsi="Times New Roman" w:cs="Times New Roman"/>
                <w:bCs/>
                <w:lang w:val="pt-BR"/>
              </w:rPr>
              <w:t>Sėdimoji dalis turi atitikti ergonominius ir biomechaninius reikalavimus pagal EN 1729 arba lygiavertį standartą, užtikrinančius nugaros atramą ir svorio pasiskirstymą. Leidžiami konstrukciniai sprendimai (pvz., oro pagalvės efektas ar lygiavertis), jeigu jie atitinka minėto standarto reikalavimus.</w:t>
            </w:r>
          </w:p>
          <w:p w14:paraId="30B9FD0B" w14:textId="7C788BE8" w:rsidR="00F950A3" w:rsidRPr="00783DD7" w:rsidRDefault="00F950A3" w:rsidP="009B0CDE">
            <w:pPr>
              <w:pStyle w:val="Sraopastraipa"/>
              <w:numPr>
                <w:ilvl w:val="0"/>
                <w:numId w:val="20"/>
              </w:numPr>
              <w:suppressAutoHyphens/>
              <w:autoSpaceDN w:val="0"/>
              <w:contextualSpacing w:val="0"/>
              <w:jc w:val="both"/>
              <w:textAlignment w:val="baseline"/>
              <w:rPr>
                <w:rFonts w:ascii="Times New Roman" w:eastAsia="Times New Roman" w:hAnsi="Times New Roman" w:cs="Times New Roman"/>
                <w:bCs/>
                <w:lang w:val="pt-BR"/>
              </w:rPr>
            </w:pPr>
            <w:r w:rsidRPr="00783DD7">
              <w:rPr>
                <w:rFonts w:ascii="Times New Roman" w:eastAsia="Times New Roman" w:hAnsi="Times New Roman" w:cs="Times New Roman"/>
                <w:bCs/>
                <w:lang w:val="pt-BR"/>
              </w:rPr>
              <w:t xml:space="preserve">Kėdė turi turėti sėdynės aukščio reguliavimo funkciją, veikiančią pneumatiniu (arba lygiaverčiu) mechanizmu, turinčiu apsaugą nuo staigaus nuleidimo. Sėdynės aukštis turi būti reguliuojamas ne </w:t>
            </w:r>
            <w:r w:rsidR="00924CF3" w:rsidRPr="00783DD7">
              <w:rPr>
                <w:rFonts w:ascii="Times New Roman" w:eastAsia="Times New Roman" w:hAnsi="Times New Roman" w:cs="Times New Roman"/>
                <w:bCs/>
                <w:lang w:val="pt-BR"/>
              </w:rPr>
              <w:t>siauresniame intervale, kaip 510-750 mm.</w:t>
            </w:r>
          </w:p>
          <w:p w14:paraId="32619BF1" w14:textId="4E0482EE" w:rsidR="00560850" w:rsidRPr="00783DD7" w:rsidRDefault="00AD6FD6" w:rsidP="004C3BBD">
            <w:pPr>
              <w:pStyle w:val="Sraopastraipa"/>
              <w:numPr>
                <w:ilvl w:val="0"/>
                <w:numId w:val="20"/>
              </w:numPr>
              <w:suppressAutoHyphens/>
              <w:autoSpaceDN w:val="0"/>
              <w:jc w:val="both"/>
              <w:textAlignment w:val="baseline"/>
              <w:rPr>
                <w:rFonts w:ascii="Times New Roman" w:eastAsia="Times New Roman" w:hAnsi="Times New Roman" w:cs="Times New Roman"/>
                <w:bCs/>
                <w:lang w:val="pt-BR"/>
              </w:rPr>
            </w:pPr>
            <w:r w:rsidRPr="00783DD7">
              <w:rPr>
                <w:rFonts w:ascii="Times New Roman" w:eastAsia="Times New Roman" w:hAnsi="Times New Roman" w:cs="Times New Roman"/>
                <w:bCs/>
                <w:lang w:val="pt-BR"/>
              </w:rPr>
              <w:t>Kėdės pagrindas turi būti žvaigždės formos, pagamintas iš metalo lydinio (pvz., aliuminio) arba lygiavertės konstrukcijos medžiagos, padengtas atsparia milteline danga (pvz., epoksidine derva) arba lygiaverte.</w:t>
            </w:r>
            <w:r w:rsidRPr="00783DD7">
              <w:rPr>
                <w:rFonts w:ascii="Times New Roman" w:eastAsia="Times New Roman" w:hAnsi="Times New Roman" w:cs="Times New Roman"/>
                <w:bCs/>
                <w:lang w:val="pt-BR"/>
              </w:rPr>
              <w:br/>
              <w:t>Ratukai turi būti minkšto tipo, skirti naudoti ant kietų grindų dangų</w:t>
            </w:r>
          </w:p>
          <w:p w14:paraId="6689C00C" w14:textId="77777777" w:rsidR="00F950A3" w:rsidRPr="00783DD7" w:rsidRDefault="00F950A3" w:rsidP="00F950A3">
            <w:pPr>
              <w:pStyle w:val="Sraopastraipa"/>
              <w:numPr>
                <w:ilvl w:val="0"/>
                <w:numId w:val="20"/>
              </w:numPr>
              <w:suppressAutoHyphens/>
              <w:autoSpaceDN w:val="0"/>
              <w:contextualSpacing w:val="0"/>
              <w:jc w:val="both"/>
              <w:textAlignment w:val="baseline"/>
              <w:rPr>
                <w:rFonts w:ascii="Times New Roman" w:eastAsia="Times New Roman" w:hAnsi="Times New Roman" w:cs="Times New Roman"/>
                <w:bCs/>
                <w:lang w:val="pt-BR"/>
              </w:rPr>
            </w:pPr>
            <w:r w:rsidRPr="00783DD7">
              <w:rPr>
                <w:rFonts w:ascii="Times New Roman" w:eastAsia="Times New Roman" w:hAnsi="Times New Roman" w:cs="Times New Roman"/>
                <w:bCs/>
                <w:lang w:val="pt-BR"/>
              </w:rPr>
              <w:t>Turi būti kojų lankas pagamintas iš juodo poliuretano arba lygiavertės medžiagos.</w:t>
            </w:r>
          </w:p>
          <w:p w14:paraId="4D998166" w14:textId="1B806C04" w:rsidR="00F950A3" w:rsidRPr="00783DD7" w:rsidRDefault="00F950A3" w:rsidP="00F950A3">
            <w:pPr>
              <w:pStyle w:val="Sraopastraipa"/>
              <w:numPr>
                <w:ilvl w:val="0"/>
                <w:numId w:val="20"/>
              </w:numPr>
              <w:suppressAutoHyphens/>
              <w:autoSpaceDN w:val="0"/>
              <w:contextualSpacing w:val="0"/>
              <w:jc w:val="both"/>
              <w:textAlignment w:val="baseline"/>
              <w:rPr>
                <w:rFonts w:ascii="Times New Roman" w:eastAsia="Times New Roman" w:hAnsi="Times New Roman" w:cs="Times New Roman"/>
                <w:bCs/>
                <w:lang w:val="pt-BR"/>
              </w:rPr>
            </w:pPr>
            <w:r w:rsidRPr="00783DD7">
              <w:rPr>
                <w:rFonts w:ascii="Times New Roman" w:eastAsia="Times New Roman" w:hAnsi="Times New Roman" w:cs="Times New Roman"/>
                <w:bCs/>
                <w:lang w:val="pt-BR"/>
              </w:rPr>
              <w:t>Sėdynės ir atlošo dydis turi atitikti EN 6 (L) dydį</w:t>
            </w:r>
            <w:r w:rsidR="00A82735" w:rsidRPr="00783DD7">
              <w:rPr>
                <w:rFonts w:ascii="Times New Roman" w:eastAsia="Times New Roman" w:hAnsi="Times New Roman" w:cs="Times New Roman"/>
                <w:bCs/>
                <w:lang w:val="pt-BR"/>
              </w:rPr>
              <w:t>, t.y. skirtas mokiniams, kurių ūgio intervalas yra nuo 146 cm iki 176 cm, atitinkantis vidurinių ir vyresniųjų klasių mokinių amžiaus grupę</w:t>
            </w:r>
            <w:r w:rsidRPr="00783DD7">
              <w:rPr>
                <w:rFonts w:ascii="Times New Roman" w:eastAsia="Times New Roman" w:hAnsi="Times New Roman" w:cs="Times New Roman"/>
                <w:bCs/>
                <w:lang w:val="pt-BR"/>
              </w:rPr>
              <w:t xml:space="preserve"> pagal EN 1729 </w:t>
            </w:r>
            <w:r w:rsidR="00C35C6B" w:rsidRPr="00783DD7">
              <w:rPr>
                <w:rFonts w:ascii="Times New Roman" w:eastAsia="Times New Roman" w:hAnsi="Times New Roman" w:cs="Times New Roman"/>
                <w:bCs/>
                <w:lang w:val="pt-BR"/>
              </w:rPr>
              <w:t xml:space="preserve">arba lygiaverčio </w:t>
            </w:r>
            <w:r w:rsidRPr="00783DD7">
              <w:rPr>
                <w:rFonts w:ascii="Times New Roman" w:eastAsia="Times New Roman" w:hAnsi="Times New Roman" w:cs="Times New Roman"/>
                <w:bCs/>
                <w:lang w:val="pt-BR"/>
              </w:rPr>
              <w:t xml:space="preserve">sertifikato reikalavimus. </w:t>
            </w:r>
          </w:p>
          <w:p w14:paraId="1505F542" w14:textId="32989711" w:rsidR="00F950A3" w:rsidRPr="00783DD7" w:rsidRDefault="00F950A3" w:rsidP="00F950A3">
            <w:pPr>
              <w:pStyle w:val="Sraopastraipa"/>
              <w:numPr>
                <w:ilvl w:val="0"/>
                <w:numId w:val="20"/>
              </w:numPr>
              <w:suppressAutoHyphens/>
              <w:autoSpaceDN w:val="0"/>
              <w:contextualSpacing w:val="0"/>
              <w:jc w:val="both"/>
              <w:textAlignment w:val="baseline"/>
              <w:rPr>
                <w:rFonts w:ascii="Times New Roman" w:eastAsia="Times New Roman" w:hAnsi="Times New Roman" w:cs="Times New Roman"/>
                <w:bCs/>
                <w:lang w:val="pt-BR"/>
              </w:rPr>
            </w:pPr>
            <w:r w:rsidRPr="00783DD7">
              <w:rPr>
                <w:rFonts w:ascii="Times New Roman" w:eastAsia="Times New Roman" w:hAnsi="Times New Roman" w:cs="Times New Roman"/>
                <w:bCs/>
                <w:lang w:val="pt-BR"/>
              </w:rPr>
              <w:t xml:space="preserve">Tiekėjas turi pasiūlyti tokį kėdžių plastikinių ir metalinių dalių spalvų pasirinkimą pagal RAL spalvų katalogą, kad būtų galima parinkti </w:t>
            </w:r>
            <w:r w:rsidR="00621BCE">
              <w:rPr>
                <w:rFonts w:ascii="Times New Roman" w:eastAsiaTheme="minorEastAsia" w:hAnsi="Times New Roman" w:cs="Times New Roman"/>
                <w:kern w:val="2"/>
                <w:lang w:val="lt-LT" w:eastAsia="lt-LT"/>
                <w14:ligatures w14:val="standardContextual"/>
              </w:rPr>
              <w:t>Šiaulių Stasio Šalkauskio gimnazijos S. Šalkauskio g. 3, Šiauliai, dalies patalpų interjero</w:t>
            </w:r>
            <w:r w:rsidR="00621BCE" w:rsidRPr="000C73E6">
              <w:rPr>
                <w:rFonts w:ascii="Times New Roman" w:eastAsiaTheme="minorEastAsia" w:hAnsi="Times New Roman" w:cs="Times New Roman"/>
                <w:kern w:val="2"/>
                <w:lang w:val="lt-LT" w:eastAsia="lt-LT"/>
                <w14:ligatures w14:val="standardContextual"/>
              </w:rPr>
              <w:t xml:space="preserve"> projekte „2</w:t>
            </w:r>
            <w:r w:rsidR="00621BCE">
              <w:rPr>
                <w:rFonts w:ascii="Times New Roman" w:eastAsiaTheme="minorEastAsia" w:hAnsi="Times New Roman" w:cs="Times New Roman"/>
                <w:kern w:val="2"/>
                <w:lang w:val="lt-LT" w:eastAsia="lt-LT"/>
                <w14:ligatures w14:val="standardContextual"/>
              </w:rPr>
              <w:t>30919</w:t>
            </w:r>
            <w:r w:rsidR="00621BCE" w:rsidRPr="000C73E6">
              <w:rPr>
                <w:rFonts w:ascii="Times New Roman" w:eastAsiaTheme="minorEastAsia" w:hAnsi="Times New Roman" w:cs="Times New Roman"/>
                <w:kern w:val="2"/>
                <w:lang w:val="lt-LT" w:eastAsia="lt-LT"/>
                <w14:ligatures w14:val="standardContextual"/>
              </w:rPr>
              <w:t>“</w:t>
            </w:r>
            <w:r w:rsidR="00621BCE">
              <w:rPr>
                <w:rFonts w:ascii="Times New Roman" w:eastAsiaTheme="minorEastAsia" w:hAnsi="Times New Roman" w:cs="Times New Roman"/>
                <w:kern w:val="2"/>
                <w:lang w:val="lt-LT" w:eastAsia="lt-LT"/>
                <w14:ligatures w14:val="standardContextual"/>
              </w:rPr>
              <w:t xml:space="preserve"> (toliau tekste – Projektas)</w:t>
            </w:r>
            <w:r w:rsidR="00621BCE">
              <w:rPr>
                <w:rFonts w:ascii="Times New Roman" w:eastAsiaTheme="minorEastAsia" w:hAnsi="Times New Roman" w:cs="Times New Roman"/>
                <w:kern w:val="2"/>
                <w:lang w:val="lt-LT" w:eastAsia="lt-LT"/>
                <w14:ligatures w14:val="standardContextual"/>
              </w:rPr>
              <w:t xml:space="preserve"> </w:t>
            </w:r>
            <w:r w:rsidRPr="00783DD7">
              <w:rPr>
                <w:rFonts w:ascii="Times New Roman" w:eastAsia="Times New Roman" w:hAnsi="Times New Roman" w:cs="Times New Roman"/>
                <w:bCs/>
                <w:lang w:val="pt-BR"/>
              </w:rPr>
              <w:t xml:space="preserve">nurodytas ar joms lygiavertes spalvas, kurių spalvinis skirtumas nuo nurodytos spalvos neviršija ΔE ≤ 2 pagal CIE L*a*b* </w:t>
            </w:r>
            <w:r w:rsidR="00CE27FB" w:rsidRPr="00783DD7">
              <w:rPr>
                <w:rFonts w:ascii="Times New Roman" w:eastAsia="Times New Roman" w:hAnsi="Times New Roman" w:cs="Times New Roman"/>
                <w:bCs/>
                <w:lang w:val="pt-BR"/>
              </w:rPr>
              <w:t xml:space="preserve">arba lygiavertį </w:t>
            </w:r>
            <w:r w:rsidRPr="00783DD7">
              <w:rPr>
                <w:rFonts w:ascii="Times New Roman" w:eastAsia="Times New Roman" w:hAnsi="Times New Roman" w:cs="Times New Roman"/>
                <w:bCs/>
                <w:lang w:val="pt-BR"/>
              </w:rPr>
              <w:t>standartą, užtikrinančias baldų vizualinį vientisumą patalpoje.</w:t>
            </w:r>
          </w:p>
          <w:p w14:paraId="1AFE36FE" w14:textId="77777777" w:rsidR="002B1DE3" w:rsidRPr="00783DD7" w:rsidRDefault="002B1DE3" w:rsidP="002B1DE3">
            <w:pPr>
              <w:numPr>
                <w:ilvl w:val="0"/>
                <w:numId w:val="20"/>
              </w:numPr>
              <w:spacing w:line="259" w:lineRule="auto"/>
              <w:contextualSpacing/>
              <w:jc w:val="both"/>
              <w:rPr>
                <w:rFonts w:ascii="Times New Roman" w:eastAsia="Times New Roman" w:hAnsi="Times New Roman" w:cs="Times New Roman"/>
                <w:bCs/>
                <w:lang w:val="pt-BR"/>
              </w:rPr>
            </w:pPr>
            <w:r w:rsidRPr="00783DD7">
              <w:rPr>
                <w:rFonts w:ascii="Times New Roman" w:eastAsia="Times New Roman" w:hAnsi="Times New Roman" w:cs="Times New Roman"/>
                <w:bCs/>
                <w:lang w:val="pt-BR"/>
              </w:rPr>
              <w:t>Kėdės turi būti sertifikuotos pagal visus toliau nurodytus arba lygiaverčius standartus:</w:t>
            </w:r>
          </w:p>
          <w:p w14:paraId="259075C2" w14:textId="77777777" w:rsidR="002B1DE3" w:rsidRPr="00783DD7" w:rsidRDefault="002B1DE3" w:rsidP="002B1DE3">
            <w:pPr>
              <w:ind w:left="360"/>
              <w:contextualSpacing/>
              <w:jc w:val="both"/>
              <w:rPr>
                <w:rFonts w:ascii="Times New Roman" w:eastAsia="Times New Roman" w:hAnsi="Times New Roman" w:cs="Times New Roman"/>
                <w:bCs/>
                <w:lang w:val="pt-BR"/>
              </w:rPr>
            </w:pPr>
            <w:r w:rsidRPr="00783DD7">
              <w:rPr>
                <w:rFonts w:ascii="Times New Roman" w:eastAsia="Times New Roman" w:hAnsi="Times New Roman" w:cs="Times New Roman"/>
                <w:bCs/>
                <w:lang w:val="pt-BR"/>
              </w:rPr>
              <w:t>– GS – saugos sertifikatas, patvirtinantis produkto atitiktį saugos reikalavimams;</w:t>
            </w:r>
          </w:p>
          <w:p w14:paraId="320251E5" w14:textId="77777777" w:rsidR="002B1DE3" w:rsidRPr="00783DD7" w:rsidRDefault="002B1DE3" w:rsidP="002B1DE3">
            <w:pPr>
              <w:ind w:left="360"/>
              <w:contextualSpacing/>
              <w:jc w:val="both"/>
              <w:rPr>
                <w:rFonts w:ascii="Times New Roman" w:eastAsia="Times New Roman" w:hAnsi="Times New Roman" w:cs="Times New Roman"/>
                <w:bCs/>
                <w:lang w:val="pt-BR"/>
              </w:rPr>
            </w:pPr>
            <w:r w:rsidRPr="00783DD7">
              <w:rPr>
                <w:rFonts w:ascii="Times New Roman" w:eastAsia="Times New Roman" w:hAnsi="Times New Roman" w:cs="Times New Roman"/>
                <w:bCs/>
                <w:lang w:val="pt-BR"/>
              </w:rPr>
              <w:t>– BIFMA – tvarumo standartas, vertinantis gaminio eksploatacines savybes ir patvarumą;</w:t>
            </w:r>
          </w:p>
          <w:p w14:paraId="1E0C7D6F" w14:textId="77777777" w:rsidR="002B1DE3" w:rsidRPr="00783DD7" w:rsidRDefault="002B1DE3" w:rsidP="002B1DE3">
            <w:pPr>
              <w:ind w:left="360"/>
              <w:contextualSpacing/>
              <w:jc w:val="both"/>
              <w:rPr>
                <w:rFonts w:ascii="Times New Roman" w:eastAsia="Times New Roman" w:hAnsi="Times New Roman" w:cs="Times New Roman"/>
                <w:bCs/>
                <w:lang w:val="pt-BR"/>
              </w:rPr>
            </w:pPr>
            <w:r w:rsidRPr="00783DD7">
              <w:rPr>
                <w:rFonts w:ascii="Times New Roman" w:eastAsia="Times New Roman" w:hAnsi="Times New Roman" w:cs="Times New Roman"/>
                <w:bCs/>
                <w:lang w:val="pt-BR"/>
              </w:rPr>
              <w:t>– FEMB – Europos tvarumo sertifikatas, taikomas metalinėms ir plastikinėms baldų dalims.</w:t>
            </w:r>
          </w:p>
          <w:p w14:paraId="0A47DB79" w14:textId="5B24DAAB" w:rsidR="00F950A3" w:rsidRPr="00783DD7" w:rsidRDefault="006C4329" w:rsidP="00F950A3">
            <w:pPr>
              <w:pStyle w:val="Sraopastraipa"/>
              <w:numPr>
                <w:ilvl w:val="0"/>
                <w:numId w:val="16"/>
              </w:numPr>
              <w:suppressAutoHyphens/>
              <w:autoSpaceDN w:val="0"/>
              <w:contextualSpacing w:val="0"/>
              <w:jc w:val="both"/>
              <w:textAlignment w:val="baseline"/>
              <w:rPr>
                <w:rFonts w:ascii="Times New Roman" w:hAnsi="Times New Roman" w:cs="Times New Roman"/>
                <w:bCs/>
                <w:lang w:val="lt-LT"/>
              </w:rPr>
            </w:pPr>
            <w:r w:rsidRPr="00783DD7">
              <w:rPr>
                <w:rFonts w:ascii="Times New Roman" w:eastAsia="Times New Roman" w:hAnsi="Times New Roman" w:cs="Times New Roman"/>
                <w:bCs/>
                <w:lang w:val="pt-BR"/>
              </w:rPr>
              <w:lastRenderedPageBreak/>
              <w:t xml:space="preserve">Baldo dizainas turi </w:t>
            </w:r>
            <w:r w:rsidR="00753116" w:rsidRPr="00783DD7">
              <w:rPr>
                <w:rFonts w:ascii="Times New Roman" w:eastAsia="Times New Roman" w:hAnsi="Times New Roman" w:cs="Times New Roman"/>
                <w:bCs/>
                <w:lang w:val="pt-BR"/>
              </w:rPr>
              <w:t xml:space="preserve">atitikti </w:t>
            </w:r>
            <w:r w:rsidRPr="00783DD7">
              <w:rPr>
                <w:rFonts w:ascii="Times New Roman" w:eastAsia="Times New Roman" w:hAnsi="Times New Roman" w:cs="Times New Roman"/>
                <w:bCs/>
                <w:lang w:val="pt-BR"/>
              </w:rPr>
              <w:t>techninio projekto architektūrinėje dalyje (pridėta prie pirkimo dokumentų) numatyt</w:t>
            </w:r>
            <w:r w:rsidR="003400B1" w:rsidRPr="00783DD7">
              <w:rPr>
                <w:rFonts w:ascii="Times New Roman" w:eastAsia="Times New Roman" w:hAnsi="Times New Roman" w:cs="Times New Roman"/>
                <w:bCs/>
                <w:lang w:val="pt-BR"/>
              </w:rPr>
              <w:t>ą</w:t>
            </w:r>
            <w:r w:rsidRPr="00783DD7">
              <w:rPr>
                <w:rFonts w:ascii="Times New Roman" w:eastAsia="Times New Roman" w:hAnsi="Times New Roman" w:cs="Times New Roman"/>
                <w:bCs/>
                <w:lang w:val="pt-BR"/>
              </w:rPr>
              <w:t xml:space="preserve"> interjero stilistik</w:t>
            </w:r>
            <w:r w:rsidR="00753116" w:rsidRPr="00783DD7">
              <w:rPr>
                <w:rFonts w:ascii="Times New Roman" w:eastAsia="Times New Roman" w:hAnsi="Times New Roman" w:cs="Times New Roman"/>
                <w:bCs/>
                <w:lang w:val="pt-BR"/>
              </w:rPr>
              <w:t>ą</w:t>
            </w:r>
            <w:r w:rsidRPr="00783DD7">
              <w:rPr>
                <w:rFonts w:ascii="Times New Roman" w:eastAsia="Times New Roman" w:hAnsi="Times New Roman" w:cs="Times New Roman"/>
                <w:bCs/>
                <w:lang w:val="pt-BR"/>
              </w:rPr>
              <w:t>, siekiant patalpų vizualinio vientisumo, vertinama pagal pateiktas vizualizacijas ir RAL spalvų parinktis. Jeigu techninio projekto architektūrinėje dalyje nurodyti konkretūs dizaino ar estetikos sprendiniai, jie taikomi lygiaverčiu principu, leidžiant siūlyti lygiaverčius sprendinius, užtikrinančius tokio paties lygmens estetinę ir vizualinę kokybę.</w:t>
            </w:r>
          </w:p>
        </w:tc>
      </w:tr>
      <w:tr w:rsidR="00F950A3" w:rsidRPr="00783DD7" w14:paraId="2AC9366A" w14:textId="77777777" w:rsidTr="00783DD7">
        <w:tc>
          <w:tcPr>
            <w:tcW w:w="442" w:type="pct"/>
          </w:tcPr>
          <w:p w14:paraId="0C3CB12F" w14:textId="3F0B810B" w:rsidR="00F950A3" w:rsidRPr="00783DD7" w:rsidRDefault="00F950A3" w:rsidP="00783DD7">
            <w:pPr>
              <w:pStyle w:val="Sraopastraipa"/>
              <w:numPr>
                <w:ilvl w:val="0"/>
                <w:numId w:val="1"/>
              </w:numPr>
              <w:rPr>
                <w:rFonts w:ascii="Times New Roman" w:hAnsi="Times New Roman" w:cs="Times New Roman"/>
                <w:lang w:val="lt-LT"/>
              </w:rPr>
            </w:pPr>
          </w:p>
        </w:tc>
        <w:tc>
          <w:tcPr>
            <w:tcW w:w="714" w:type="pct"/>
          </w:tcPr>
          <w:p w14:paraId="0F65FCCB" w14:textId="788FA5B6" w:rsidR="00F950A3" w:rsidRPr="00783DD7" w:rsidRDefault="00621BCE" w:rsidP="00783DD7">
            <w:pPr>
              <w:rPr>
                <w:rFonts w:ascii="Times New Roman" w:hAnsi="Times New Roman" w:cs="Times New Roman"/>
                <w:lang w:val="lt-LT"/>
              </w:rPr>
            </w:pPr>
            <w:r>
              <w:rPr>
                <w:rFonts w:ascii="Times New Roman" w:hAnsi="Times New Roman" w:cs="Times New Roman"/>
              </w:rPr>
              <w:t>1</w:t>
            </w:r>
          </w:p>
        </w:tc>
        <w:tc>
          <w:tcPr>
            <w:tcW w:w="1043" w:type="pct"/>
          </w:tcPr>
          <w:p w14:paraId="569FC25D" w14:textId="4C76B423" w:rsidR="00F950A3" w:rsidRPr="00783DD7" w:rsidRDefault="009B084A" w:rsidP="00783DD7">
            <w:pPr>
              <w:spacing w:line="259" w:lineRule="auto"/>
              <w:contextualSpacing/>
              <w:rPr>
                <w:rFonts w:ascii="Times New Roman" w:hAnsi="Times New Roman" w:cs="Times New Roman"/>
                <w:lang w:val="lt-LT"/>
              </w:rPr>
            </w:pPr>
            <w:proofErr w:type="spellStart"/>
            <w:r w:rsidRPr="00783DD7">
              <w:rPr>
                <w:rFonts w:ascii="Times New Roman" w:hAnsi="Times New Roman" w:cs="Times New Roman"/>
                <w:b/>
                <w:bCs/>
              </w:rPr>
              <w:t>Laboratorijos</w:t>
            </w:r>
            <w:proofErr w:type="spellEnd"/>
            <w:r w:rsidRPr="00783DD7">
              <w:rPr>
                <w:rFonts w:ascii="Times New Roman" w:hAnsi="Times New Roman" w:cs="Times New Roman"/>
                <w:b/>
                <w:bCs/>
              </w:rPr>
              <w:t xml:space="preserve"> </w:t>
            </w:r>
            <w:proofErr w:type="spellStart"/>
            <w:r w:rsidRPr="00783DD7">
              <w:rPr>
                <w:rFonts w:ascii="Times New Roman" w:hAnsi="Times New Roman" w:cs="Times New Roman"/>
                <w:b/>
                <w:bCs/>
              </w:rPr>
              <w:t>m</w:t>
            </w:r>
            <w:r w:rsidR="00F950A3" w:rsidRPr="00783DD7">
              <w:rPr>
                <w:rFonts w:ascii="Times New Roman" w:hAnsi="Times New Roman" w:cs="Times New Roman"/>
                <w:b/>
                <w:bCs/>
              </w:rPr>
              <w:t>okytojo</w:t>
            </w:r>
            <w:proofErr w:type="spellEnd"/>
            <w:r w:rsidR="00F950A3" w:rsidRPr="00783DD7">
              <w:rPr>
                <w:rFonts w:ascii="Times New Roman" w:hAnsi="Times New Roman" w:cs="Times New Roman"/>
                <w:b/>
                <w:bCs/>
              </w:rPr>
              <w:t xml:space="preserve"> </w:t>
            </w:r>
            <w:proofErr w:type="spellStart"/>
            <w:r w:rsidR="00F950A3" w:rsidRPr="00783DD7">
              <w:rPr>
                <w:rFonts w:ascii="Times New Roman" w:hAnsi="Times New Roman" w:cs="Times New Roman"/>
                <w:b/>
                <w:bCs/>
              </w:rPr>
              <w:t>kėdė</w:t>
            </w:r>
            <w:proofErr w:type="spellEnd"/>
            <w:r w:rsidR="00F950A3" w:rsidRPr="00783DD7">
              <w:rPr>
                <w:rFonts w:ascii="Times New Roman" w:hAnsi="Times New Roman" w:cs="Times New Roman"/>
                <w:b/>
                <w:bCs/>
              </w:rPr>
              <w:t xml:space="preserve"> </w:t>
            </w:r>
          </w:p>
        </w:tc>
        <w:tc>
          <w:tcPr>
            <w:tcW w:w="2801" w:type="pct"/>
          </w:tcPr>
          <w:p w14:paraId="1E56539C" w14:textId="77777777" w:rsidR="00F950A3" w:rsidRPr="00783DD7" w:rsidRDefault="00F950A3" w:rsidP="00F950A3">
            <w:pPr>
              <w:pStyle w:val="Sraopastraipa"/>
              <w:numPr>
                <w:ilvl w:val="0"/>
                <w:numId w:val="20"/>
              </w:numPr>
              <w:suppressAutoHyphens/>
              <w:autoSpaceDN w:val="0"/>
              <w:contextualSpacing w:val="0"/>
              <w:jc w:val="both"/>
              <w:textAlignment w:val="baseline"/>
              <w:rPr>
                <w:rFonts w:ascii="Times New Roman" w:eastAsia="Times New Roman" w:hAnsi="Times New Roman" w:cs="Times New Roman"/>
                <w:bCs/>
                <w:lang w:val="pt-BR"/>
              </w:rPr>
            </w:pPr>
            <w:r w:rsidRPr="00783DD7">
              <w:rPr>
                <w:rFonts w:ascii="Times New Roman" w:eastAsia="Times New Roman" w:hAnsi="Times New Roman" w:cs="Times New Roman"/>
                <w:bCs/>
                <w:lang w:val="pt-BR"/>
              </w:rPr>
              <w:t xml:space="preserve">Sėdimoji ir atraminė dalys turi būti pagamintos iš sluoksniuotos (klijuotinės) medienos (faneros) arba lygiaverčių konstrukcinių medžiagų, </w:t>
            </w:r>
            <w:r w:rsidRPr="00783DD7">
              <w:rPr>
                <w:rFonts w:ascii="Times New Roman" w:eastAsia="Times New Roman" w:hAnsi="Times New Roman" w:cs="Times New Roman"/>
                <w:bCs/>
                <w:lang w:val="lt-LT"/>
              </w:rPr>
              <w:t>kurių mechaninis atsparumas, stabilumas ir ilgaamžiškumas nėra prastesni už faneros savybes</w:t>
            </w:r>
            <w:r w:rsidRPr="00783DD7">
              <w:rPr>
                <w:rFonts w:ascii="Times New Roman" w:eastAsia="Times New Roman" w:hAnsi="Times New Roman" w:cs="Times New Roman"/>
                <w:bCs/>
                <w:lang w:val="pt-BR"/>
              </w:rPr>
              <w:t xml:space="preserve"> ir padengtos dažais / laku su neslystančiu paviršiumi.</w:t>
            </w:r>
          </w:p>
          <w:p w14:paraId="00D43215" w14:textId="06460296" w:rsidR="00422741" w:rsidRPr="00783DD7" w:rsidRDefault="00612570" w:rsidP="00422741">
            <w:pPr>
              <w:pStyle w:val="Sraopastraipa"/>
              <w:numPr>
                <w:ilvl w:val="0"/>
                <w:numId w:val="20"/>
              </w:numPr>
              <w:suppressAutoHyphens/>
              <w:autoSpaceDN w:val="0"/>
              <w:jc w:val="both"/>
              <w:textAlignment w:val="baseline"/>
              <w:rPr>
                <w:rFonts w:ascii="Times New Roman" w:eastAsia="Times New Roman" w:hAnsi="Times New Roman" w:cs="Times New Roman"/>
                <w:bCs/>
                <w:lang w:val="lt-LT"/>
              </w:rPr>
            </w:pPr>
            <w:r w:rsidRPr="00783DD7">
              <w:rPr>
                <w:rFonts w:ascii="Times New Roman" w:eastAsia="Times New Roman" w:hAnsi="Times New Roman" w:cs="Times New Roman"/>
                <w:bCs/>
                <w:lang w:val="pt-BR"/>
              </w:rPr>
              <w:t>Sėdimoji ir atraminė dalys turi turėti vientisą, į korpusą integruotą paminkštinimą, atitinkantį mechaninio atsparumo reikalavimus pagal EN 172</w:t>
            </w:r>
            <w:r w:rsidR="006B7DB3" w:rsidRPr="00783DD7">
              <w:rPr>
                <w:rFonts w:ascii="Times New Roman" w:eastAsia="Times New Roman" w:hAnsi="Times New Roman" w:cs="Times New Roman"/>
                <w:bCs/>
                <w:lang w:val="pt-BR"/>
              </w:rPr>
              <w:t>9</w:t>
            </w:r>
            <w:r w:rsidRPr="00783DD7">
              <w:rPr>
                <w:rFonts w:ascii="Times New Roman" w:eastAsia="Times New Roman" w:hAnsi="Times New Roman" w:cs="Times New Roman"/>
                <w:bCs/>
                <w:lang w:val="pt-BR"/>
              </w:rPr>
              <w:t xml:space="preserve"> arba lygiavertį standartą.</w:t>
            </w:r>
            <w:r w:rsidR="00F950A3" w:rsidRPr="00783DD7">
              <w:rPr>
                <w:rFonts w:ascii="Times New Roman" w:eastAsia="Times New Roman" w:hAnsi="Times New Roman" w:cs="Times New Roman"/>
                <w:bCs/>
                <w:lang w:val="pt-BR"/>
              </w:rPr>
              <w:t xml:space="preserve"> </w:t>
            </w:r>
            <w:r w:rsidR="00AF11E4" w:rsidRPr="00783DD7">
              <w:rPr>
                <w:rFonts w:ascii="Times New Roman" w:eastAsia="Times New Roman" w:hAnsi="Times New Roman" w:cs="Times New Roman"/>
                <w:bCs/>
                <w:lang w:val="pt-BR"/>
              </w:rPr>
              <w:t xml:space="preserve">Paminkštinimo užpildas turi būti pagamintas iš aukšto tankio (ne mažiau kaip </w:t>
            </w:r>
            <w:r w:rsidR="00324C91" w:rsidRPr="00783DD7">
              <w:rPr>
                <w:rFonts w:ascii="Times New Roman" w:eastAsia="Times New Roman" w:hAnsi="Times New Roman" w:cs="Times New Roman"/>
                <w:bCs/>
                <w:lang w:val="pt-BR"/>
              </w:rPr>
              <w:t>320 g</w:t>
            </w:r>
            <w:r w:rsidR="00AF11E4" w:rsidRPr="00783DD7">
              <w:rPr>
                <w:rFonts w:ascii="Times New Roman" w:eastAsia="Times New Roman" w:hAnsi="Times New Roman" w:cs="Times New Roman"/>
                <w:bCs/>
                <w:lang w:val="pt-BR"/>
              </w:rPr>
              <w:t>/m</w:t>
            </w:r>
            <w:r w:rsidR="00324C91" w:rsidRPr="00783DD7">
              <w:rPr>
                <w:rFonts w:ascii="Times New Roman" w:eastAsia="Times New Roman" w:hAnsi="Times New Roman" w:cs="Times New Roman"/>
                <w:bCs/>
                <w:vertAlign w:val="superscript"/>
                <w:lang w:val="pt-BR"/>
              </w:rPr>
              <w:t>2</w:t>
            </w:r>
            <w:r w:rsidR="00AF11E4" w:rsidRPr="00783DD7">
              <w:rPr>
                <w:rFonts w:ascii="Times New Roman" w:eastAsia="Times New Roman" w:hAnsi="Times New Roman" w:cs="Times New Roman"/>
                <w:bCs/>
                <w:lang w:val="pt-BR"/>
              </w:rPr>
              <w:t>) poliuretano putų arba lygiavertės medžiagos</w:t>
            </w:r>
            <w:r w:rsidR="00F950A3" w:rsidRPr="00783DD7">
              <w:rPr>
                <w:rFonts w:ascii="Times New Roman" w:eastAsia="Times New Roman" w:hAnsi="Times New Roman" w:cs="Times New Roman"/>
                <w:bCs/>
                <w:lang w:val="pt-BR"/>
              </w:rPr>
              <w:t xml:space="preserve">. </w:t>
            </w:r>
            <w:r w:rsidR="00422741" w:rsidRPr="00783DD7">
              <w:rPr>
                <w:rFonts w:ascii="Times New Roman" w:hAnsi="Times New Roman" w:cs="Times New Roman"/>
                <w:bCs/>
                <w:lang w:val="lt-LT"/>
              </w:rPr>
              <w:t xml:space="preserve">Išorinis paviršius turi būti padengtas </w:t>
            </w:r>
            <w:r w:rsidR="00422741" w:rsidRPr="00783DD7">
              <w:rPr>
                <w:rFonts w:ascii="Times New Roman" w:eastAsia="Times New Roman" w:hAnsi="Times New Roman" w:cs="Times New Roman"/>
                <w:bCs/>
                <w:lang w:val="lt-LT"/>
              </w:rPr>
              <w:t>dilimui atspariu audiniu</w:t>
            </w:r>
            <w:r w:rsidR="00422741" w:rsidRPr="00783DD7">
              <w:rPr>
                <w:rFonts w:ascii="Times New Roman" w:hAnsi="Times New Roman" w:cs="Times New Roman"/>
                <w:bCs/>
                <w:lang w:val="lt-LT"/>
              </w:rPr>
              <w:t xml:space="preserve">, kurio </w:t>
            </w:r>
            <w:r w:rsidR="00422741" w:rsidRPr="00783DD7">
              <w:rPr>
                <w:rFonts w:ascii="Times New Roman" w:eastAsia="Times New Roman" w:hAnsi="Times New Roman" w:cs="Times New Roman"/>
                <w:bCs/>
                <w:lang w:val="lt-LT"/>
              </w:rPr>
              <w:t>atsparumas trinčiai ne mažesnis kaip 100 000 Martindale ciklų (pagal EN ISO 12947-2</w:t>
            </w:r>
            <w:r w:rsidR="00324C91" w:rsidRPr="00783DD7">
              <w:rPr>
                <w:rFonts w:ascii="Times New Roman" w:eastAsia="Times New Roman" w:hAnsi="Times New Roman" w:cs="Times New Roman"/>
                <w:bCs/>
                <w:lang w:val="lt-LT"/>
              </w:rPr>
              <w:t>)</w:t>
            </w:r>
            <w:r w:rsidR="00422741" w:rsidRPr="00783DD7">
              <w:rPr>
                <w:rFonts w:ascii="Times New Roman" w:eastAsia="Times New Roman" w:hAnsi="Times New Roman" w:cs="Times New Roman"/>
                <w:bCs/>
                <w:lang w:val="lt-LT"/>
              </w:rPr>
              <w:t>.</w:t>
            </w:r>
            <w:r w:rsidR="00917216" w:rsidRPr="00783DD7">
              <w:rPr>
                <w:rFonts w:ascii="Times New Roman" w:eastAsia="Times New Roman" w:hAnsi="Times New Roman" w:cs="Times New Roman"/>
                <w:bCs/>
                <w:lang w:val="lt-LT"/>
              </w:rPr>
              <w:t xml:space="preserve"> </w:t>
            </w:r>
            <w:r w:rsidR="00422741" w:rsidRPr="00783DD7">
              <w:rPr>
                <w:rFonts w:ascii="Times New Roman" w:eastAsia="Times New Roman" w:hAnsi="Times New Roman" w:cs="Times New Roman"/>
                <w:bCs/>
                <w:lang w:val="lt-LT"/>
              </w:rPr>
              <w:t>Audinys turi būti atsparus ugniai pagal EN 1021-1 ir EN 1021-2 (arba lygiaverčius standartus) bei atitikti aplinkosaugos reikalavimus OEKO-TEX Standard 100 (II kategorija) arba lygiavertį sertifikatą.</w:t>
            </w:r>
          </w:p>
          <w:p w14:paraId="4E9DF6AC" w14:textId="5440BE50" w:rsidR="00F950A3" w:rsidRPr="00783DD7" w:rsidRDefault="00F950A3" w:rsidP="00F950A3">
            <w:pPr>
              <w:numPr>
                <w:ilvl w:val="0"/>
                <w:numId w:val="20"/>
              </w:numPr>
              <w:spacing w:line="259" w:lineRule="auto"/>
              <w:contextualSpacing/>
              <w:jc w:val="both"/>
              <w:rPr>
                <w:rFonts w:ascii="Times New Roman" w:hAnsi="Times New Roman" w:cs="Times New Roman"/>
                <w:bCs/>
                <w:lang w:val="pt-BR"/>
              </w:rPr>
            </w:pPr>
            <w:r w:rsidRPr="00783DD7">
              <w:rPr>
                <w:rFonts w:ascii="Times New Roman" w:hAnsi="Times New Roman" w:cs="Times New Roman"/>
                <w:bCs/>
                <w:lang w:val="pt-BR"/>
              </w:rPr>
              <w:t xml:space="preserve">Kėdė turi turėti sėdynės aukščio reguliavimo funkciją, veikiančią pneumatiniu (arba lygiaverčiu) mechanizmu, turinčiu apsaugą nuo staigaus nuleidimo. Sėdynės aukštis turi būti reguliuojamas </w:t>
            </w:r>
            <w:r w:rsidR="00324C91" w:rsidRPr="00783DD7">
              <w:rPr>
                <w:rFonts w:ascii="Times New Roman" w:hAnsi="Times New Roman" w:cs="Times New Roman"/>
                <w:bCs/>
                <w:lang w:val="pt-BR"/>
              </w:rPr>
              <w:t>ne daugiau, kaip nuo 510 mm</w:t>
            </w:r>
            <w:r w:rsidRPr="00783DD7">
              <w:rPr>
                <w:rFonts w:ascii="Times New Roman" w:hAnsi="Times New Roman" w:cs="Times New Roman"/>
                <w:bCs/>
                <w:lang w:val="pt-BR"/>
              </w:rPr>
              <w:t xml:space="preserve"> ir ne </w:t>
            </w:r>
            <w:r w:rsidR="00324C91" w:rsidRPr="00783DD7">
              <w:rPr>
                <w:rFonts w:ascii="Times New Roman" w:hAnsi="Times New Roman" w:cs="Times New Roman"/>
                <w:bCs/>
                <w:lang w:val="pt-BR"/>
              </w:rPr>
              <w:t>mažiau</w:t>
            </w:r>
            <w:r w:rsidRPr="00783DD7">
              <w:rPr>
                <w:rFonts w:ascii="Times New Roman" w:hAnsi="Times New Roman" w:cs="Times New Roman"/>
                <w:bCs/>
                <w:lang w:val="pt-BR"/>
              </w:rPr>
              <w:t xml:space="preserve"> kaip 7</w:t>
            </w:r>
            <w:r w:rsidR="00324C91" w:rsidRPr="00783DD7">
              <w:rPr>
                <w:rFonts w:ascii="Times New Roman" w:hAnsi="Times New Roman" w:cs="Times New Roman"/>
                <w:bCs/>
                <w:lang w:val="pt-BR"/>
              </w:rPr>
              <w:t>70</w:t>
            </w:r>
            <w:r w:rsidRPr="00783DD7">
              <w:rPr>
                <w:rFonts w:ascii="Times New Roman" w:hAnsi="Times New Roman" w:cs="Times New Roman"/>
                <w:bCs/>
                <w:lang w:val="pt-BR"/>
              </w:rPr>
              <w:t xml:space="preserve"> mm intervale.</w:t>
            </w:r>
          </w:p>
          <w:p w14:paraId="213A1C25" w14:textId="4DFEA3F0" w:rsidR="00521DFE" w:rsidRPr="00783DD7" w:rsidRDefault="00521DFE" w:rsidP="00F950A3">
            <w:pPr>
              <w:numPr>
                <w:ilvl w:val="0"/>
                <w:numId w:val="20"/>
              </w:numPr>
              <w:spacing w:after="160" w:line="259" w:lineRule="auto"/>
              <w:contextualSpacing/>
              <w:jc w:val="both"/>
              <w:rPr>
                <w:rFonts w:ascii="Times New Roman" w:eastAsia="Times New Roman" w:hAnsi="Times New Roman" w:cs="Times New Roman"/>
                <w:bCs/>
                <w:lang w:val="pt-BR"/>
              </w:rPr>
            </w:pPr>
            <w:r w:rsidRPr="00783DD7">
              <w:rPr>
                <w:rFonts w:ascii="Times New Roman" w:eastAsia="Times New Roman" w:hAnsi="Times New Roman" w:cs="Times New Roman"/>
                <w:bCs/>
                <w:lang w:val="pt-BR"/>
              </w:rPr>
              <w:t>Kėdės pagrindas turi būti žvaigždės formos, pagamintas iš metalo lydinio (pvz., aliuminio) arba lygiavertės konstrukcijos medžiagos, padengtas atsparia milteline danga (pvz., epoksidine derva) arba lygiaverte.</w:t>
            </w:r>
            <w:r w:rsidRPr="00783DD7">
              <w:rPr>
                <w:rFonts w:ascii="Times New Roman" w:eastAsia="Times New Roman" w:hAnsi="Times New Roman" w:cs="Times New Roman"/>
                <w:bCs/>
                <w:lang w:val="pt-BR"/>
              </w:rPr>
              <w:br/>
              <w:t>Ratukai turi būti minkšto tipo, skirti naudoti ant kietų grindų dangų</w:t>
            </w:r>
          </w:p>
          <w:p w14:paraId="15EA4ED0" w14:textId="17F5F8AA" w:rsidR="00F950A3" w:rsidRPr="00783DD7" w:rsidRDefault="00F950A3" w:rsidP="00F950A3">
            <w:pPr>
              <w:numPr>
                <w:ilvl w:val="0"/>
                <w:numId w:val="20"/>
              </w:numPr>
              <w:spacing w:after="160" w:line="259" w:lineRule="auto"/>
              <w:contextualSpacing/>
              <w:jc w:val="both"/>
              <w:rPr>
                <w:rFonts w:ascii="Times New Roman" w:eastAsia="Times New Roman" w:hAnsi="Times New Roman" w:cs="Times New Roman"/>
                <w:bCs/>
                <w:lang w:val="pt-BR"/>
              </w:rPr>
            </w:pPr>
            <w:r w:rsidRPr="00783DD7">
              <w:rPr>
                <w:rFonts w:ascii="Times New Roman" w:eastAsia="Times New Roman" w:hAnsi="Times New Roman" w:cs="Times New Roman"/>
                <w:bCs/>
                <w:lang w:val="pt-BR"/>
              </w:rPr>
              <w:t xml:space="preserve">Tiekėjas turi pasiūlyti tokį kėdžių apmušalo, plastikinių ir metalinių dalių spalvų pasirinkimą pagal RAL spalvų katalogą, kad būtų galima parinkti </w:t>
            </w:r>
            <w:r w:rsidR="00621BCE">
              <w:rPr>
                <w:rFonts w:ascii="Times New Roman" w:eastAsiaTheme="minorEastAsia" w:hAnsi="Times New Roman" w:cs="Times New Roman"/>
                <w:kern w:val="2"/>
                <w:lang w:val="lt-LT" w:eastAsia="lt-LT"/>
                <w14:ligatures w14:val="standardContextual"/>
              </w:rPr>
              <w:t>Šiaulių Stasio Šalkauskio gimnazijos S. Šalkauskio g. 3, Šiauliai, dalies patalpų interjero</w:t>
            </w:r>
            <w:r w:rsidR="00621BCE" w:rsidRPr="000C73E6">
              <w:rPr>
                <w:rFonts w:ascii="Times New Roman" w:eastAsiaTheme="minorEastAsia" w:hAnsi="Times New Roman" w:cs="Times New Roman"/>
                <w:kern w:val="2"/>
                <w:lang w:val="lt-LT" w:eastAsia="lt-LT"/>
                <w14:ligatures w14:val="standardContextual"/>
              </w:rPr>
              <w:t xml:space="preserve"> projekte „2</w:t>
            </w:r>
            <w:r w:rsidR="00621BCE">
              <w:rPr>
                <w:rFonts w:ascii="Times New Roman" w:eastAsiaTheme="minorEastAsia" w:hAnsi="Times New Roman" w:cs="Times New Roman"/>
                <w:kern w:val="2"/>
                <w:lang w:val="lt-LT" w:eastAsia="lt-LT"/>
                <w14:ligatures w14:val="standardContextual"/>
              </w:rPr>
              <w:t>30919</w:t>
            </w:r>
            <w:r w:rsidR="00621BCE" w:rsidRPr="000C73E6">
              <w:rPr>
                <w:rFonts w:ascii="Times New Roman" w:eastAsiaTheme="minorEastAsia" w:hAnsi="Times New Roman" w:cs="Times New Roman"/>
                <w:kern w:val="2"/>
                <w:lang w:val="lt-LT" w:eastAsia="lt-LT"/>
                <w14:ligatures w14:val="standardContextual"/>
              </w:rPr>
              <w:t>“</w:t>
            </w:r>
            <w:r w:rsidR="00621BCE">
              <w:rPr>
                <w:rFonts w:ascii="Times New Roman" w:eastAsiaTheme="minorEastAsia" w:hAnsi="Times New Roman" w:cs="Times New Roman"/>
                <w:kern w:val="2"/>
                <w:lang w:val="lt-LT" w:eastAsia="lt-LT"/>
                <w14:ligatures w14:val="standardContextual"/>
              </w:rPr>
              <w:t xml:space="preserve"> (toliau tekste – Projektas)</w:t>
            </w:r>
            <w:r w:rsidR="00621BCE">
              <w:rPr>
                <w:rFonts w:ascii="Times New Roman" w:eastAsiaTheme="minorEastAsia" w:hAnsi="Times New Roman" w:cs="Times New Roman"/>
                <w:kern w:val="2"/>
                <w:lang w:val="lt-LT" w:eastAsia="lt-LT"/>
                <w14:ligatures w14:val="standardContextual"/>
              </w:rPr>
              <w:t xml:space="preserve"> </w:t>
            </w:r>
            <w:r w:rsidRPr="00783DD7">
              <w:rPr>
                <w:rFonts w:ascii="Times New Roman" w:eastAsia="Times New Roman" w:hAnsi="Times New Roman" w:cs="Times New Roman"/>
                <w:bCs/>
                <w:lang w:val="pt-BR"/>
              </w:rPr>
              <w:t xml:space="preserve">nurodytas ar joms lygiavertes spalvas, kurių spalvinis skirtumas nuo nurodytos spalvos neviršija ΔE ≤ 2 pagal CIE L*a*b* </w:t>
            </w:r>
            <w:r w:rsidR="00200C94" w:rsidRPr="00783DD7">
              <w:rPr>
                <w:rFonts w:ascii="Times New Roman" w:eastAsia="Times New Roman" w:hAnsi="Times New Roman" w:cs="Times New Roman"/>
                <w:bCs/>
                <w:lang w:val="pt-BR"/>
              </w:rPr>
              <w:t xml:space="preserve">arba lygiavertį </w:t>
            </w:r>
            <w:r w:rsidRPr="00783DD7">
              <w:rPr>
                <w:rFonts w:ascii="Times New Roman" w:eastAsia="Times New Roman" w:hAnsi="Times New Roman" w:cs="Times New Roman"/>
                <w:bCs/>
                <w:lang w:val="pt-BR"/>
              </w:rPr>
              <w:t>standartą, užtikrinančias baldų vizualinį vientisumą patalpoje.</w:t>
            </w:r>
          </w:p>
          <w:p w14:paraId="58DE2CF2" w14:textId="20F6287A" w:rsidR="00F950A3" w:rsidRPr="00783DD7" w:rsidRDefault="00F950A3" w:rsidP="00F950A3">
            <w:pPr>
              <w:numPr>
                <w:ilvl w:val="0"/>
                <w:numId w:val="20"/>
              </w:numPr>
              <w:spacing w:line="259" w:lineRule="auto"/>
              <w:contextualSpacing/>
              <w:jc w:val="both"/>
              <w:rPr>
                <w:rFonts w:ascii="Times New Roman" w:hAnsi="Times New Roman" w:cs="Times New Roman"/>
                <w:bCs/>
                <w:lang w:val="pt-BR"/>
              </w:rPr>
            </w:pPr>
            <w:r w:rsidRPr="00783DD7">
              <w:rPr>
                <w:rFonts w:ascii="Times New Roman" w:hAnsi="Times New Roman" w:cs="Times New Roman"/>
                <w:bCs/>
                <w:lang w:val="pt-BR"/>
              </w:rPr>
              <w:lastRenderedPageBreak/>
              <w:t xml:space="preserve">Sėdynės ir atlošo dydis turi atitikti EN 6 (L) dydį pagal EN 1729 </w:t>
            </w:r>
            <w:r w:rsidR="009B084A" w:rsidRPr="00783DD7">
              <w:rPr>
                <w:rFonts w:ascii="Times New Roman" w:hAnsi="Times New Roman" w:cs="Times New Roman"/>
                <w:bCs/>
                <w:lang w:val="pt-BR"/>
              </w:rPr>
              <w:t xml:space="preserve">arba lygiaverčio </w:t>
            </w:r>
            <w:r w:rsidRPr="00783DD7">
              <w:rPr>
                <w:rFonts w:ascii="Times New Roman" w:hAnsi="Times New Roman" w:cs="Times New Roman"/>
                <w:bCs/>
                <w:lang w:val="pt-BR"/>
              </w:rPr>
              <w:t xml:space="preserve">sertifikato reikalavimus. </w:t>
            </w:r>
          </w:p>
          <w:p w14:paraId="5E020D54" w14:textId="77777777" w:rsidR="00200C94" w:rsidRPr="00783DD7" w:rsidRDefault="00200C94" w:rsidP="00200C94">
            <w:pPr>
              <w:numPr>
                <w:ilvl w:val="0"/>
                <w:numId w:val="20"/>
              </w:numPr>
              <w:spacing w:line="259" w:lineRule="auto"/>
              <w:contextualSpacing/>
              <w:jc w:val="both"/>
              <w:rPr>
                <w:rFonts w:ascii="Times New Roman" w:eastAsia="Times New Roman" w:hAnsi="Times New Roman" w:cs="Times New Roman"/>
                <w:bCs/>
                <w:lang w:val="pt-BR"/>
              </w:rPr>
            </w:pPr>
            <w:r w:rsidRPr="00783DD7">
              <w:rPr>
                <w:rFonts w:ascii="Times New Roman" w:eastAsia="Times New Roman" w:hAnsi="Times New Roman" w:cs="Times New Roman"/>
                <w:bCs/>
                <w:lang w:val="pt-BR"/>
              </w:rPr>
              <w:t>Kėdės turi būti sertifikuotos pagal visus toliau nurodytus arba lygiaverčius standartus:</w:t>
            </w:r>
          </w:p>
          <w:p w14:paraId="0FC636FF" w14:textId="77777777" w:rsidR="00200C94" w:rsidRPr="00783DD7" w:rsidRDefault="00200C94" w:rsidP="00200C94">
            <w:pPr>
              <w:ind w:left="360"/>
              <w:contextualSpacing/>
              <w:jc w:val="both"/>
              <w:rPr>
                <w:rFonts w:ascii="Times New Roman" w:eastAsia="Times New Roman" w:hAnsi="Times New Roman" w:cs="Times New Roman"/>
                <w:bCs/>
                <w:lang w:val="pt-BR"/>
              </w:rPr>
            </w:pPr>
            <w:r w:rsidRPr="00783DD7">
              <w:rPr>
                <w:rFonts w:ascii="Times New Roman" w:eastAsia="Times New Roman" w:hAnsi="Times New Roman" w:cs="Times New Roman"/>
                <w:bCs/>
                <w:lang w:val="pt-BR"/>
              </w:rPr>
              <w:t>– GS – saugos sertifikatas, patvirtinantis produkto atitiktį saugos reikalavimams;</w:t>
            </w:r>
          </w:p>
          <w:p w14:paraId="42389932" w14:textId="77777777" w:rsidR="00200C94" w:rsidRPr="00783DD7" w:rsidRDefault="00200C94" w:rsidP="00200C94">
            <w:pPr>
              <w:ind w:left="360"/>
              <w:contextualSpacing/>
              <w:jc w:val="both"/>
              <w:rPr>
                <w:rFonts w:ascii="Times New Roman" w:eastAsia="Times New Roman" w:hAnsi="Times New Roman" w:cs="Times New Roman"/>
                <w:bCs/>
                <w:lang w:val="pt-BR"/>
              </w:rPr>
            </w:pPr>
            <w:r w:rsidRPr="00783DD7">
              <w:rPr>
                <w:rFonts w:ascii="Times New Roman" w:eastAsia="Times New Roman" w:hAnsi="Times New Roman" w:cs="Times New Roman"/>
                <w:bCs/>
                <w:lang w:val="pt-BR"/>
              </w:rPr>
              <w:t>– BIFMA – tvarumo standartas, vertinantis gaminio eksploatacines savybes ir patvarumą;</w:t>
            </w:r>
          </w:p>
          <w:p w14:paraId="1059F4B9" w14:textId="77777777" w:rsidR="00200C94" w:rsidRPr="00783DD7" w:rsidRDefault="00200C94" w:rsidP="00200C94">
            <w:pPr>
              <w:ind w:left="360"/>
              <w:contextualSpacing/>
              <w:jc w:val="both"/>
              <w:rPr>
                <w:rFonts w:ascii="Times New Roman" w:eastAsia="Times New Roman" w:hAnsi="Times New Roman" w:cs="Times New Roman"/>
                <w:bCs/>
                <w:lang w:val="pt-BR"/>
              </w:rPr>
            </w:pPr>
            <w:r w:rsidRPr="00783DD7">
              <w:rPr>
                <w:rFonts w:ascii="Times New Roman" w:eastAsia="Times New Roman" w:hAnsi="Times New Roman" w:cs="Times New Roman"/>
                <w:bCs/>
                <w:lang w:val="pt-BR"/>
              </w:rPr>
              <w:t>– FEMB – Europos tvarumo sertifikatas, taikomas metalinėms ir plastikinėms baldų dalims.</w:t>
            </w:r>
          </w:p>
          <w:p w14:paraId="4985BDA5" w14:textId="2F1E1376" w:rsidR="00F950A3" w:rsidRPr="00783DD7" w:rsidRDefault="006C4329" w:rsidP="00200C94">
            <w:pPr>
              <w:pStyle w:val="Sraopastraipa"/>
              <w:numPr>
                <w:ilvl w:val="0"/>
                <w:numId w:val="16"/>
              </w:numPr>
              <w:suppressAutoHyphens/>
              <w:autoSpaceDN w:val="0"/>
              <w:contextualSpacing w:val="0"/>
              <w:jc w:val="both"/>
              <w:textAlignment w:val="baseline"/>
              <w:rPr>
                <w:rFonts w:ascii="Times New Roman" w:hAnsi="Times New Roman" w:cs="Times New Roman"/>
                <w:bCs/>
                <w:lang w:val="lt-LT"/>
              </w:rPr>
            </w:pPr>
            <w:r w:rsidRPr="00783DD7">
              <w:rPr>
                <w:rFonts w:ascii="Times New Roman" w:eastAsia="Times New Roman" w:hAnsi="Times New Roman" w:cs="Times New Roman"/>
                <w:bCs/>
                <w:lang w:val="pt-BR"/>
              </w:rPr>
              <w:t xml:space="preserve">Baldo dizainas turi </w:t>
            </w:r>
            <w:r w:rsidR="003400B1" w:rsidRPr="00783DD7">
              <w:rPr>
                <w:rFonts w:ascii="Times New Roman" w:eastAsia="Times New Roman" w:hAnsi="Times New Roman" w:cs="Times New Roman"/>
                <w:bCs/>
                <w:lang w:val="pt-BR"/>
              </w:rPr>
              <w:t>atitikti</w:t>
            </w:r>
            <w:r w:rsidRPr="00783DD7">
              <w:rPr>
                <w:rFonts w:ascii="Times New Roman" w:eastAsia="Times New Roman" w:hAnsi="Times New Roman" w:cs="Times New Roman"/>
                <w:bCs/>
                <w:lang w:val="pt-BR"/>
              </w:rPr>
              <w:t xml:space="preserve"> techninio projekto architektūrinėje dalyje (pridėta prie pirkimo dokumentų) numatyt</w:t>
            </w:r>
            <w:r w:rsidR="003400B1" w:rsidRPr="00783DD7">
              <w:rPr>
                <w:rFonts w:ascii="Times New Roman" w:eastAsia="Times New Roman" w:hAnsi="Times New Roman" w:cs="Times New Roman"/>
                <w:bCs/>
                <w:lang w:val="pt-BR"/>
              </w:rPr>
              <w:t>ą</w:t>
            </w:r>
            <w:r w:rsidRPr="00783DD7">
              <w:rPr>
                <w:rFonts w:ascii="Times New Roman" w:eastAsia="Times New Roman" w:hAnsi="Times New Roman" w:cs="Times New Roman"/>
                <w:bCs/>
                <w:lang w:val="pt-BR"/>
              </w:rPr>
              <w:t xml:space="preserve"> interjero stilistik</w:t>
            </w:r>
            <w:r w:rsidR="003400B1" w:rsidRPr="00783DD7">
              <w:rPr>
                <w:rFonts w:ascii="Times New Roman" w:eastAsia="Times New Roman" w:hAnsi="Times New Roman" w:cs="Times New Roman"/>
                <w:bCs/>
                <w:lang w:val="pt-BR"/>
              </w:rPr>
              <w:t>ą</w:t>
            </w:r>
            <w:r w:rsidRPr="00783DD7">
              <w:rPr>
                <w:rFonts w:ascii="Times New Roman" w:eastAsia="Times New Roman" w:hAnsi="Times New Roman" w:cs="Times New Roman"/>
                <w:bCs/>
                <w:lang w:val="pt-BR"/>
              </w:rPr>
              <w:t>, siekiant patalpų vizualinio vientisumo, vertinama pagal pateiktas vizualizacijas ir RAL spalvų parinktis. Jeigu techninio projekto architektūrinėje dalyje nurodyti konkretūs dizaino ar estetikos sprendiniai, jie taikomi lygiaverčiu principu, leidžiant siūlyti lygiaverčius sprendinius, užtikrinančius tokio paties lygmens estetinę ir vizualinę kokybę.</w:t>
            </w:r>
          </w:p>
        </w:tc>
      </w:tr>
    </w:tbl>
    <w:p w14:paraId="5BEED549" w14:textId="77777777" w:rsidR="003F29EF" w:rsidRPr="000C73E6" w:rsidRDefault="003F29EF" w:rsidP="0040078A">
      <w:pPr>
        <w:pStyle w:val="Betarp"/>
        <w:spacing w:line="259" w:lineRule="auto"/>
        <w:ind w:left="360"/>
        <w:rPr>
          <w:sz w:val="22"/>
          <w:szCs w:val="22"/>
        </w:rPr>
      </w:pPr>
    </w:p>
    <w:p w14:paraId="6A36726F" w14:textId="77777777" w:rsidR="004A1468" w:rsidRPr="000C73E6" w:rsidRDefault="004A1468" w:rsidP="0068584F">
      <w:pPr>
        <w:pStyle w:val="Betarp"/>
        <w:spacing w:line="276" w:lineRule="auto"/>
        <w:ind w:left="360"/>
        <w:rPr>
          <w:b/>
          <w:bCs/>
          <w:sz w:val="22"/>
          <w:szCs w:val="22"/>
        </w:rPr>
      </w:pPr>
    </w:p>
    <w:sectPr w:rsidR="004A1468" w:rsidRPr="000C73E6" w:rsidSect="001D6565">
      <w:pgSz w:w="12240" w:h="15840"/>
      <w:pgMar w:top="1440" w:right="758"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243"/>
    <w:multiLevelType w:val="multilevel"/>
    <w:tmpl w:val="39C6F38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12702"/>
    <w:multiLevelType w:val="multilevel"/>
    <w:tmpl w:val="29B6B04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78317A"/>
    <w:multiLevelType w:val="hybridMultilevel"/>
    <w:tmpl w:val="A7F60F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A76E02"/>
    <w:multiLevelType w:val="hybridMultilevel"/>
    <w:tmpl w:val="5DDC27F0"/>
    <w:lvl w:ilvl="0" w:tplc="0427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B353109"/>
    <w:multiLevelType w:val="hybridMultilevel"/>
    <w:tmpl w:val="E5767F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F94C17"/>
    <w:multiLevelType w:val="multilevel"/>
    <w:tmpl w:val="8864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B60B0"/>
    <w:multiLevelType w:val="multilevel"/>
    <w:tmpl w:val="22A479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7706B9"/>
    <w:multiLevelType w:val="hybridMultilevel"/>
    <w:tmpl w:val="0928874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9405D02"/>
    <w:multiLevelType w:val="multilevel"/>
    <w:tmpl w:val="D358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C211E"/>
    <w:multiLevelType w:val="hybridMultilevel"/>
    <w:tmpl w:val="3356DF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EC6B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707AA3"/>
    <w:multiLevelType w:val="multilevel"/>
    <w:tmpl w:val="FFC827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1968BE"/>
    <w:multiLevelType w:val="multilevel"/>
    <w:tmpl w:val="3B9072EC"/>
    <w:lvl w:ilvl="0">
      <w:start w:val="3"/>
      <w:numFmt w:val="decimal"/>
      <w:lvlText w:val="%1."/>
      <w:lvlJc w:val="left"/>
      <w:pPr>
        <w:ind w:left="360" w:hanging="360"/>
      </w:pPr>
      <w:rPr>
        <w:rFonts w:hint="default"/>
        <w:sz w:val="21"/>
      </w:rPr>
    </w:lvl>
    <w:lvl w:ilvl="1">
      <w:start w:val="3"/>
      <w:numFmt w:val="decimal"/>
      <w:lvlText w:val="%1.%2."/>
      <w:lvlJc w:val="left"/>
      <w:pPr>
        <w:ind w:left="720" w:hanging="360"/>
      </w:pPr>
      <w:rPr>
        <w:rFonts w:hint="default"/>
        <w:sz w:val="21"/>
      </w:rPr>
    </w:lvl>
    <w:lvl w:ilvl="2">
      <w:start w:val="1"/>
      <w:numFmt w:val="decimal"/>
      <w:lvlText w:val="%1.%2.%3."/>
      <w:lvlJc w:val="left"/>
      <w:pPr>
        <w:ind w:left="1440" w:hanging="720"/>
      </w:pPr>
      <w:rPr>
        <w:rFonts w:hint="default"/>
        <w:sz w:val="21"/>
      </w:rPr>
    </w:lvl>
    <w:lvl w:ilvl="3">
      <w:start w:val="1"/>
      <w:numFmt w:val="decimal"/>
      <w:lvlText w:val="%1.%2.%3.%4."/>
      <w:lvlJc w:val="left"/>
      <w:pPr>
        <w:ind w:left="1800" w:hanging="720"/>
      </w:pPr>
      <w:rPr>
        <w:rFonts w:hint="default"/>
        <w:sz w:val="21"/>
      </w:rPr>
    </w:lvl>
    <w:lvl w:ilvl="4">
      <w:start w:val="1"/>
      <w:numFmt w:val="decimal"/>
      <w:lvlText w:val="%1.%2.%3.%4.%5."/>
      <w:lvlJc w:val="left"/>
      <w:pPr>
        <w:ind w:left="2520" w:hanging="1080"/>
      </w:pPr>
      <w:rPr>
        <w:rFonts w:hint="default"/>
        <w:sz w:val="21"/>
      </w:rPr>
    </w:lvl>
    <w:lvl w:ilvl="5">
      <w:start w:val="1"/>
      <w:numFmt w:val="decimal"/>
      <w:lvlText w:val="%1.%2.%3.%4.%5.%6."/>
      <w:lvlJc w:val="left"/>
      <w:pPr>
        <w:ind w:left="2880" w:hanging="1080"/>
      </w:pPr>
      <w:rPr>
        <w:rFonts w:hint="default"/>
        <w:sz w:val="21"/>
      </w:rPr>
    </w:lvl>
    <w:lvl w:ilvl="6">
      <w:start w:val="1"/>
      <w:numFmt w:val="decimal"/>
      <w:lvlText w:val="%1.%2.%3.%4.%5.%6.%7."/>
      <w:lvlJc w:val="left"/>
      <w:pPr>
        <w:ind w:left="3600" w:hanging="1440"/>
      </w:pPr>
      <w:rPr>
        <w:rFonts w:hint="default"/>
        <w:sz w:val="21"/>
      </w:rPr>
    </w:lvl>
    <w:lvl w:ilvl="7">
      <w:start w:val="1"/>
      <w:numFmt w:val="decimal"/>
      <w:lvlText w:val="%1.%2.%3.%4.%5.%6.%7.%8."/>
      <w:lvlJc w:val="left"/>
      <w:pPr>
        <w:ind w:left="3960" w:hanging="1440"/>
      </w:pPr>
      <w:rPr>
        <w:rFonts w:hint="default"/>
        <w:sz w:val="21"/>
      </w:rPr>
    </w:lvl>
    <w:lvl w:ilvl="8">
      <w:start w:val="1"/>
      <w:numFmt w:val="decimal"/>
      <w:lvlText w:val="%1.%2.%3.%4.%5.%6.%7.%8.%9."/>
      <w:lvlJc w:val="left"/>
      <w:pPr>
        <w:ind w:left="4680" w:hanging="1800"/>
      </w:pPr>
      <w:rPr>
        <w:rFonts w:hint="default"/>
        <w:sz w:val="21"/>
      </w:rPr>
    </w:lvl>
  </w:abstractNum>
  <w:abstractNum w:abstractNumId="13" w15:restartNumberingAfterBreak="0">
    <w:nsid w:val="361F7A95"/>
    <w:multiLevelType w:val="hybridMultilevel"/>
    <w:tmpl w:val="0AA22B4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8C35CF4"/>
    <w:multiLevelType w:val="hybridMultilevel"/>
    <w:tmpl w:val="92B6BF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5C2DB3"/>
    <w:multiLevelType w:val="hybridMultilevel"/>
    <w:tmpl w:val="E4F08A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851F68"/>
    <w:multiLevelType w:val="hybridMultilevel"/>
    <w:tmpl w:val="718EC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F7C51"/>
    <w:multiLevelType w:val="hybridMultilevel"/>
    <w:tmpl w:val="F55671C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42980D04"/>
    <w:multiLevelType w:val="hybridMultilevel"/>
    <w:tmpl w:val="47FA9A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EB611E"/>
    <w:multiLevelType w:val="multilevel"/>
    <w:tmpl w:val="0044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547ADD"/>
    <w:multiLevelType w:val="multilevel"/>
    <w:tmpl w:val="8040BC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A60EA1"/>
    <w:multiLevelType w:val="multilevel"/>
    <w:tmpl w:val="D96A558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2647DC"/>
    <w:multiLevelType w:val="multilevel"/>
    <w:tmpl w:val="ECD8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BE0B11"/>
    <w:multiLevelType w:val="hybridMultilevel"/>
    <w:tmpl w:val="F2540F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FB26C3"/>
    <w:multiLevelType w:val="multilevel"/>
    <w:tmpl w:val="5A340C9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9F1CF6"/>
    <w:multiLevelType w:val="multilevel"/>
    <w:tmpl w:val="7402D7D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3741D8"/>
    <w:multiLevelType w:val="multilevel"/>
    <w:tmpl w:val="8040BC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ED541A"/>
    <w:multiLevelType w:val="multilevel"/>
    <w:tmpl w:val="87E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AF744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4658A3"/>
    <w:multiLevelType w:val="hybridMultilevel"/>
    <w:tmpl w:val="4CAE2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9183582"/>
    <w:multiLevelType w:val="multilevel"/>
    <w:tmpl w:val="193E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205771"/>
    <w:multiLevelType w:val="multilevel"/>
    <w:tmpl w:val="A424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BA09ED"/>
    <w:multiLevelType w:val="multilevel"/>
    <w:tmpl w:val="FE1639CC"/>
    <w:lvl w:ilvl="0">
      <w:start w:val="2"/>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835BC1"/>
    <w:multiLevelType w:val="hybridMultilevel"/>
    <w:tmpl w:val="6F72C0C6"/>
    <w:lvl w:ilvl="0" w:tplc="23CA422A">
      <w:start w:val="1"/>
      <w:numFmt w:val="decimal"/>
      <w:lvlText w:val="%1)"/>
      <w:lvlJc w:val="left"/>
      <w:pPr>
        <w:ind w:left="720" w:hanging="360"/>
      </w:pPr>
    </w:lvl>
    <w:lvl w:ilvl="1" w:tplc="BAF24DFA">
      <w:start w:val="1"/>
      <w:numFmt w:val="decimal"/>
      <w:lvlText w:val="%2)"/>
      <w:lvlJc w:val="left"/>
      <w:pPr>
        <w:ind w:left="720" w:hanging="360"/>
      </w:pPr>
    </w:lvl>
    <w:lvl w:ilvl="2" w:tplc="D61A48D2">
      <w:start w:val="1"/>
      <w:numFmt w:val="decimal"/>
      <w:lvlText w:val="%3)"/>
      <w:lvlJc w:val="left"/>
      <w:pPr>
        <w:ind w:left="720" w:hanging="360"/>
      </w:pPr>
    </w:lvl>
    <w:lvl w:ilvl="3" w:tplc="24C29608">
      <w:start w:val="1"/>
      <w:numFmt w:val="decimal"/>
      <w:lvlText w:val="%4)"/>
      <w:lvlJc w:val="left"/>
      <w:pPr>
        <w:ind w:left="720" w:hanging="360"/>
      </w:pPr>
    </w:lvl>
    <w:lvl w:ilvl="4" w:tplc="15E8E546">
      <w:start w:val="1"/>
      <w:numFmt w:val="decimal"/>
      <w:lvlText w:val="%5)"/>
      <w:lvlJc w:val="left"/>
      <w:pPr>
        <w:ind w:left="720" w:hanging="360"/>
      </w:pPr>
    </w:lvl>
    <w:lvl w:ilvl="5" w:tplc="4850AA24">
      <w:start w:val="1"/>
      <w:numFmt w:val="decimal"/>
      <w:lvlText w:val="%6)"/>
      <w:lvlJc w:val="left"/>
      <w:pPr>
        <w:ind w:left="720" w:hanging="360"/>
      </w:pPr>
    </w:lvl>
    <w:lvl w:ilvl="6" w:tplc="90E89FBA">
      <w:start w:val="1"/>
      <w:numFmt w:val="decimal"/>
      <w:lvlText w:val="%7)"/>
      <w:lvlJc w:val="left"/>
      <w:pPr>
        <w:ind w:left="720" w:hanging="360"/>
      </w:pPr>
    </w:lvl>
    <w:lvl w:ilvl="7" w:tplc="38CA2DD6">
      <w:start w:val="1"/>
      <w:numFmt w:val="decimal"/>
      <w:lvlText w:val="%8)"/>
      <w:lvlJc w:val="left"/>
      <w:pPr>
        <w:ind w:left="720" w:hanging="360"/>
      </w:pPr>
    </w:lvl>
    <w:lvl w:ilvl="8" w:tplc="DD0E017A">
      <w:start w:val="1"/>
      <w:numFmt w:val="decimal"/>
      <w:lvlText w:val="%9)"/>
      <w:lvlJc w:val="left"/>
      <w:pPr>
        <w:ind w:left="720" w:hanging="360"/>
      </w:pPr>
    </w:lvl>
  </w:abstractNum>
  <w:abstractNum w:abstractNumId="34" w15:restartNumberingAfterBreak="0">
    <w:nsid w:val="60E16BBF"/>
    <w:multiLevelType w:val="hybridMultilevel"/>
    <w:tmpl w:val="B25AD070"/>
    <w:lvl w:ilvl="0" w:tplc="E0FA863A">
      <w:start w:val="1"/>
      <w:numFmt w:val="bullet"/>
      <w:lvlText w:val=""/>
      <w:lvlJc w:val="left"/>
      <w:pPr>
        <w:ind w:left="1020" w:hanging="360"/>
      </w:pPr>
      <w:rPr>
        <w:rFonts w:ascii="Symbol" w:hAnsi="Symbol"/>
      </w:rPr>
    </w:lvl>
    <w:lvl w:ilvl="1" w:tplc="E4D2D254">
      <w:start w:val="1"/>
      <w:numFmt w:val="bullet"/>
      <w:lvlText w:val=""/>
      <w:lvlJc w:val="left"/>
      <w:pPr>
        <w:ind w:left="1020" w:hanging="360"/>
      </w:pPr>
      <w:rPr>
        <w:rFonts w:ascii="Symbol" w:hAnsi="Symbol"/>
      </w:rPr>
    </w:lvl>
    <w:lvl w:ilvl="2" w:tplc="8CEE2B34">
      <w:start w:val="1"/>
      <w:numFmt w:val="bullet"/>
      <w:lvlText w:val=""/>
      <w:lvlJc w:val="left"/>
      <w:pPr>
        <w:ind w:left="1020" w:hanging="360"/>
      </w:pPr>
      <w:rPr>
        <w:rFonts w:ascii="Symbol" w:hAnsi="Symbol"/>
      </w:rPr>
    </w:lvl>
    <w:lvl w:ilvl="3" w:tplc="D1EAAC7A">
      <w:start w:val="1"/>
      <w:numFmt w:val="bullet"/>
      <w:lvlText w:val=""/>
      <w:lvlJc w:val="left"/>
      <w:pPr>
        <w:ind w:left="1020" w:hanging="360"/>
      </w:pPr>
      <w:rPr>
        <w:rFonts w:ascii="Symbol" w:hAnsi="Symbol"/>
      </w:rPr>
    </w:lvl>
    <w:lvl w:ilvl="4" w:tplc="70F26FF6">
      <w:start w:val="1"/>
      <w:numFmt w:val="bullet"/>
      <w:lvlText w:val=""/>
      <w:lvlJc w:val="left"/>
      <w:pPr>
        <w:ind w:left="1020" w:hanging="360"/>
      </w:pPr>
      <w:rPr>
        <w:rFonts w:ascii="Symbol" w:hAnsi="Symbol"/>
      </w:rPr>
    </w:lvl>
    <w:lvl w:ilvl="5" w:tplc="8A18453C">
      <w:start w:val="1"/>
      <w:numFmt w:val="bullet"/>
      <w:lvlText w:val=""/>
      <w:lvlJc w:val="left"/>
      <w:pPr>
        <w:ind w:left="1020" w:hanging="360"/>
      </w:pPr>
      <w:rPr>
        <w:rFonts w:ascii="Symbol" w:hAnsi="Symbol"/>
      </w:rPr>
    </w:lvl>
    <w:lvl w:ilvl="6" w:tplc="65841884">
      <w:start w:val="1"/>
      <w:numFmt w:val="bullet"/>
      <w:lvlText w:val=""/>
      <w:lvlJc w:val="left"/>
      <w:pPr>
        <w:ind w:left="1020" w:hanging="360"/>
      </w:pPr>
      <w:rPr>
        <w:rFonts w:ascii="Symbol" w:hAnsi="Symbol"/>
      </w:rPr>
    </w:lvl>
    <w:lvl w:ilvl="7" w:tplc="C628A258">
      <w:start w:val="1"/>
      <w:numFmt w:val="bullet"/>
      <w:lvlText w:val=""/>
      <w:lvlJc w:val="left"/>
      <w:pPr>
        <w:ind w:left="1020" w:hanging="360"/>
      </w:pPr>
      <w:rPr>
        <w:rFonts w:ascii="Symbol" w:hAnsi="Symbol"/>
      </w:rPr>
    </w:lvl>
    <w:lvl w:ilvl="8" w:tplc="9D2ADAC4">
      <w:start w:val="1"/>
      <w:numFmt w:val="bullet"/>
      <w:lvlText w:val=""/>
      <w:lvlJc w:val="left"/>
      <w:pPr>
        <w:ind w:left="1020" w:hanging="360"/>
      </w:pPr>
      <w:rPr>
        <w:rFonts w:ascii="Symbol" w:hAnsi="Symbol"/>
      </w:rPr>
    </w:lvl>
  </w:abstractNum>
  <w:abstractNum w:abstractNumId="35" w15:restartNumberingAfterBreak="0">
    <w:nsid w:val="62E70762"/>
    <w:multiLevelType w:val="hybridMultilevel"/>
    <w:tmpl w:val="B72814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6ED62EF"/>
    <w:multiLevelType w:val="multilevel"/>
    <w:tmpl w:val="5A340C9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6A4A1F"/>
    <w:multiLevelType w:val="hybridMultilevel"/>
    <w:tmpl w:val="78782ACE"/>
    <w:lvl w:ilvl="0" w:tplc="4FACDAEE">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20D26DF"/>
    <w:multiLevelType w:val="multilevel"/>
    <w:tmpl w:val="8040BC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2131560"/>
    <w:multiLevelType w:val="hybridMultilevel"/>
    <w:tmpl w:val="5DD2CB98"/>
    <w:lvl w:ilvl="0" w:tplc="0427000F">
      <w:start w:val="1"/>
      <w:numFmt w:val="decimal"/>
      <w:lvlText w:val="%1."/>
      <w:lvlJc w:val="left"/>
      <w:pPr>
        <w:ind w:left="1512" w:hanging="360"/>
      </w:p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40" w15:restartNumberingAfterBreak="0">
    <w:nsid w:val="78DE37FE"/>
    <w:multiLevelType w:val="hybridMultilevel"/>
    <w:tmpl w:val="8E5620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D7422CA"/>
    <w:multiLevelType w:val="hybridMultilevel"/>
    <w:tmpl w:val="AADA22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01283610">
    <w:abstractNumId w:val="10"/>
  </w:num>
  <w:num w:numId="2" w16cid:durableId="1973438457">
    <w:abstractNumId w:val="39"/>
  </w:num>
  <w:num w:numId="3" w16cid:durableId="965042440">
    <w:abstractNumId w:val="25"/>
  </w:num>
  <w:num w:numId="4" w16cid:durableId="1072854807">
    <w:abstractNumId w:val="35"/>
  </w:num>
  <w:num w:numId="5" w16cid:durableId="1562787863">
    <w:abstractNumId w:val="16"/>
  </w:num>
  <w:num w:numId="6" w16cid:durableId="1573350407">
    <w:abstractNumId w:val="9"/>
  </w:num>
  <w:num w:numId="7" w16cid:durableId="1015614505">
    <w:abstractNumId w:val="41"/>
  </w:num>
  <w:num w:numId="8" w16cid:durableId="1533836132">
    <w:abstractNumId w:val="40"/>
  </w:num>
  <w:num w:numId="9" w16cid:durableId="1285769275">
    <w:abstractNumId w:val="15"/>
  </w:num>
  <w:num w:numId="10" w16cid:durableId="1288507159">
    <w:abstractNumId w:val="4"/>
  </w:num>
  <w:num w:numId="11" w16cid:durableId="1847013873">
    <w:abstractNumId w:val="14"/>
  </w:num>
  <w:num w:numId="12" w16cid:durableId="1260915190">
    <w:abstractNumId w:val="32"/>
  </w:num>
  <w:num w:numId="13" w16cid:durableId="554125768">
    <w:abstractNumId w:val="3"/>
  </w:num>
  <w:num w:numId="14" w16cid:durableId="479732269">
    <w:abstractNumId w:val="28"/>
  </w:num>
  <w:num w:numId="15" w16cid:durableId="529073338">
    <w:abstractNumId w:val="2"/>
  </w:num>
  <w:num w:numId="16" w16cid:durableId="1830439776">
    <w:abstractNumId w:val="21"/>
  </w:num>
  <w:num w:numId="17" w16cid:durableId="1151555410">
    <w:abstractNumId w:val="8"/>
  </w:num>
  <w:num w:numId="18" w16cid:durableId="984310898">
    <w:abstractNumId w:val="20"/>
  </w:num>
  <w:num w:numId="19" w16cid:durableId="169491975">
    <w:abstractNumId w:val="26"/>
  </w:num>
  <w:num w:numId="20" w16cid:durableId="186646620">
    <w:abstractNumId w:val="38"/>
  </w:num>
  <w:num w:numId="21" w16cid:durableId="949168932">
    <w:abstractNumId w:val="19"/>
  </w:num>
  <w:num w:numId="22" w16cid:durableId="2140343972">
    <w:abstractNumId w:val="27"/>
  </w:num>
  <w:num w:numId="23" w16cid:durableId="1380393411">
    <w:abstractNumId w:val="31"/>
  </w:num>
  <w:num w:numId="24" w16cid:durableId="1793935656">
    <w:abstractNumId w:val="30"/>
  </w:num>
  <w:num w:numId="25" w16cid:durableId="155923660">
    <w:abstractNumId w:val="13"/>
  </w:num>
  <w:num w:numId="26" w16cid:durableId="1063410127">
    <w:abstractNumId w:val="22"/>
  </w:num>
  <w:num w:numId="27" w16cid:durableId="1145856812">
    <w:abstractNumId w:val="6"/>
  </w:num>
  <w:num w:numId="28" w16cid:durableId="1960257334">
    <w:abstractNumId w:val="11"/>
  </w:num>
  <w:num w:numId="29" w16cid:durableId="239485381">
    <w:abstractNumId w:val="5"/>
  </w:num>
  <w:num w:numId="30" w16cid:durableId="614214235">
    <w:abstractNumId w:val="1"/>
  </w:num>
  <w:num w:numId="31" w16cid:durableId="1190871358">
    <w:abstractNumId w:val="36"/>
  </w:num>
  <w:num w:numId="32" w16cid:durableId="1817141966">
    <w:abstractNumId w:val="24"/>
  </w:num>
  <w:num w:numId="33" w16cid:durableId="771433027">
    <w:abstractNumId w:val="12"/>
  </w:num>
  <w:num w:numId="34" w16cid:durableId="389229771">
    <w:abstractNumId w:val="34"/>
  </w:num>
  <w:num w:numId="35" w16cid:durableId="1944070834">
    <w:abstractNumId w:val="0"/>
  </w:num>
  <w:num w:numId="36" w16cid:durableId="1937441537">
    <w:abstractNumId w:val="18"/>
  </w:num>
  <w:num w:numId="37" w16cid:durableId="1180123545">
    <w:abstractNumId w:val="29"/>
  </w:num>
  <w:num w:numId="38" w16cid:durableId="1688287970">
    <w:abstractNumId w:val="17"/>
  </w:num>
  <w:num w:numId="39" w16cid:durableId="2090617163">
    <w:abstractNumId w:val="7"/>
  </w:num>
  <w:num w:numId="40" w16cid:durableId="255215340">
    <w:abstractNumId w:val="33"/>
  </w:num>
  <w:num w:numId="41" w16cid:durableId="1653174542">
    <w:abstractNumId w:val="37"/>
  </w:num>
  <w:num w:numId="42" w16cid:durableId="9295862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D7"/>
    <w:rsid w:val="0000463C"/>
    <w:rsid w:val="000075C9"/>
    <w:rsid w:val="000116B5"/>
    <w:rsid w:val="00044AC1"/>
    <w:rsid w:val="0006412C"/>
    <w:rsid w:val="00071B14"/>
    <w:rsid w:val="000729A4"/>
    <w:rsid w:val="000740A4"/>
    <w:rsid w:val="00075FAE"/>
    <w:rsid w:val="000A49CE"/>
    <w:rsid w:val="000A700E"/>
    <w:rsid w:val="000B0C03"/>
    <w:rsid w:val="000B5442"/>
    <w:rsid w:val="000C43ED"/>
    <w:rsid w:val="000C73E6"/>
    <w:rsid w:val="000D086B"/>
    <w:rsid w:val="000D087C"/>
    <w:rsid w:val="000D1835"/>
    <w:rsid w:val="000D64BE"/>
    <w:rsid w:val="000D7152"/>
    <w:rsid w:val="000E6DF3"/>
    <w:rsid w:val="000E72F5"/>
    <w:rsid w:val="000F1ADE"/>
    <w:rsid w:val="00101E6B"/>
    <w:rsid w:val="00102BAE"/>
    <w:rsid w:val="00110EF5"/>
    <w:rsid w:val="00117792"/>
    <w:rsid w:val="001254A7"/>
    <w:rsid w:val="00140824"/>
    <w:rsid w:val="001449C8"/>
    <w:rsid w:val="00145522"/>
    <w:rsid w:val="00151387"/>
    <w:rsid w:val="00157B86"/>
    <w:rsid w:val="00162153"/>
    <w:rsid w:val="00171F7A"/>
    <w:rsid w:val="00187F37"/>
    <w:rsid w:val="00190B92"/>
    <w:rsid w:val="001912B8"/>
    <w:rsid w:val="001A74EA"/>
    <w:rsid w:val="001C118C"/>
    <w:rsid w:val="001C7B52"/>
    <w:rsid w:val="001D0F57"/>
    <w:rsid w:val="001D2235"/>
    <w:rsid w:val="001D6565"/>
    <w:rsid w:val="001E61DF"/>
    <w:rsid w:val="001F320C"/>
    <w:rsid w:val="00200C94"/>
    <w:rsid w:val="00200CB0"/>
    <w:rsid w:val="00215FC6"/>
    <w:rsid w:val="002175A6"/>
    <w:rsid w:val="0022533A"/>
    <w:rsid w:val="00226457"/>
    <w:rsid w:val="00232038"/>
    <w:rsid w:val="00234A79"/>
    <w:rsid w:val="00236D80"/>
    <w:rsid w:val="00241AD8"/>
    <w:rsid w:val="002463F7"/>
    <w:rsid w:val="00251D4E"/>
    <w:rsid w:val="00253F48"/>
    <w:rsid w:val="002635FA"/>
    <w:rsid w:val="00276B54"/>
    <w:rsid w:val="00282701"/>
    <w:rsid w:val="00282B14"/>
    <w:rsid w:val="00285066"/>
    <w:rsid w:val="002A1CC5"/>
    <w:rsid w:val="002A2F44"/>
    <w:rsid w:val="002A3229"/>
    <w:rsid w:val="002A541F"/>
    <w:rsid w:val="002B1DE3"/>
    <w:rsid w:val="002B5488"/>
    <w:rsid w:val="002B5E36"/>
    <w:rsid w:val="002D50D3"/>
    <w:rsid w:val="002D7821"/>
    <w:rsid w:val="00301E59"/>
    <w:rsid w:val="003153F0"/>
    <w:rsid w:val="00324C91"/>
    <w:rsid w:val="00330697"/>
    <w:rsid w:val="00337BF9"/>
    <w:rsid w:val="003400B1"/>
    <w:rsid w:val="00345503"/>
    <w:rsid w:val="003564F6"/>
    <w:rsid w:val="00356C4E"/>
    <w:rsid w:val="00361233"/>
    <w:rsid w:val="00370CE5"/>
    <w:rsid w:val="00390F5D"/>
    <w:rsid w:val="003954A6"/>
    <w:rsid w:val="00395738"/>
    <w:rsid w:val="0039778C"/>
    <w:rsid w:val="003B486B"/>
    <w:rsid w:val="003C39DD"/>
    <w:rsid w:val="003D1051"/>
    <w:rsid w:val="003D1268"/>
    <w:rsid w:val="003D5102"/>
    <w:rsid w:val="003E763F"/>
    <w:rsid w:val="003F0F91"/>
    <w:rsid w:val="003F29EF"/>
    <w:rsid w:val="003F6EE5"/>
    <w:rsid w:val="004000E1"/>
    <w:rsid w:val="0040078A"/>
    <w:rsid w:val="00402C44"/>
    <w:rsid w:val="00403C8C"/>
    <w:rsid w:val="0041289F"/>
    <w:rsid w:val="00413F4A"/>
    <w:rsid w:val="00422741"/>
    <w:rsid w:val="00433AD1"/>
    <w:rsid w:val="00437260"/>
    <w:rsid w:val="0045063D"/>
    <w:rsid w:val="00456AAE"/>
    <w:rsid w:val="00457337"/>
    <w:rsid w:val="00471BAD"/>
    <w:rsid w:val="0047365B"/>
    <w:rsid w:val="00484508"/>
    <w:rsid w:val="00490B47"/>
    <w:rsid w:val="004966C3"/>
    <w:rsid w:val="004A1468"/>
    <w:rsid w:val="004B1C99"/>
    <w:rsid w:val="004B2786"/>
    <w:rsid w:val="004C0115"/>
    <w:rsid w:val="004E2E3D"/>
    <w:rsid w:val="004E6893"/>
    <w:rsid w:val="005068CC"/>
    <w:rsid w:val="00507CF1"/>
    <w:rsid w:val="00514544"/>
    <w:rsid w:val="00514CE3"/>
    <w:rsid w:val="00521DFE"/>
    <w:rsid w:val="0053548A"/>
    <w:rsid w:val="00540E71"/>
    <w:rsid w:val="0054371D"/>
    <w:rsid w:val="00545F1B"/>
    <w:rsid w:val="00560850"/>
    <w:rsid w:val="00561C88"/>
    <w:rsid w:val="005676A7"/>
    <w:rsid w:val="00574D75"/>
    <w:rsid w:val="00585DC6"/>
    <w:rsid w:val="005959A8"/>
    <w:rsid w:val="005A26AF"/>
    <w:rsid w:val="005A413C"/>
    <w:rsid w:val="005A5088"/>
    <w:rsid w:val="005A5392"/>
    <w:rsid w:val="005A63A7"/>
    <w:rsid w:val="005A7080"/>
    <w:rsid w:val="005A7578"/>
    <w:rsid w:val="005B0918"/>
    <w:rsid w:val="005B2B5D"/>
    <w:rsid w:val="005C4F7F"/>
    <w:rsid w:val="005D26DC"/>
    <w:rsid w:val="005E065C"/>
    <w:rsid w:val="005F0846"/>
    <w:rsid w:val="00612570"/>
    <w:rsid w:val="006204B2"/>
    <w:rsid w:val="006219FE"/>
    <w:rsid w:val="00621BCE"/>
    <w:rsid w:val="0064435C"/>
    <w:rsid w:val="00657463"/>
    <w:rsid w:val="006657AC"/>
    <w:rsid w:val="006670A2"/>
    <w:rsid w:val="0068584F"/>
    <w:rsid w:val="00696140"/>
    <w:rsid w:val="006A35E5"/>
    <w:rsid w:val="006A66B0"/>
    <w:rsid w:val="006B1166"/>
    <w:rsid w:val="006B55BA"/>
    <w:rsid w:val="006B6DE4"/>
    <w:rsid w:val="006B7188"/>
    <w:rsid w:val="006B7706"/>
    <w:rsid w:val="006B7DB3"/>
    <w:rsid w:val="006C4329"/>
    <w:rsid w:val="006D5C88"/>
    <w:rsid w:val="006F1FFB"/>
    <w:rsid w:val="00702570"/>
    <w:rsid w:val="00706888"/>
    <w:rsid w:val="00712453"/>
    <w:rsid w:val="007165A5"/>
    <w:rsid w:val="0071670B"/>
    <w:rsid w:val="00716A43"/>
    <w:rsid w:val="00727AB3"/>
    <w:rsid w:val="0073451D"/>
    <w:rsid w:val="00736BF7"/>
    <w:rsid w:val="00742FA8"/>
    <w:rsid w:val="0074330D"/>
    <w:rsid w:val="00744F68"/>
    <w:rsid w:val="00753116"/>
    <w:rsid w:val="00756DB5"/>
    <w:rsid w:val="00757196"/>
    <w:rsid w:val="007667C6"/>
    <w:rsid w:val="007732E0"/>
    <w:rsid w:val="00783593"/>
    <w:rsid w:val="00783DD7"/>
    <w:rsid w:val="007864E5"/>
    <w:rsid w:val="007A55C5"/>
    <w:rsid w:val="007B5552"/>
    <w:rsid w:val="007B6FE4"/>
    <w:rsid w:val="007C3AC5"/>
    <w:rsid w:val="007E43E5"/>
    <w:rsid w:val="007F2F71"/>
    <w:rsid w:val="00810586"/>
    <w:rsid w:val="00811157"/>
    <w:rsid w:val="0081248E"/>
    <w:rsid w:val="008450D7"/>
    <w:rsid w:val="00851CBD"/>
    <w:rsid w:val="008549E8"/>
    <w:rsid w:val="008604B0"/>
    <w:rsid w:val="00860ABF"/>
    <w:rsid w:val="008665A2"/>
    <w:rsid w:val="00866715"/>
    <w:rsid w:val="0087693C"/>
    <w:rsid w:val="00877EA3"/>
    <w:rsid w:val="008815CE"/>
    <w:rsid w:val="00881D36"/>
    <w:rsid w:val="00887B21"/>
    <w:rsid w:val="008947D6"/>
    <w:rsid w:val="00897CDE"/>
    <w:rsid w:val="008D5BDF"/>
    <w:rsid w:val="008D5C1F"/>
    <w:rsid w:val="008F31DC"/>
    <w:rsid w:val="008F50F5"/>
    <w:rsid w:val="008F61DE"/>
    <w:rsid w:val="0090259A"/>
    <w:rsid w:val="00917216"/>
    <w:rsid w:val="00924CF3"/>
    <w:rsid w:val="0093602E"/>
    <w:rsid w:val="00941C8B"/>
    <w:rsid w:val="00943426"/>
    <w:rsid w:val="009458FA"/>
    <w:rsid w:val="00947863"/>
    <w:rsid w:val="009538A3"/>
    <w:rsid w:val="00954602"/>
    <w:rsid w:val="00964FE7"/>
    <w:rsid w:val="00967AA0"/>
    <w:rsid w:val="009737C2"/>
    <w:rsid w:val="00985F0B"/>
    <w:rsid w:val="009931F8"/>
    <w:rsid w:val="009A7C5E"/>
    <w:rsid w:val="009B04D7"/>
    <w:rsid w:val="009B084A"/>
    <w:rsid w:val="009B0CDE"/>
    <w:rsid w:val="009B3DBC"/>
    <w:rsid w:val="009C12E3"/>
    <w:rsid w:val="009C2104"/>
    <w:rsid w:val="009D7228"/>
    <w:rsid w:val="009E19FB"/>
    <w:rsid w:val="009E4459"/>
    <w:rsid w:val="009E4745"/>
    <w:rsid w:val="009F2405"/>
    <w:rsid w:val="009F2AF8"/>
    <w:rsid w:val="00A00BE5"/>
    <w:rsid w:val="00A01192"/>
    <w:rsid w:val="00A0297B"/>
    <w:rsid w:val="00A05D70"/>
    <w:rsid w:val="00A161E6"/>
    <w:rsid w:val="00A30B9A"/>
    <w:rsid w:val="00A420B6"/>
    <w:rsid w:val="00A4503C"/>
    <w:rsid w:val="00A50202"/>
    <w:rsid w:val="00A516E9"/>
    <w:rsid w:val="00A547BC"/>
    <w:rsid w:val="00A56B32"/>
    <w:rsid w:val="00A56BC7"/>
    <w:rsid w:val="00A651DD"/>
    <w:rsid w:val="00A771D8"/>
    <w:rsid w:val="00A80127"/>
    <w:rsid w:val="00A82735"/>
    <w:rsid w:val="00A82A57"/>
    <w:rsid w:val="00AA06AA"/>
    <w:rsid w:val="00AB0A68"/>
    <w:rsid w:val="00AB0B9E"/>
    <w:rsid w:val="00AB3028"/>
    <w:rsid w:val="00AB585A"/>
    <w:rsid w:val="00AC2AB9"/>
    <w:rsid w:val="00AC3E0D"/>
    <w:rsid w:val="00AD4AF6"/>
    <w:rsid w:val="00AD6FD6"/>
    <w:rsid w:val="00AE11B3"/>
    <w:rsid w:val="00AF11E4"/>
    <w:rsid w:val="00AF41DA"/>
    <w:rsid w:val="00B06A19"/>
    <w:rsid w:val="00B12DB6"/>
    <w:rsid w:val="00B1577E"/>
    <w:rsid w:val="00B15AE9"/>
    <w:rsid w:val="00B21416"/>
    <w:rsid w:val="00B21A2A"/>
    <w:rsid w:val="00B22751"/>
    <w:rsid w:val="00B22BFF"/>
    <w:rsid w:val="00B304A4"/>
    <w:rsid w:val="00B30FF4"/>
    <w:rsid w:val="00B3549B"/>
    <w:rsid w:val="00B6454E"/>
    <w:rsid w:val="00B70386"/>
    <w:rsid w:val="00B75E17"/>
    <w:rsid w:val="00B823DF"/>
    <w:rsid w:val="00B858F5"/>
    <w:rsid w:val="00B9077D"/>
    <w:rsid w:val="00B9265E"/>
    <w:rsid w:val="00BA792C"/>
    <w:rsid w:val="00BB6DE5"/>
    <w:rsid w:val="00BC35C5"/>
    <w:rsid w:val="00BC5534"/>
    <w:rsid w:val="00BC6168"/>
    <w:rsid w:val="00BE48D2"/>
    <w:rsid w:val="00BE77E1"/>
    <w:rsid w:val="00BF45F6"/>
    <w:rsid w:val="00C0264C"/>
    <w:rsid w:val="00C07945"/>
    <w:rsid w:val="00C202AB"/>
    <w:rsid w:val="00C23ECD"/>
    <w:rsid w:val="00C30F9B"/>
    <w:rsid w:val="00C35C6B"/>
    <w:rsid w:val="00C3604F"/>
    <w:rsid w:val="00C63FFA"/>
    <w:rsid w:val="00C66668"/>
    <w:rsid w:val="00C67A98"/>
    <w:rsid w:val="00C734C1"/>
    <w:rsid w:val="00C77377"/>
    <w:rsid w:val="00C81F9C"/>
    <w:rsid w:val="00C9411F"/>
    <w:rsid w:val="00CB452A"/>
    <w:rsid w:val="00CB7FC9"/>
    <w:rsid w:val="00CD0B35"/>
    <w:rsid w:val="00CE27FB"/>
    <w:rsid w:val="00CE5F8E"/>
    <w:rsid w:val="00CF1338"/>
    <w:rsid w:val="00CF1532"/>
    <w:rsid w:val="00CF2375"/>
    <w:rsid w:val="00CF29E9"/>
    <w:rsid w:val="00CF2A18"/>
    <w:rsid w:val="00CF5028"/>
    <w:rsid w:val="00CF5A37"/>
    <w:rsid w:val="00CF6B4F"/>
    <w:rsid w:val="00CF7B2C"/>
    <w:rsid w:val="00D0020D"/>
    <w:rsid w:val="00D03F67"/>
    <w:rsid w:val="00D053BD"/>
    <w:rsid w:val="00D1013F"/>
    <w:rsid w:val="00D24EA5"/>
    <w:rsid w:val="00D2533A"/>
    <w:rsid w:val="00D30D53"/>
    <w:rsid w:val="00D37F1A"/>
    <w:rsid w:val="00D46AED"/>
    <w:rsid w:val="00D50E25"/>
    <w:rsid w:val="00D74194"/>
    <w:rsid w:val="00D815DC"/>
    <w:rsid w:val="00D96CD5"/>
    <w:rsid w:val="00DA4709"/>
    <w:rsid w:val="00DB7550"/>
    <w:rsid w:val="00DC7B32"/>
    <w:rsid w:val="00DD2502"/>
    <w:rsid w:val="00DE05A1"/>
    <w:rsid w:val="00DE2C53"/>
    <w:rsid w:val="00DE6C6E"/>
    <w:rsid w:val="00DF5B88"/>
    <w:rsid w:val="00DF6BC2"/>
    <w:rsid w:val="00DF7220"/>
    <w:rsid w:val="00E01A51"/>
    <w:rsid w:val="00E1317B"/>
    <w:rsid w:val="00E13282"/>
    <w:rsid w:val="00E16055"/>
    <w:rsid w:val="00E36027"/>
    <w:rsid w:val="00E405B4"/>
    <w:rsid w:val="00E4538C"/>
    <w:rsid w:val="00E474F1"/>
    <w:rsid w:val="00E53DF0"/>
    <w:rsid w:val="00E61FBE"/>
    <w:rsid w:val="00E6284D"/>
    <w:rsid w:val="00E6735B"/>
    <w:rsid w:val="00E700C2"/>
    <w:rsid w:val="00E81219"/>
    <w:rsid w:val="00E83386"/>
    <w:rsid w:val="00E84135"/>
    <w:rsid w:val="00E91587"/>
    <w:rsid w:val="00EA7589"/>
    <w:rsid w:val="00EB0FE6"/>
    <w:rsid w:val="00EB131B"/>
    <w:rsid w:val="00EB1BB4"/>
    <w:rsid w:val="00EC457B"/>
    <w:rsid w:val="00EC5590"/>
    <w:rsid w:val="00EC57F1"/>
    <w:rsid w:val="00EC614D"/>
    <w:rsid w:val="00EC6E63"/>
    <w:rsid w:val="00ED0939"/>
    <w:rsid w:val="00ED7750"/>
    <w:rsid w:val="00EE1217"/>
    <w:rsid w:val="00EF781A"/>
    <w:rsid w:val="00F0124C"/>
    <w:rsid w:val="00F04725"/>
    <w:rsid w:val="00F158B3"/>
    <w:rsid w:val="00F23814"/>
    <w:rsid w:val="00F25663"/>
    <w:rsid w:val="00F31CA1"/>
    <w:rsid w:val="00F507E7"/>
    <w:rsid w:val="00F56376"/>
    <w:rsid w:val="00F5653F"/>
    <w:rsid w:val="00F77072"/>
    <w:rsid w:val="00F8606F"/>
    <w:rsid w:val="00F950A3"/>
    <w:rsid w:val="00FA03BE"/>
    <w:rsid w:val="00FB48D3"/>
    <w:rsid w:val="00FC0AD5"/>
    <w:rsid w:val="00FC2759"/>
    <w:rsid w:val="00FD5CB9"/>
    <w:rsid w:val="00FE54DE"/>
    <w:rsid w:val="00FF4B5B"/>
    <w:rsid w:val="00FF63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CE74"/>
  <w15:chartTrackingRefBased/>
  <w15:docId w15:val="{C490DF08-002E-4E6A-A0F1-ADAFC66F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604F"/>
    <w:rPr>
      <w:kern w:val="0"/>
      <w:lang w:val="en-US"/>
      <w14:ligatures w14:val="none"/>
    </w:rPr>
  </w:style>
  <w:style w:type="paragraph" w:styleId="Antrat1">
    <w:name w:val="heading 1"/>
    <w:aliases w:val="ERP (1.)"/>
    <w:basedOn w:val="prastasis"/>
    <w:next w:val="prastasis"/>
    <w:link w:val="Antrat1Diagrama"/>
    <w:qFormat/>
    <w:rsid w:val="009B04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B04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B04D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B04D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B04D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B04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04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B04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04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9B04D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B04D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B04D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B04D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B04D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B04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04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04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04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B0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04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04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04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04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04D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B04D7"/>
    <w:pPr>
      <w:ind w:left="720"/>
      <w:contextualSpacing/>
    </w:pPr>
  </w:style>
  <w:style w:type="character" w:styleId="Rykuspabraukimas">
    <w:name w:val="Intense Emphasis"/>
    <w:basedOn w:val="Numatytasispastraiposriftas"/>
    <w:uiPriority w:val="21"/>
    <w:qFormat/>
    <w:rsid w:val="009B04D7"/>
    <w:rPr>
      <w:i/>
      <w:iCs/>
      <w:color w:val="2F5496" w:themeColor="accent1" w:themeShade="BF"/>
    </w:rPr>
  </w:style>
  <w:style w:type="paragraph" w:styleId="Iskirtacitata">
    <w:name w:val="Intense Quote"/>
    <w:basedOn w:val="prastasis"/>
    <w:next w:val="prastasis"/>
    <w:link w:val="IskirtacitataDiagrama"/>
    <w:uiPriority w:val="30"/>
    <w:qFormat/>
    <w:rsid w:val="009B04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B04D7"/>
    <w:rPr>
      <w:i/>
      <w:iCs/>
      <w:color w:val="2F5496" w:themeColor="accent1" w:themeShade="BF"/>
    </w:rPr>
  </w:style>
  <w:style w:type="character" w:styleId="Rykinuoroda">
    <w:name w:val="Intense Reference"/>
    <w:basedOn w:val="Numatytasispastraiposriftas"/>
    <w:uiPriority w:val="32"/>
    <w:qFormat/>
    <w:rsid w:val="009B04D7"/>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EE1217"/>
    <w:rPr>
      <w:sz w:val="16"/>
      <w:szCs w:val="16"/>
    </w:rPr>
  </w:style>
  <w:style w:type="paragraph" w:styleId="Komentarotekstas">
    <w:name w:val="annotation text"/>
    <w:basedOn w:val="prastasis"/>
    <w:link w:val="KomentarotekstasDiagrama"/>
    <w:uiPriority w:val="99"/>
    <w:unhideWhenUsed/>
    <w:rsid w:val="00EE1217"/>
    <w:pPr>
      <w:spacing w:line="240" w:lineRule="auto"/>
    </w:pPr>
    <w:rPr>
      <w:rFonts w:eastAsiaTheme="minorEastAsia"/>
      <w:sz w:val="20"/>
      <w:szCs w:val="20"/>
      <w:lang w:val="lt-LT" w:eastAsia="lt-LT"/>
    </w:rPr>
  </w:style>
  <w:style w:type="character" w:customStyle="1" w:styleId="KomentarotekstasDiagrama">
    <w:name w:val="Komentaro tekstas Diagrama"/>
    <w:basedOn w:val="Numatytasispastraiposriftas"/>
    <w:link w:val="Komentarotekstas"/>
    <w:uiPriority w:val="99"/>
    <w:rsid w:val="00EE1217"/>
    <w:rPr>
      <w:rFonts w:eastAsiaTheme="minorEastAsia"/>
      <w:kern w:val="0"/>
      <w:sz w:val="20"/>
      <w:szCs w:val="20"/>
      <w:lang w:eastAsia="lt-LT"/>
      <w14:ligatures w14:val="none"/>
    </w:rPr>
  </w:style>
  <w:style w:type="character" w:customStyle="1" w:styleId="BetarpDiagrama">
    <w:name w:val="Be tarpų Diagrama"/>
    <w:basedOn w:val="Numatytasispastraiposriftas"/>
    <w:link w:val="Betarp"/>
    <w:locked/>
    <w:rsid w:val="002B5488"/>
    <w:rPr>
      <w:rFonts w:ascii="Times New Roman" w:eastAsiaTheme="minorEastAsia" w:hAnsi="Times New Roman" w:cs="Times New Roman"/>
      <w:sz w:val="21"/>
      <w:szCs w:val="21"/>
      <w:lang w:eastAsia="lt-LT"/>
    </w:rPr>
  </w:style>
  <w:style w:type="paragraph" w:styleId="Betarp">
    <w:name w:val="No Spacing"/>
    <w:link w:val="BetarpDiagrama"/>
    <w:qFormat/>
    <w:rsid w:val="002B5488"/>
    <w:pPr>
      <w:spacing w:after="0" w:line="240" w:lineRule="auto"/>
    </w:pPr>
    <w:rPr>
      <w:rFonts w:ascii="Times New Roman" w:eastAsiaTheme="minorEastAsia" w:hAnsi="Times New Roman" w:cs="Times New Roman"/>
      <w:sz w:val="21"/>
      <w:szCs w:val="21"/>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F29EF"/>
    <w:rPr>
      <w:kern w:val="0"/>
      <w:lang w:val="en-US"/>
      <w14:ligatures w14:val="none"/>
    </w:rPr>
  </w:style>
  <w:style w:type="paragraph" w:customStyle="1" w:styleId="Body2">
    <w:name w:val="Body 2"/>
    <w:rsid w:val="003F29E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tandard">
    <w:name w:val="Standard"/>
    <w:rsid w:val="003F29EF"/>
    <w:pPr>
      <w:suppressAutoHyphens/>
      <w:autoSpaceDN w:val="0"/>
      <w:spacing w:after="0" w:line="240" w:lineRule="auto"/>
      <w:textAlignment w:val="baseline"/>
    </w:pPr>
    <w:rPr>
      <w:rFonts w:ascii="Liberation Serif" w:eastAsia="NSimSun" w:hAnsi="Liberation Serif" w:cs="Lucida Sans"/>
      <w:kern w:val="3"/>
      <w:sz w:val="24"/>
      <w:szCs w:val="24"/>
      <w:lang w:val="en-GB" w:eastAsia="zh-CN" w:bidi="hi-IN"/>
      <w14:ligatures w14:val="none"/>
    </w:rPr>
  </w:style>
  <w:style w:type="paragraph" w:customStyle="1" w:styleId="pf0">
    <w:name w:val="pf0"/>
    <w:basedOn w:val="prastasis"/>
    <w:rsid w:val="003F29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3F29EF"/>
    <w:rPr>
      <w:rFonts w:ascii="Segoe UI" w:hAnsi="Segoe UI" w:cs="Segoe UI" w:hint="default"/>
      <w:sz w:val="18"/>
      <w:szCs w:val="18"/>
    </w:rPr>
  </w:style>
  <w:style w:type="character" w:customStyle="1" w:styleId="cf11">
    <w:name w:val="cf11"/>
    <w:basedOn w:val="Numatytasispastraiposriftas"/>
    <w:rsid w:val="003F29EF"/>
    <w:rPr>
      <w:rFonts w:ascii="Segoe UI" w:hAnsi="Segoe UI" w:cs="Segoe UI" w:hint="default"/>
      <w:b/>
      <w:bCs/>
      <w:sz w:val="18"/>
      <w:szCs w:val="18"/>
    </w:rPr>
  </w:style>
  <w:style w:type="paragraph" w:styleId="Antrats">
    <w:name w:val="header"/>
    <w:basedOn w:val="prastasis"/>
    <w:link w:val="AntratsDiagrama"/>
    <w:uiPriority w:val="99"/>
    <w:unhideWhenUsed/>
    <w:rsid w:val="003F29EF"/>
    <w:pPr>
      <w:tabs>
        <w:tab w:val="center" w:pos="4819"/>
        <w:tab w:val="right" w:pos="9638"/>
      </w:tabs>
      <w:spacing w:after="0" w:line="240" w:lineRule="auto"/>
    </w:pPr>
    <w:rPr>
      <w:rFonts w:eastAsiaTheme="minorEastAsia"/>
      <w:sz w:val="21"/>
      <w:szCs w:val="21"/>
      <w:lang w:val="lt-LT" w:eastAsia="lt-LT"/>
    </w:rPr>
  </w:style>
  <w:style w:type="character" w:customStyle="1" w:styleId="AntratsDiagrama">
    <w:name w:val="Antraštės Diagrama"/>
    <w:basedOn w:val="Numatytasispastraiposriftas"/>
    <w:link w:val="Antrats"/>
    <w:uiPriority w:val="99"/>
    <w:rsid w:val="003F29E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F29EF"/>
    <w:pPr>
      <w:tabs>
        <w:tab w:val="center" w:pos="4819"/>
        <w:tab w:val="right" w:pos="9638"/>
      </w:tabs>
      <w:spacing w:after="0" w:line="240" w:lineRule="auto"/>
    </w:pPr>
    <w:rPr>
      <w:rFonts w:eastAsiaTheme="minorEastAsia"/>
      <w:sz w:val="21"/>
      <w:szCs w:val="21"/>
      <w:lang w:val="lt-LT" w:eastAsia="lt-LT"/>
    </w:rPr>
  </w:style>
  <w:style w:type="character" w:customStyle="1" w:styleId="PoratDiagrama">
    <w:name w:val="Poraštė Diagrama"/>
    <w:basedOn w:val="Numatytasispastraiposriftas"/>
    <w:link w:val="Porat"/>
    <w:uiPriority w:val="99"/>
    <w:rsid w:val="003F29EF"/>
    <w:rPr>
      <w:rFonts w:eastAsiaTheme="minorEastAsia"/>
      <w:kern w:val="0"/>
      <w:sz w:val="21"/>
      <w:szCs w:val="21"/>
      <w:lang w:eastAsia="lt-LT"/>
      <w14:ligatures w14:val="none"/>
    </w:rPr>
  </w:style>
  <w:style w:type="character" w:styleId="Hipersaitas">
    <w:name w:val="Hyperlink"/>
    <w:basedOn w:val="Numatytasispastraiposriftas"/>
    <w:uiPriority w:val="99"/>
    <w:unhideWhenUsed/>
    <w:rsid w:val="003F29EF"/>
    <w:rPr>
      <w:color w:val="0563C1" w:themeColor="hyperlink"/>
      <w:u w:val="single"/>
    </w:rPr>
  </w:style>
  <w:style w:type="character" w:customStyle="1" w:styleId="UnresolvedMention1">
    <w:name w:val="Unresolved Mention1"/>
    <w:basedOn w:val="Numatytasispastraiposriftas"/>
    <w:uiPriority w:val="99"/>
    <w:semiHidden/>
    <w:unhideWhenUsed/>
    <w:rsid w:val="003F29EF"/>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3F29EF"/>
    <w:rPr>
      <w:b/>
      <w:bCs/>
    </w:rPr>
  </w:style>
  <w:style w:type="character" w:customStyle="1" w:styleId="KomentarotemaDiagrama">
    <w:name w:val="Komentaro tema Diagrama"/>
    <w:basedOn w:val="KomentarotekstasDiagrama"/>
    <w:link w:val="Komentarotema"/>
    <w:uiPriority w:val="99"/>
    <w:semiHidden/>
    <w:rsid w:val="003F29EF"/>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3F29E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F29EF"/>
    <w:rPr>
      <w:b/>
      <w:bCs/>
    </w:rPr>
  </w:style>
  <w:style w:type="table" w:styleId="Lentelstinklelis">
    <w:name w:val="Table Grid"/>
    <w:basedOn w:val="prastojilentel"/>
    <w:uiPriority w:val="39"/>
    <w:rsid w:val="003F29E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F29EF"/>
    <w:pPr>
      <w:spacing w:after="0" w:line="240" w:lineRule="auto"/>
    </w:pPr>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3F2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5926</Words>
  <Characters>3379</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Saulius Kojis</cp:lastModifiedBy>
  <cp:revision>2</cp:revision>
  <dcterms:created xsi:type="dcterms:W3CDTF">2025-10-28T12:39:00Z</dcterms:created>
  <dcterms:modified xsi:type="dcterms:W3CDTF">2026-02-12T12:12:00Z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48d4d82d-21ef-451f-ae79-3dcefaaa8b20</vt:lpwstr>
  </property>
</Properties>
</file>