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386A1" w14:textId="77777777" w:rsidR="00C65EB9" w:rsidRDefault="00C65EB9" w:rsidP="00C65EB9">
      <w:pPr>
        <w:pStyle w:val="Default"/>
        <w:spacing w:line="360" w:lineRule="auto"/>
        <w:jc w:val="center"/>
        <w:rPr>
          <w:b/>
          <w:bCs/>
          <w:sz w:val="22"/>
          <w:szCs w:val="22"/>
        </w:rPr>
      </w:pPr>
      <w:r w:rsidRPr="00833148">
        <w:rPr>
          <w:b/>
          <w:bCs/>
          <w:sz w:val="22"/>
          <w:szCs w:val="22"/>
        </w:rPr>
        <w:t>AKCINĖ BENDROVĖ „VIA LIETUVA“</w:t>
      </w:r>
    </w:p>
    <w:p w14:paraId="57109405" w14:textId="1471DE6F" w:rsidR="00C65EB9" w:rsidRDefault="00C65EB9" w:rsidP="00C65EB9">
      <w:pPr>
        <w:pStyle w:val="Default"/>
        <w:spacing w:line="360" w:lineRule="auto"/>
        <w:jc w:val="right"/>
        <w:rPr>
          <w:sz w:val="22"/>
          <w:szCs w:val="22"/>
        </w:rPr>
      </w:pPr>
      <w:r w:rsidRPr="00F76108">
        <w:rPr>
          <w:sz w:val="22"/>
          <w:szCs w:val="22"/>
        </w:rPr>
        <w:t>2026-0</w:t>
      </w:r>
      <w:r>
        <w:rPr>
          <w:sz w:val="22"/>
          <w:szCs w:val="22"/>
        </w:rPr>
        <w:t>2</w:t>
      </w:r>
      <w:r w:rsidRPr="00F76108">
        <w:rPr>
          <w:sz w:val="22"/>
          <w:szCs w:val="22"/>
        </w:rPr>
        <w:t>-</w:t>
      </w:r>
      <w:r w:rsidR="00807ABB">
        <w:rPr>
          <w:sz w:val="22"/>
          <w:szCs w:val="22"/>
        </w:rPr>
        <w:t>25</w:t>
      </w:r>
    </w:p>
    <w:p w14:paraId="320B733C" w14:textId="1C2F08B6" w:rsidR="00C65EB9" w:rsidRPr="00E979C7" w:rsidRDefault="00C65EB9" w:rsidP="00C65EB9">
      <w:pPr>
        <w:pStyle w:val="Default"/>
        <w:spacing w:line="360" w:lineRule="auto"/>
        <w:jc w:val="right"/>
        <w:rPr>
          <w:sz w:val="22"/>
          <w:szCs w:val="22"/>
        </w:rPr>
      </w:pPr>
      <w:r w:rsidRPr="00F76108">
        <w:rPr>
          <w:sz w:val="22"/>
          <w:szCs w:val="22"/>
        </w:rPr>
        <w:t>Į 2026-0</w:t>
      </w:r>
      <w:r>
        <w:rPr>
          <w:sz w:val="22"/>
          <w:szCs w:val="22"/>
        </w:rPr>
        <w:t>2</w:t>
      </w:r>
      <w:r w:rsidRPr="00F76108">
        <w:rPr>
          <w:sz w:val="22"/>
          <w:szCs w:val="22"/>
        </w:rPr>
        <w:t>-</w:t>
      </w:r>
      <w:r>
        <w:rPr>
          <w:sz w:val="22"/>
          <w:szCs w:val="22"/>
        </w:rPr>
        <w:t>9</w:t>
      </w:r>
    </w:p>
    <w:p w14:paraId="7C50A274" w14:textId="77777777" w:rsidR="00C65EB9" w:rsidRPr="00E979C7" w:rsidRDefault="00C65EB9" w:rsidP="00C65EB9">
      <w:pPr>
        <w:pStyle w:val="Default"/>
        <w:spacing w:line="360" w:lineRule="auto"/>
        <w:jc w:val="right"/>
        <w:rPr>
          <w:sz w:val="22"/>
          <w:szCs w:val="22"/>
        </w:rPr>
      </w:pPr>
    </w:p>
    <w:p w14:paraId="78E38A5A" w14:textId="266DEC3E" w:rsidR="00C65EB9" w:rsidRPr="00833148" w:rsidRDefault="00C65EB9" w:rsidP="00C65EB9">
      <w:pPr>
        <w:pStyle w:val="Default"/>
        <w:rPr>
          <w:rFonts w:eastAsia="Arial Unicode MS"/>
          <w:b/>
          <w:bCs/>
          <w:sz w:val="22"/>
          <w:szCs w:val="22"/>
        </w:rPr>
      </w:pPr>
      <w:r w:rsidRPr="00833148">
        <w:rPr>
          <w:rFonts w:eastAsia="Arial Unicode MS"/>
          <w:b/>
          <w:bCs/>
          <w:sz w:val="22"/>
          <w:szCs w:val="22"/>
        </w:rPr>
        <w:t>DĖL PIRKIMO DOKUMENTŲ PAAIŠKINIMO Nr.</w:t>
      </w:r>
      <w:r w:rsidR="008B06A7">
        <w:rPr>
          <w:rFonts w:eastAsia="Arial Unicode MS"/>
          <w:b/>
          <w:bCs/>
          <w:sz w:val="22"/>
          <w:szCs w:val="22"/>
        </w:rPr>
        <w:t>3</w:t>
      </w:r>
    </w:p>
    <w:p w14:paraId="4C3F86FF" w14:textId="77777777" w:rsidR="00C65EB9" w:rsidRPr="00833148" w:rsidRDefault="00C65EB9" w:rsidP="00C65EB9">
      <w:pPr>
        <w:pStyle w:val="Default"/>
        <w:spacing w:line="360" w:lineRule="auto"/>
        <w:rPr>
          <w:sz w:val="22"/>
          <w:szCs w:val="22"/>
        </w:rPr>
      </w:pPr>
    </w:p>
    <w:p w14:paraId="612B8EDC" w14:textId="77777777" w:rsidR="00875906" w:rsidRPr="00302370" w:rsidRDefault="00875906" w:rsidP="00875906">
      <w:pPr>
        <w:jc w:val="both"/>
        <w:rPr>
          <w:rFonts w:ascii="Arial" w:hAnsi="Arial" w:cs="Arial"/>
          <w:b/>
          <w:bCs/>
          <w:iCs/>
          <w:sz w:val="22"/>
          <w:szCs w:val="22"/>
        </w:rPr>
      </w:pPr>
      <w:r w:rsidRPr="00EF1F02">
        <w:rPr>
          <w:rFonts w:ascii="Arial" w:hAnsi="Arial" w:cs="Arial"/>
          <w:sz w:val="22"/>
          <w:szCs w:val="22"/>
        </w:rPr>
        <w:t>Akcinė bendrovė “Via Lietuva” (toliau – Perkančioji organizacija) gavo tiekėjo klausimą dėl vykdomo pirkimo Nr.</w:t>
      </w:r>
      <w:r w:rsidRPr="00EF1F02">
        <w:rPr>
          <w:rFonts w:ascii="Arial" w:hAnsi="Arial" w:cs="Arial"/>
          <w:color w:val="00241A"/>
          <w:sz w:val="22"/>
          <w:szCs w:val="22"/>
          <w:shd w:val="clear" w:color="auto" w:fill="FFFFFF"/>
        </w:rPr>
        <w:t xml:space="preserve"> </w:t>
      </w:r>
      <w:r w:rsidRPr="006B60CA">
        <w:rPr>
          <w:rFonts w:ascii="Arial" w:hAnsi="Arial" w:cs="Arial"/>
          <w:color w:val="00241A"/>
          <w:sz w:val="22"/>
          <w:szCs w:val="22"/>
          <w:shd w:val="clear" w:color="auto" w:fill="FFFFFF"/>
        </w:rPr>
        <w:t>6036850</w:t>
      </w:r>
      <w:r w:rsidRPr="006B60CA">
        <w:rPr>
          <w:rFonts w:ascii="Arial" w:hAnsi="Arial" w:cs="Arial"/>
          <w:b/>
          <w:bCs/>
          <w:i/>
          <w:iCs/>
          <w:color w:val="00241A"/>
          <w:sz w:val="22"/>
          <w:szCs w:val="22"/>
          <w:shd w:val="clear" w:color="auto" w:fill="FFFFFF"/>
        </w:rPr>
        <w:t xml:space="preserve"> </w:t>
      </w:r>
      <w:r w:rsidRPr="00302370">
        <w:rPr>
          <w:rFonts w:ascii="Arial" w:hAnsi="Arial" w:cs="Arial"/>
          <w:b/>
          <w:bCs/>
          <w:i/>
          <w:iCs/>
          <w:sz w:val="22"/>
          <w:szCs w:val="22"/>
        </w:rPr>
        <w:t>„</w:t>
      </w:r>
      <w:r w:rsidRPr="000C77FF">
        <w:rPr>
          <w:rFonts w:ascii="Arial" w:hAnsi="Arial" w:cs="Arial"/>
          <w:b/>
          <w:bCs/>
          <w:i/>
          <w:iCs/>
          <w:sz w:val="22"/>
          <w:szCs w:val="22"/>
        </w:rPr>
        <w:t>Krašto kelio Nr. 110 Švenčionys–Adutiškis* ruožo nuo 1,720 iki 7,160 km rekonstravimo projekto parengimas ir projekto vykdymo priežiūra</w:t>
      </w:r>
      <w:r w:rsidRPr="006B35BB">
        <w:rPr>
          <w:rFonts w:ascii="Arial" w:hAnsi="Arial" w:cs="Arial"/>
          <w:b/>
          <w:bCs/>
          <w:i/>
          <w:iCs/>
          <w:sz w:val="22"/>
          <w:szCs w:val="22"/>
        </w:rPr>
        <w:t>“</w:t>
      </w:r>
      <w:r w:rsidRPr="00EF1F02">
        <w:rPr>
          <w:rFonts w:ascii="Arial" w:hAnsi="Arial" w:cs="Arial"/>
          <w:b/>
          <w:bCs/>
          <w:sz w:val="22"/>
          <w:szCs w:val="22"/>
        </w:rPr>
        <w:t xml:space="preserve"> </w:t>
      </w:r>
      <w:r w:rsidRPr="00EF1F02">
        <w:rPr>
          <w:rFonts w:ascii="Arial" w:hAnsi="Arial" w:cs="Arial"/>
          <w:sz w:val="22"/>
          <w:szCs w:val="22"/>
        </w:rPr>
        <w:t>dokumentų.</w:t>
      </w:r>
    </w:p>
    <w:p w14:paraId="5F14698F" w14:textId="77777777" w:rsidR="00875906" w:rsidRPr="00CF3612" w:rsidRDefault="00875906" w:rsidP="00875906">
      <w:pPr>
        <w:ind w:firstLine="567"/>
        <w:jc w:val="both"/>
        <w:rPr>
          <w:rFonts w:ascii="Arial" w:hAnsi="Arial" w:cs="Arial"/>
          <w:sz w:val="22"/>
          <w:szCs w:val="22"/>
        </w:rPr>
      </w:pPr>
      <w:r w:rsidRPr="00EF1F02">
        <w:rPr>
          <w:rFonts w:ascii="Arial" w:hAnsi="Arial" w:cs="Arial"/>
          <w:sz w:val="22"/>
          <w:szCs w:val="22"/>
        </w:rPr>
        <w:t xml:space="preserve">Perkančioji organizacija </w:t>
      </w:r>
      <w:r w:rsidRPr="00CF3612">
        <w:rPr>
          <w:rFonts w:ascii="Arial" w:hAnsi="Arial" w:cs="Arial"/>
          <w:sz w:val="22"/>
          <w:szCs w:val="22"/>
        </w:rPr>
        <w:t>teikia suinteresuotų tiekėjų klausimus ir atsakymus į juos</w:t>
      </w:r>
      <w:r w:rsidRPr="00CF3612">
        <w:rPr>
          <w:rFonts w:ascii="Arial" w:hAnsi="Arial" w:cs="Arial"/>
          <w:sz w:val="22"/>
          <w:szCs w:val="22"/>
          <w:vertAlign w:val="superscript"/>
        </w:rPr>
        <w:t>*</w:t>
      </w:r>
      <w:r w:rsidRPr="00CF3612">
        <w:rPr>
          <w:rFonts w:ascii="Arial" w:hAnsi="Arial" w:cs="Arial"/>
          <w:sz w:val="22"/>
          <w:szCs w:val="22"/>
        </w:rPr>
        <w:t>:</w:t>
      </w:r>
    </w:p>
    <w:tbl>
      <w:tblPr>
        <w:tblStyle w:val="Lentelstinklelis"/>
        <w:tblW w:w="5098" w:type="pct"/>
        <w:tblLook w:val="04A0" w:firstRow="1" w:lastRow="0" w:firstColumn="1" w:lastColumn="0" w:noHBand="0" w:noVBand="1"/>
      </w:tblPr>
      <w:tblGrid>
        <w:gridCol w:w="547"/>
        <w:gridCol w:w="5946"/>
        <w:gridCol w:w="3324"/>
      </w:tblGrid>
      <w:tr w:rsidR="004E21D0" w:rsidRPr="008B06A7" w14:paraId="09709F9F" w14:textId="77777777" w:rsidTr="00302962">
        <w:trPr>
          <w:trHeight w:val="521"/>
        </w:trPr>
        <w:tc>
          <w:tcPr>
            <w:tcW w:w="279" w:type="pct"/>
            <w:tcBorders>
              <w:top w:val="single" w:sz="4" w:space="0" w:color="auto"/>
              <w:left w:val="single" w:sz="4" w:space="0" w:color="auto"/>
              <w:bottom w:val="single" w:sz="4" w:space="0" w:color="auto"/>
              <w:right w:val="single" w:sz="4" w:space="0" w:color="auto"/>
            </w:tcBorders>
            <w:hideMark/>
          </w:tcPr>
          <w:p w14:paraId="6E967DCF" w14:textId="77777777" w:rsidR="004E21D0" w:rsidRPr="008B06A7" w:rsidRDefault="004E21D0" w:rsidP="00BE21A5">
            <w:pPr>
              <w:spacing w:line="276" w:lineRule="auto"/>
              <w:jc w:val="both"/>
              <w:rPr>
                <w:rFonts w:ascii="Arial" w:hAnsi="Arial" w:cs="Arial"/>
                <w:b/>
                <w:bCs/>
                <w:sz w:val="22"/>
                <w:szCs w:val="22"/>
              </w:rPr>
            </w:pPr>
            <w:r w:rsidRPr="008B06A7">
              <w:rPr>
                <w:rFonts w:ascii="Arial" w:hAnsi="Arial" w:cs="Arial"/>
                <w:b/>
                <w:bCs/>
                <w:sz w:val="22"/>
                <w:szCs w:val="22"/>
              </w:rPr>
              <w:t>Eil. Nr.</w:t>
            </w:r>
          </w:p>
        </w:tc>
        <w:tc>
          <w:tcPr>
            <w:tcW w:w="3028" w:type="pct"/>
            <w:tcBorders>
              <w:top w:val="single" w:sz="4" w:space="0" w:color="auto"/>
              <w:left w:val="single" w:sz="4" w:space="0" w:color="auto"/>
              <w:bottom w:val="single" w:sz="4" w:space="0" w:color="auto"/>
              <w:right w:val="single" w:sz="4" w:space="0" w:color="auto"/>
            </w:tcBorders>
            <w:vAlign w:val="center"/>
            <w:hideMark/>
          </w:tcPr>
          <w:p w14:paraId="1E657333" w14:textId="77777777" w:rsidR="004E21D0" w:rsidRPr="008B06A7" w:rsidRDefault="004E21D0" w:rsidP="00BE21A5">
            <w:pPr>
              <w:spacing w:line="276" w:lineRule="auto"/>
              <w:jc w:val="center"/>
              <w:rPr>
                <w:rFonts w:ascii="Arial" w:hAnsi="Arial" w:cs="Arial"/>
                <w:b/>
                <w:bCs/>
                <w:sz w:val="22"/>
                <w:szCs w:val="22"/>
              </w:rPr>
            </w:pPr>
            <w:r w:rsidRPr="008B06A7">
              <w:rPr>
                <w:rFonts w:ascii="Arial" w:hAnsi="Arial" w:cs="Arial"/>
                <w:b/>
                <w:bCs/>
                <w:sz w:val="22"/>
                <w:szCs w:val="22"/>
              </w:rPr>
              <w:t>Klausimas</w:t>
            </w:r>
          </w:p>
        </w:tc>
        <w:tc>
          <w:tcPr>
            <w:tcW w:w="1693" w:type="pct"/>
            <w:tcBorders>
              <w:top w:val="single" w:sz="4" w:space="0" w:color="auto"/>
              <w:left w:val="single" w:sz="4" w:space="0" w:color="auto"/>
              <w:bottom w:val="single" w:sz="4" w:space="0" w:color="auto"/>
              <w:right w:val="single" w:sz="4" w:space="0" w:color="auto"/>
            </w:tcBorders>
            <w:vAlign w:val="center"/>
            <w:hideMark/>
          </w:tcPr>
          <w:p w14:paraId="35012EE4" w14:textId="77777777" w:rsidR="004E21D0" w:rsidRPr="008B06A7" w:rsidRDefault="004E21D0" w:rsidP="00BE21A5">
            <w:pPr>
              <w:spacing w:line="276" w:lineRule="auto"/>
              <w:jc w:val="center"/>
              <w:rPr>
                <w:rFonts w:ascii="Arial" w:hAnsi="Arial" w:cs="Arial"/>
                <w:b/>
                <w:bCs/>
                <w:sz w:val="22"/>
                <w:szCs w:val="22"/>
              </w:rPr>
            </w:pPr>
            <w:r w:rsidRPr="008B06A7">
              <w:rPr>
                <w:rFonts w:ascii="Arial" w:hAnsi="Arial" w:cs="Arial"/>
                <w:b/>
                <w:bCs/>
                <w:sz w:val="22"/>
                <w:szCs w:val="22"/>
              </w:rPr>
              <w:t>Atsakymas</w:t>
            </w:r>
          </w:p>
        </w:tc>
      </w:tr>
      <w:tr w:rsidR="004E21D0" w:rsidRPr="008B06A7" w14:paraId="0A87CD19" w14:textId="77777777" w:rsidTr="00302962">
        <w:trPr>
          <w:trHeight w:val="1076"/>
        </w:trPr>
        <w:tc>
          <w:tcPr>
            <w:tcW w:w="279" w:type="pct"/>
            <w:tcBorders>
              <w:top w:val="single" w:sz="4" w:space="0" w:color="auto"/>
              <w:left w:val="single" w:sz="4" w:space="0" w:color="auto"/>
              <w:bottom w:val="single" w:sz="4" w:space="0" w:color="auto"/>
              <w:right w:val="single" w:sz="4" w:space="0" w:color="auto"/>
            </w:tcBorders>
            <w:vAlign w:val="center"/>
          </w:tcPr>
          <w:p w14:paraId="40A8527B" w14:textId="77777777" w:rsidR="004E21D0" w:rsidRPr="008B06A7" w:rsidRDefault="004E21D0" w:rsidP="00BE21A5">
            <w:pPr>
              <w:spacing w:line="276" w:lineRule="auto"/>
              <w:jc w:val="both"/>
              <w:rPr>
                <w:rFonts w:ascii="Arial" w:hAnsi="Arial" w:cs="Arial"/>
                <w:sz w:val="22"/>
                <w:szCs w:val="22"/>
              </w:rPr>
            </w:pPr>
            <w:r w:rsidRPr="008B06A7">
              <w:rPr>
                <w:rFonts w:ascii="Arial" w:hAnsi="Arial" w:cs="Arial"/>
                <w:sz w:val="22"/>
                <w:szCs w:val="22"/>
              </w:rPr>
              <w:t>1.</w:t>
            </w:r>
          </w:p>
        </w:tc>
        <w:tc>
          <w:tcPr>
            <w:tcW w:w="3028" w:type="pct"/>
            <w:tcBorders>
              <w:top w:val="single" w:sz="4" w:space="0" w:color="auto"/>
              <w:left w:val="single" w:sz="4" w:space="0" w:color="auto"/>
              <w:bottom w:val="single" w:sz="4" w:space="0" w:color="auto"/>
              <w:right w:val="single" w:sz="4" w:space="0" w:color="auto"/>
            </w:tcBorders>
          </w:tcPr>
          <w:p w14:paraId="72DE76E8" w14:textId="77777777" w:rsidR="008A4004" w:rsidRPr="008B06A7" w:rsidRDefault="008A4004" w:rsidP="008A4004">
            <w:pPr>
              <w:rPr>
                <w:rFonts w:ascii="Arial" w:hAnsi="Arial" w:cs="Arial"/>
                <w:sz w:val="22"/>
                <w:szCs w:val="22"/>
              </w:rPr>
            </w:pPr>
            <w:r w:rsidRPr="008B06A7">
              <w:rPr>
                <w:rFonts w:ascii="Arial" w:hAnsi="Arial" w:cs="Arial"/>
                <w:sz w:val="22"/>
                <w:szCs w:val="22"/>
              </w:rPr>
              <w:t xml:space="preserve">Kelio ruožas pagal ilgį  (5,44 km) į PAV įstatymo 1 priedo 8.3 bei 8.4  p. kaip ir nepatenka (žiūr. žemiau): </w:t>
            </w:r>
          </w:p>
          <w:p w14:paraId="5B849C57" w14:textId="77777777" w:rsidR="008A4004" w:rsidRPr="008B06A7" w:rsidRDefault="008A4004" w:rsidP="008A4004">
            <w:pPr>
              <w:ind w:left="360"/>
              <w:rPr>
                <w:rFonts w:ascii="Arial" w:hAnsi="Arial" w:cs="Arial"/>
                <w:sz w:val="22"/>
                <w:szCs w:val="22"/>
              </w:rPr>
            </w:pPr>
          </w:p>
          <w:p w14:paraId="096E8B67" w14:textId="77777777" w:rsidR="008A4004" w:rsidRPr="008B06A7" w:rsidRDefault="008A4004" w:rsidP="008A4004">
            <w:pPr>
              <w:rPr>
                <w:rFonts w:ascii="Arial" w:hAnsi="Arial" w:cs="Arial"/>
                <w:sz w:val="22"/>
                <w:szCs w:val="22"/>
              </w:rPr>
            </w:pPr>
            <w:r w:rsidRPr="008B06A7">
              <w:rPr>
                <w:rFonts w:ascii="Arial" w:hAnsi="Arial" w:cs="Arial"/>
                <w:sz w:val="22"/>
                <w:szCs w:val="22"/>
              </w:rPr>
              <w:t>8.3. magistralinių ar krašto automobilių kelių tiesimas;</w:t>
            </w:r>
          </w:p>
          <w:p w14:paraId="70E6A111" w14:textId="77777777" w:rsidR="008A4004" w:rsidRPr="008B06A7" w:rsidRDefault="008A4004" w:rsidP="008A4004">
            <w:pPr>
              <w:rPr>
                <w:rFonts w:ascii="Arial" w:hAnsi="Arial" w:cs="Arial"/>
                <w:sz w:val="22"/>
                <w:szCs w:val="22"/>
              </w:rPr>
            </w:pPr>
            <w:r w:rsidRPr="008B06A7">
              <w:rPr>
                <w:rFonts w:ascii="Arial" w:hAnsi="Arial" w:cs="Arial"/>
                <w:sz w:val="22"/>
                <w:szCs w:val="22"/>
              </w:rPr>
              <w:t>8.4. automobilių kelių, turinčių keturias ir daugiau eismo juostų, tiesimas ar automobilių kelių, turinčių mažiau negu keturias eismo juostas, rekonstravimas įrengiant keturias ar daugiau eismo juostų turintį automobilių kelią (kai tiesiamas ar rekonstruojamas 10 km ar ilgesnis nenutrūkstamas automobilių kelio ruožas);</w:t>
            </w:r>
          </w:p>
          <w:p w14:paraId="5ABE0149" w14:textId="77777777" w:rsidR="008A4004" w:rsidRPr="008B06A7" w:rsidRDefault="008A4004" w:rsidP="008A4004">
            <w:pPr>
              <w:pStyle w:val="Sraopastraipa"/>
              <w:rPr>
                <w:rFonts w:ascii="Arial" w:hAnsi="Arial" w:cs="Arial"/>
                <w:sz w:val="22"/>
                <w:szCs w:val="22"/>
              </w:rPr>
            </w:pPr>
          </w:p>
          <w:p w14:paraId="46442DF4" w14:textId="77777777" w:rsidR="008A4004" w:rsidRPr="008B06A7" w:rsidRDefault="008A4004" w:rsidP="008A4004">
            <w:pPr>
              <w:rPr>
                <w:rFonts w:ascii="Arial" w:hAnsi="Arial" w:cs="Arial"/>
                <w:sz w:val="22"/>
                <w:szCs w:val="22"/>
              </w:rPr>
            </w:pPr>
            <w:r w:rsidRPr="008B06A7">
              <w:rPr>
                <w:rFonts w:ascii="Arial" w:hAnsi="Arial" w:cs="Arial"/>
                <w:sz w:val="22"/>
                <w:szCs w:val="22"/>
              </w:rPr>
              <w:t>Pagal PAV įstatymo 2 priedo 10.6 ir 15 p.</w:t>
            </w:r>
          </w:p>
          <w:p w14:paraId="40A3BAB7" w14:textId="77777777" w:rsidR="008A4004" w:rsidRPr="008B06A7" w:rsidRDefault="008A4004" w:rsidP="008A4004">
            <w:pPr>
              <w:pStyle w:val="Sraopastraipa"/>
              <w:rPr>
                <w:rFonts w:ascii="Arial" w:hAnsi="Arial" w:cs="Arial"/>
                <w:sz w:val="22"/>
                <w:szCs w:val="22"/>
              </w:rPr>
            </w:pPr>
          </w:p>
          <w:p w14:paraId="643EC67C" w14:textId="77777777" w:rsidR="008A4004" w:rsidRPr="008B06A7" w:rsidRDefault="008A4004" w:rsidP="008A4004">
            <w:pPr>
              <w:rPr>
                <w:rFonts w:ascii="Arial" w:hAnsi="Arial" w:cs="Arial"/>
                <w:sz w:val="22"/>
                <w:szCs w:val="22"/>
              </w:rPr>
            </w:pPr>
            <w:r w:rsidRPr="008B06A7">
              <w:rPr>
                <w:rFonts w:ascii="Arial" w:hAnsi="Arial" w:cs="Arial"/>
                <w:sz w:val="22"/>
                <w:szCs w:val="22"/>
              </w:rPr>
              <w:t>10.6. Planuojamos ūkinės veiklos poveikio aplinkai vertinimo įstatymo 1 priedo 8.3 ir 8.4 papunkčiuose nenurodytų automobilių kelių (2 km ar ilgesnių) tiesimas, išskyrus vietinės reikšmės vidaus automobilių kelius ir (ar) inžinerinių saugaus eismo priemonių (greitėjimo, lėtėjimo juostų, pėsčiųjų ir dviračių takų, esamų sankryžų pertvarkymo kelio juostos ribose dėl eismo saugos), aplinkos apsaugos priemonių (laukinių gyvūnų apsaugos, triukšmo užtvarų sistemų) įdiegimą ir kelio techninių normatyvinių parametrų atstatymą automobilių kelio juostos ribose, nekeičiant automobilių kelio kategorijos;</w:t>
            </w:r>
          </w:p>
          <w:p w14:paraId="5751723D" w14:textId="77777777" w:rsidR="008A4004" w:rsidRPr="008B06A7" w:rsidRDefault="008A4004" w:rsidP="008A4004">
            <w:pPr>
              <w:pStyle w:val="Sraopastraipa"/>
              <w:rPr>
                <w:rFonts w:ascii="Arial" w:hAnsi="Arial" w:cs="Arial"/>
                <w:sz w:val="22"/>
                <w:szCs w:val="22"/>
              </w:rPr>
            </w:pPr>
          </w:p>
          <w:p w14:paraId="6A987D47" w14:textId="77777777" w:rsidR="008A4004" w:rsidRPr="008B06A7" w:rsidRDefault="008A4004" w:rsidP="008A4004">
            <w:pPr>
              <w:rPr>
                <w:rFonts w:ascii="Arial" w:hAnsi="Arial" w:cs="Arial"/>
                <w:sz w:val="22"/>
                <w:szCs w:val="22"/>
              </w:rPr>
            </w:pPr>
            <w:r w:rsidRPr="008B06A7">
              <w:rPr>
                <w:rFonts w:ascii="Arial" w:hAnsi="Arial" w:cs="Arial"/>
                <w:sz w:val="22"/>
                <w:szCs w:val="22"/>
              </w:rPr>
              <w:t>15. Į šiame priede pateiktą rūšių sąrašą įrašytos planuojamos ūkinės veiklos keitimas ar išplėtimas, įskaitant esamų statinių rekonstravimą, gamybos proceso ir technologinės įrangos modernizavimą ar keitimą, gamybos būdo, produkcijos kiekio (masto) ar rūšies pakeitimą, naujų technologijų įdiegimą, kai planuojamos ūkinės veiklos keitimas ar išplėtimas gali daryti reikšmingą neigiamą poveikį aplinkai, išskyrus Planuojamos ūkinės veiklos poveikio aplinkai vertinimo įstatymo 1 priedo 11 punkte nurodytus atvejus ir atsinaujinančius išteklius naudojančių elektrinių (įrenginių) modernizavimą, jeigu jų įrengtoji galia padidinama mažiau kaip 15 procentų. Šio punkto reikalavimas taikomas veiklai, kuriai:</w:t>
            </w:r>
          </w:p>
          <w:p w14:paraId="770AF4F1" w14:textId="77777777" w:rsidR="008A4004" w:rsidRPr="008B06A7" w:rsidRDefault="008A4004" w:rsidP="008A4004">
            <w:pPr>
              <w:rPr>
                <w:rFonts w:ascii="Arial" w:hAnsi="Arial" w:cs="Arial"/>
                <w:sz w:val="22"/>
                <w:szCs w:val="22"/>
              </w:rPr>
            </w:pPr>
            <w:r w:rsidRPr="008B06A7">
              <w:rPr>
                <w:rFonts w:ascii="Arial" w:hAnsi="Arial" w:cs="Arial"/>
                <w:sz w:val="22"/>
                <w:szCs w:val="22"/>
              </w:rPr>
              <w:lastRenderedPageBreak/>
              <w:t>15.1. nenustatyti ribiniai dydžiai, – jeigu planuojamos ūkinės veiklos keitimas ar išplėtimas gali daryti reikšmingą neigiamą poveikį aplinkai;</w:t>
            </w:r>
          </w:p>
          <w:p w14:paraId="7A63ADD2" w14:textId="77777777" w:rsidR="008A4004" w:rsidRPr="008B06A7" w:rsidRDefault="008A4004" w:rsidP="008A4004">
            <w:pPr>
              <w:rPr>
                <w:rFonts w:ascii="Arial" w:hAnsi="Arial" w:cs="Arial"/>
                <w:sz w:val="22"/>
                <w:szCs w:val="22"/>
              </w:rPr>
            </w:pPr>
            <w:r w:rsidRPr="008B06A7">
              <w:rPr>
                <w:rFonts w:ascii="Arial" w:hAnsi="Arial" w:cs="Arial"/>
                <w:sz w:val="22"/>
                <w:szCs w:val="22"/>
              </w:rPr>
              <w:t>15.2. nustatyti ribiniai dydžiai, – jeigu vykdoma veikla ir veiklos pakeitimas ar išplėtimas yra mažesnis, negu sąraše nustatyti žemutiniai ribiniai dydžiai, o pakeitus ar išplėtus veikla atitiks žemutinius ribinius dydžius;</w:t>
            </w:r>
          </w:p>
          <w:p w14:paraId="5D103D42" w14:textId="77777777" w:rsidR="008A4004" w:rsidRPr="008B06A7" w:rsidRDefault="008A4004" w:rsidP="008A4004">
            <w:pPr>
              <w:rPr>
                <w:rFonts w:ascii="Arial" w:hAnsi="Arial" w:cs="Arial"/>
                <w:sz w:val="22"/>
                <w:szCs w:val="22"/>
              </w:rPr>
            </w:pPr>
            <w:r w:rsidRPr="008B06A7">
              <w:rPr>
                <w:rFonts w:ascii="Arial" w:hAnsi="Arial" w:cs="Arial"/>
                <w:sz w:val="22"/>
                <w:szCs w:val="22"/>
              </w:rPr>
              <w:t>15.3. nustatyti ribiniai dydžiai, – kai toks pakeitimas ar išplėtimas atitinka šiame sąraše nustatytus žemutinius ribinius dydžius ar yra didesnis už juos.</w:t>
            </w:r>
          </w:p>
          <w:p w14:paraId="530B0370" w14:textId="77777777" w:rsidR="008A4004" w:rsidRPr="008B06A7" w:rsidRDefault="008A4004" w:rsidP="008A4004">
            <w:pPr>
              <w:pStyle w:val="Sraopastraipa"/>
              <w:rPr>
                <w:rFonts w:ascii="Arial" w:hAnsi="Arial" w:cs="Arial"/>
                <w:sz w:val="22"/>
                <w:szCs w:val="22"/>
              </w:rPr>
            </w:pPr>
          </w:p>
          <w:p w14:paraId="688FC031" w14:textId="77777777" w:rsidR="008A4004" w:rsidRPr="008B06A7" w:rsidRDefault="008A4004" w:rsidP="008A4004">
            <w:pPr>
              <w:rPr>
                <w:rFonts w:ascii="Arial" w:hAnsi="Arial" w:cs="Arial"/>
                <w:sz w:val="22"/>
                <w:szCs w:val="22"/>
              </w:rPr>
            </w:pPr>
            <w:r w:rsidRPr="008B06A7">
              <w:rPr>
                <w:rFonts w:ascii="Arial" w:hAnsi="Arial" w:cs="Arial"/>
                <w:sz w:val="22"/>
                <w:szCs w:val="22"/>
              </w:rPr>
              <w:t xml:space="preserve">Prašome PO patikslinti ar yra gauta Aplinkos apsaugos agentūros išvada dėl PAV atrankos būtinumo, t.y. ar ji būtina. Taip pat, ar yra esamų arba planuojamų  gretimų rekonstruojamų kelio ruožų, kurių PAV atrankas gali reikėti apjungti ir derintis su kitais rengėjais. </w:t>
            </w:r>
          </w:p>
          <w:p w14:paraId="1471099C" w14:textId="1E935E0B" w:rsidR="004E21D0" w:rsidRPr="008B06A7" w:rsidRDefault="004E21D0" w:rsidP="00BE21A5">
            <w:pPr>
              <w:jc w:val="both"/>
              <w:rPr>
                <w:rFonts w:ascii="Arial" w:hAnsi="Arial" w:cs="Arial"/>
                <w:sz w:val="22"/>
                <w:szCs w:val="22"/>
              </w:rPr>
            </w:pPr>
          </w:p>
        </w:tc>
        <w:tc>
          <w:tcPr>
            <w:tcW w:w="1693" w:type="pct"/>
            <w:tcBorders>
              <w:top w:val="single" w:sz="4" w:space="0" w:color="auto"/>
              <w:left w:val="single" w:sz="4" w:space="0" w:color="auto"/>
              <w:bottom w:val="single" w:sz="4" w:space="0" w:color="auto"/>
              <w:right w:val="single" w:sz="4" w:space="0" w:color="auto"/>
            </w:tcBorders>
          </w:tcPr>
          <w:p w14:paraId="67858185" w14:textId="77777777" w:rsidR="00100142" w:rsidRPr="00100142" w:rsidRDefault="00100142" w:rsidP="00100142">
            <w:pPr>
              <w:jc w:val="both"/>
              <w:rPr>
                <w:rFonts w:ascii="Arial" w:hAnsi="Arial" w:cs="Arial"/>
                <w:sz w:val="22"/>
                <w:szCs w:val="22"/>
                <w:lang w:eastAsia="ar-SA"/>
              </w:rPr>
            </w:pPr>
            <w:r w:rsidRPr="00100142">
              <w:rPr>
                <w:rFonts w:ascii="Arial" w:hAnsi="Arial" w:cs="Arial"/>
                <w:sz w:val="22"/>
                <w:szCs w:val="22"/>
                <w:lang w:eastAsia="ar-SA"/>
              </w:rPr>
              <w:lastRenderedPageBreak/>
              <w:t>Planuojama ūkinė veikla atitinka kompleksinį PAV įstatymo 2 priedo 14 punkto taikymą su 1 priedo 8.3 punktu:</w:t>
            </w:r>
          </w:p>
          <w:p w14:paraId="07C6B246" w14:textId="3FDEFC50" w:rsidR="00100142" w:rsidRPr="00100142" w:rsidRDefault="00100142" w:rsidP="00100142">
            <w:pPr>
              <w:jc w:val="both"/>
              <w:rPr>
                <w:rFonts w:ascii="Arial" w:hAnsi="Arial" w:cs="Arial"/>
                <w:sz w:val="22"/>
                <w:szCs w:val="22"/>
                <w:lang w:eastAsia="ar-SA"/>
              </w:rPr>
            </w:pPr>
            <w:r w:rsidRPr="00100142">
              <w:rPr>
                <w:rFonts w:ascii="Arial" w:hAnsi="Arial" w:cs="Arial"/>
                <w:sz w:val="22"/>
                <w:szCs w:val="22"/>
                <w:lang w:eastAsia="ar-SA"/>
              </w:rPr>
              <w:t>1 priedo 8.3</w:t>
            </w:r>
            <w:r w:rsidR="00527384">
              <w:rPr>
                <w:rFonts w:ascii="Arial" w:hAnsi="Arial" w:cs="Arial"/>
                <w:sz w:val="22"/>
                <w:szCs w:val="22"/>
                <w:lang w:eastAsia="ar-SA"/>
              </w:rPr>
              <w:t xml:space="preserve"> p</w:t>
            </w:r>
            <w:r w:rsidRPr="00100142">
              <w:rPr>
                <w:rFonts w:ascii="Arial" w:hAnsi="Arial" w:cs="Arial"/>
                <w:sz w:val="22"/>
                <w:szCs w:val="22"/>
                <w:lang w:eastAsia="ar-SA"/>
              </w:rPr>
              <w:t>. magistralinių ar krašto automobilių kelių tiesimas;</w:t>
            </w:r>
          </w:p>
          <w:p w14:paraId="6CB1CA92" w14:textId="6A1C6BFD" w:rsidR="00100142" w:rsidRPr="00100142" w:rsidRDefault="00100142" w:rsidP="00100142">
            <w:pPr>
              <w:jc w:val="both"/>
              <w:rPr>
                <w:rFonts w:ascii="Arial" w:hAnsi="Arial" w:cs="Arial"/>
                <w:sz w:val="22"/>
                <w:szCs w:val="22"/>
                <w:lang w:eastAsia="ar-SA"/>
              </w:rPr>
            </w:pPr>
            <w:r w:rsidRPr="00100142">
              <w:rPr>
                <w:rFonts w:ascii="Arial" w:hAnsi="Arial" w:cs="Arial"/>
                <w:sz w:val="22"/>
                <w:szCs w:val="22"/>
                <w:lang w:eastAsia="ar-SA"/>
              </w:rPr>
              <w:t>2 priedo 14</w:t>
            </w:r>
            <w:r w:rsidR="00527384">
              <w:rPr>
                <w:rFonts w:ascii="Arial" w:hAnsi="Arial" w:cs="Arial"/>
                <w:sz w:val="22"/>
                <w:szCs w:val="22"/>
                <w:lang w:eastAsia="ar-SA"/>
              </w:rPr>
              <w:t xml:space="preserve"> p</w:t>
            </w:r>
            <w:r w:rsidRPr="00100142">
              <w:rPr>
                <w:rFonts w:ascii="Arial" w:hAnsi="Arial" w:cs="Arial"/>
                <w:sz w:val="22"/>
                <w:szCs w:val="22"/>
                <w:lang w:eastAsia="ar-SA"/>
              </w:rPr>
              <w:t>. Į Planuojamos ūkinės veiklos poveikio aplinkai vertinimo įstatymo 1 priede pateiktą rūšių sąrašą įrašytos planuojamos ūkinės veiklos keitimas ar išplėtimas, &lt;...&gt; įskaitant esamų statinių rekonstravimą &lt;...&gt;.</w:t>
            </w:r>
          </w:p>
          <w:p w14:paraId="7BB52425" w14:textId="77777777" w:rsidR="00100142" w:rsidRPr="00100142" w:rsidRDefault="00100142" w:rsidP="00100142">
            <w:pPr>
              <w:jc w:val="both"/>
              <w:rPr>
                <w:rFonts w:ascii="Arial" w:hAnsi="Arial" w:cs="Arial"/>
                <w:sz w:val="22"/>
                <w:szCs w:val="22"/>
                <w:lang w:eastAsia="ar-SA"/>
              </w:rPr>
            </w:pPr>
            <w:r w:rsidRPr="00100142">
              <w:rPr>
                <w:rFonts w:ascii="Arial" w:hAnsi="Arial" w:cs="Arial"/>
                <w:sz w:val="22"/>
                <w:szCs w:val="22"/>
                <w:lang w:eastAsia="ar-SA"/>
              </w:rPr>
              <w:t xml:space="preserve"> </w:t>
            </w:r>
          </w:p>
          <w:p w14:paraId="6F3888DD" w14:textId="77777777" w:rsidR="00100142" w:rsidRPr="00100142" w:rsidRDefault="00100142" w:rsidP="00100142">
            <w:pPr>
              <w:jc w:val="both"/>
              <w:rPr>
                <w:rFonts w:ascii="Arial" w:hAnsi="Arial" w:cs="Arial"/>
                <w:sz w:val="22"/>
                <w:szCs w:val="22"/>
                <w:lang w:eastAsia="ar-SA"/>
              </w:rPr>
            </w:pPr>
            <w:r w:rsidRPr="00100142">
              <w:rPr>
                <w:rFonts w:ascii="Arial" w:hAnsi="Arial" w:cs="Arial"/>
                <w:sz w:val="22"/>
                <w:szCs w:val="22"/>
                <w:lang w:eastAsia="ar-SA"/>
              </w:rPr>
              <w:t xml:space="preserve"> </w:t>
            </w:r>
          </w:p>
          <w:p w14:paraId="66E77600" w14:textId="77777777" w:rsidR="00100142" w:rsidRPr="00100142" w:rsidRDefault="00100142" w:rsidP="00100142">
            <w:pPr>
              <w:jc w:val="both"/>
              <w:rPr>
                <w:rFonts w:ascii="Arial" w:hAnsi="Arial" w:cs="Arial"/>
                <w:sz w:val="22"/>
                <w:szCs w:val="22"/>
                <w:lang w:eastAsia="ar-SA"/>
              </w:rPr>
            </w:pPr>
            <w:r w:rsidRPr="00100142">
              <w:rPr>
                <w:rFonts w:ascii="Arial" w:hAnsi="Arial" w:cs="Arial"/>
                <w:sz w:val="22"/>
                <w:szCs w:val="22"/>
                <w:lang w:eastAsia="ar-SA"/>
              </w:rPr>
              <w:t xml:space="preserve"> </w:t>
            </w:r>
          </w:p>
          <w:p w14:paraId="58A6D79C" w14:textId="77777777" w:rsidR="00100142" w:rsidRPr="00100142" w:rsidRDefault="00100142" w:rsidP="00100142">
            <w:pPr>
              <w:jc w:val="both"/>
              <w:rPr>
                <w:rFonts w:ascii="Arial" w:hAnsi="Arial" w:cs="Arial"/>
                <w:sz w:val="22"/>
                <w:szCs w:val="22"/>
                <w:lang w:eastAsia="ar-SA"/>
              </w:rPr>
            </w:pPr>
            <w:r w:rsidRPr="00100142">
              <w:rPr>
                <w:rFonts w:ascii="Arial" w:hAnsi="Arial" w:cs="Arial"/>
                <w:sz w:val="22"/>
                <w:szCs w:val="22"/>
                <w:lang w:eastAsia="ar-SA"/>
              </w:rPr>
              <w:t xml:space="preserve"> </w:t>
            </w:r>
          </w:p>
          <w:p w14:paraId="13AA4DF2" w14:textId="4502CFF8" w:rsidR="00100142" w:rsidRPr="00100142" w:rsidRDefault="00100142" w:rsidP="00100142">
            <w:pPr>
              <w:jc w:val="both"/>
              <w:rPr>
                <w:rFonts w:ascii="Arial" w:hAnsi="Arial" w:cs="Arial"/>
                <w:sz w:val="22"/>
                <w:szCs w:val="22"/>
                <w:lang w:eastAsia="ar-SA"/>
              </w:rPr>
            </w:pPr>
            <w:r w:rsidRPr="00100142">
              <w:rPr>
                <w:rFonts w:ascii="Arial" w:hAnsi="Arial" w:cs="Arial"/>
                <w:sz w:val="22"/>
                <w:szCs w:val="22"/>
                <w:lang w:eastAsia="ar-SA"/>
              </w:rPr>
              <w:t>Prašome vadovautis technin</w:t>
            </w:r>
            <w:r w:rsidR="004662C3">
              <w:rPr>
                <w:rFonts w:ascii="Arial" w:hAnsi="Arial" w:cs="Arial"/>
                <w:sz w:val="22"/>
                <w:szCs w:val="22"/>
                <w:lang w:eastAsia="ar-SA"/>
              </w:rPr>
              <w:t>ės</w:t>
            </w:r>
            <w:r w:rsidRPr="00100142">
              <w:rPr>
                <w:rFonts w:ascii="Arial" w:hAnsi="Arial" w:cs="Arial"/>
                <w:sz w:val="22"/>
                <w:szCs w:val="22"/>
                <w:lang w:eastAsia="ar-SA"/>
              </w:rPr>
              <w:t xml:space="preserve"> specifikacij</w:t>
            </w:r>
            <w:r w:rsidR="00A337AC">
              <w:rPr>
                <w:rFonts w:ascii="Arial" w:hAnsi="Arial" w:cs="Arial"/>
                <w:sz w:val="22"/>
                <w:szCs w:val="22"/>
                <w:lang w:eastAsia="ar-SA"/>
              </w:rPr>
              <w:t xml:space="preserve">os </w:t>
            </w:r>
            <w:r w:rsidRPr="00100142">
              <w:rPr>
                <w:rFonts w:ascii="Arial" w:hAnsi="Arial" w:cs="Arial"/>
                <w:sz w:val="22"/>
                <w:szCs w:val="22"/>
                <w:lang w:eastAsia="ar-SA"/>
              </w:rPr>
              <w:t>3.</w:t>
            </w:r>
            <w:r w:rsidR="001B50E2">
              <w:rPr>
                <w:rFonts w:ascii="Arial" w:hAnsi="Arial" w:cs="Arial"/>
                <w:sz w:val="22"/>
                <w:szCs w:val="22"/>
                <w:lang w:eastAsia="ar-SA"/>
              </w:rPr>
              <w:t>26</w:t>
            </w:r>
            <w:r w:rsidR="00A337AC">
              <w:rPr>
                <w:rFonts w:ascii="Arial" w:hAnsi="Arial" w:cs="Arial"/>
                <w:sz w:val="22"/>
                <w:szCs w:val="22"/>
                <w:lang w:eastAsia="ar-SA"/>
              </w:rPr>
              <w:t xml:space="preserve"> punkt</w:t>
            </w:r>
            <w:r w:rsidR="004662C3">
              <w:rPr>
                <w:rFonts w:ascii="Arial" w:hAnsi="Arial" w:cs="Arial"/>
                <w:sz w:val="22"/>
                <w:szCs w:val="22"/>
                <w:lang w:eastAsia="ar-SA"/>
              </w:rPr>
              <w:t>o reikalavimais.</w:t>
            </w:r>
          </w:p>
          <w:p w14:paraId="4F8A5FBE" w14:textId="17F12793" w:rsidR="004E21D0" w:rsidRPr="008B06A7" w:rsidRDefault="004E21D0" w:rsidP="00100142">
            <w:pPr>
              <w:jc w:val="both"/>
              <w:rPr>
                <w:rFonts w:ascii="Arial" w:hAnsi="Arial" w:cs="Arial"/>
                <w:sz w:val="22"/>
                <w:szCs w:val="22"/>
                <w:lang w:eastAsia="ar-SA"/>
              </w:rPr>
            </w:pPr>
          </w:p>
        </w:tc>
      </w:tr>
      <w:tr w:rsidR="008736E3" w:rsidRPr="008B06A7" w14:paraId="0D71E90C" w14:textId="77777777" w:rsidTr="00302962">
        <w:trPr>
          <w:trHeight w:val="1076"/>
        </w:trPr>
        <w:tc>
          <w:tcPr>
            <w:tcW w:w="279" w:type="pct"/>
            <w:tcBorders>
              <w:top w:val="single" w:sz="4" w:space="0" w:color="auto"/>
              <w:left w:val="single" w:sz="4" w:space="0" w:color="auto"/>
              <w:bottom w:val="single" w:sz="4" w:space="0" w:color="auto"/>
              <w:right w:val="single" w:sz="4" w:space="0" w:color="auto"/>
            </w:tcBorders>
            <w:vAlign w:val="center"/>
          </w:tcPr>
          <w:p w14:paraId="7C265E51" w14:textId="4DB67845" w:rsidR="008736E3" w:rsidRPr="008B06A7" w:rsidRDefault="008736E3" w:rsidP="00BE21A5">
            <w:pPr>
              <w:spacing w:line="276" w:lineRule="auto"/>
              <w:jc w:val="both"/>
              <w:rPr>
                <w:rFonts w:ascii="Arial" w:hAnsi="Arial" w:cs="Arial"/>
                <w:sz w:val="22"/>
                <w:szCs w:val="22"/>
              </w:rPr>
            </w:pPr>
            <w:r w:rsidRPr="008B06A7">
              <w:rPr>
                <w:rFonts w:ascii="Arial" w:hAnsi="Arial" w:cs="Arial"/>
                <w:sz w:val="22"/>
                <w:szCs w:val="22"/>
              </w:rPr>
              <w:t>2.</w:t>
            </w:r>
          </w:p>
        </w:tc>
        <w:tc>
          <w:tcPr>
            <w:tcW w:w="3028" w:type="pct"/>
            <w:tcBorders>
              <w:top w:val="single" w:sz="4" w:space="0" w:color="auto"/>
              <w:left w:val="single" w:sz="4" w:space="0" w:color="auto"/>
              <w:bottom w:val="single" w:sz="4" w:space="0" w:color="auto"/>
              <w:right w:val="single" w:sz="4" w:space="0" w:color="auto"/>
            </w:tcBorders>
          </w:tcPr>
          <w:p w14:paraId="0E9B3730" w14:textId="77777777" w:rsidR="00034B64" w:rsidRPr="008B06A7" w:rsidRDefault="00034B64" w:rsidP="00034B64">
            <w:pPr>
              <w:jc w:val="both"/>
              <w:rPr>
                <w:rFonts w:ascii="Arial" w:hAnsi="Arial" w:cs="Arial"/>
                <w:sz w:val="22"/>
                <w:szCs w:val="22"/>
              </w:rPr>
            </w:pPr>
            <w:r w:rsidRPr="008B06A7">
              <w:rPr>
                <w:rFonts w:ascii="Arial" w:hAnsi="Arial" w:cs="Arial"/>
                <w:sz w:val="22"/>
                <w:szCs w:val="22"/>
              </w:rPr>
              <w:t>Prašome patikslinti, ar Kelių saugumo auditui turi būti teikiamos dviejų sankryžos alternatyvų sprendiniai ar viena Užsakovo pagal poveikio kelių saugumui vertinimo išvadą parinktos alternatyvos byla?  Atkreipiame dėmesį, kad gavus poveikio kelių saugumui vertinimą ir parinkus sankryžos variantą, kelių saugumo audito metu rengti ir pilnai modeliuoti dvi sankryžų alternatyvas yra neracionalu, kadangi alternatyva jau bus parinkta ir vieno sankryžos varianto modeliavimas yra perteklinis.</w:t>
            </w:r>
          </w:p>
          <w:p w14:paraId="66FD3AB7" w14:textId="77777777" w:rsidR="008736E3" w:rsidRPr="008B06A7" w:rsidRDefault="008736E3" w:rsidP="008A4004">
            <w:pPr>
              <w:rPr>
                <w:rFonts w:ascii="Arial" w:hAnsi="Arial" w:cs="Arial"/>
                <w:sz w:val="22"/>
                <w:szCs w:val="22"/>
              </w:rPr>
            </w:pPr>
          </w:p>
        </w:tc>
        <w:tc>
          <w:tcPr>
            <w:tcW w:w="1693" w:type="pct"/>
            <w:tcBorders>
              <w:top w:val="single" w:sz="4" w:space="0" w:color="auto"/>
              <w:left w:val="single" w:sz="4" w:space="0" w:color="auto"/>
              <w:bottom w:val="single" w:sz="4" w:space="0" w:color="auto"/>
              <w:right w:val="single" w:sz="4" w:space="0" w:color="auto"/>
            </w:tcBorders>
          </w:tcPr>
          <w:p w14:paraId="1BC270E6" w14:textId="5EA6BBA9" w:rsidR="008736E3" w:rsidRPr="008B06A7" w:rsidRDefault="00D44495" w:rsidP="009D7CC2">
            <w:pPr>
              <w:rPr>
                <w:rFonts w:ascii="Arial" w:hAnsi="Arial" w:cs="Arial"/>
                <w:sz w:val="22"/>
                <w:szCs w:val="22"/>
                <w:lang w:eastAsia="ar-SA"/>
              </w:rPr>
            </w:pPr>
            <w:r w:rsidRPr="00D44495">
              <w:rPr>
                <w:rFonts w:ascii="Arial" w:hAnsi="Arial" w:cs="Arial"/>
                <w:color w:val="000000"/>
                <w:sz w:val="22"/>
                <w:szCs w:val="22"/>
                <w:lang w:eastAsia="ar-SA"/>
              </w:rPr>
              <w:t>Pažymime, kad poveikio kelių saugum</w:t>
            </w:r>
            <w:r>
              <w:rPr>
                <w:rFonts w:ascii="Arial" w:hAnsi="Arial" w:cs="Arial"/>
                <w:color w:val="000000"/>
                <w:sz w:val="22"/>
                <w:szCs w:val="22"/>
                <w:lang w:eastAsia="ar-SA"/>
              </w:rPr>
              <w:t>ui</w:t>
            </w:r>
            <w:r w:rsidRPr="00D44495">
              <w:rPr>
                <w:rFonts w:ascii="Arial" w:hAnsi="Arial" w:cs="Arial"/>
                <w:color w:val="000000"/>
                <w:sz w:val="22"/>
                <w:szCs w:val="22"/>
                <w:lang w:eastAsia="ar-SA"/>
              </w:rPr>
              <w:t xml:space="preserve"> vertinimo atlikti nereikia. Kelių saugumo auditui turės būti pateikti abiejų sankryžos alternatyvų sprendiniai.</w:t>
            </w:r>
          </w:p>
        </w:tc>
      </w:tr>
      <w:tr w:rsidR="008736E3" w:rsidRPr="008B06A7" w14:paraId="3751EDAF" w14:textId="77777777" w:rsidTr="00302962">
        <w:trPr>
          <w:trHeight w:val="1076"/>
        </w:trPr>
        <w:tc>
          <w:tcPr>
            <w:tcW w:w="279" w:type="pct"/>
            <w:tcBorders>
              <w:top w:val="single" w:sz="4" w:space="0" w:color="auto"/>
              <w:left w:val="single" w:sz="4" w:space="0" w:color="auto"/>
              <w:bottom w:val="single" w:sz="4" w:space="0" w:color="auto"/>
              <w:right w:val="single" w:sz="4" w:space="0" w:color="auto"/>
            </w:tcBorders>
            <w:vAlign w:val="center"/>
          </w:tcPr>
          <w:p w14:paraId="65E5AA3B" w14:textId="294FDEA8" w:rsidR="008736E3" w:rsidRPr="008B06A7" w:rsidRDefault="008736E3" w:rsidP="00BE21A5">
            <w:pPr>
              <w:spacing w:line="276" w:lineRule="auto"/>
              <w:jc w:val="both"/>
              <w:rPr>
                <w:rFonts w:ascii="Arial" w:hAnsi="Arial" w:cs="Arial"/>
                <w:sz w:val="22"/>
                <w:szCs w:val="22"/>
              </w:rPr>
            </w:pPr>
            <w:r w:rsidRPr="008B06A7">
              <w:rPr>
                <w:rFonts w:ascii="Arial" w:hAnsi="Arial" w:cs="Arial"/>
                <w:sz w:val="22"/>
                <w:szCs w:val="22"/>
              </w:rPr>
              <w:t>3.</w:t>
            </w:r>
          </w:p>
        </w:tc>
        <w:tc>
          <w:tcPr>
            <w:tcW w:w="3028" w:type="pct"/>
            <w:tcBorders>
              <w:top w:val="single" w:sz="4" w:space="0" w:color="auto"/>
              <w:left w:val="single" w:sz="4" w:space="0" w:color="auto"/>
              <w:bottom w:val="single" w:sz="4" w:space="0" w:color="auto"/>
              <w:right w:val="single" w:sz="4" w:space="0" w:color="auto"/>
            </w:tcBorders>
          </w:tcPr>
          <w:p w14:paraId="3E7738AE" w14:textId="77777777" w:rsidR="00034B64" w:rsidRPr="008B06A7" w:rsidRDefault="00034B64" w:rsidP="00034B64">
            <w:pPr>
              <w:jc w:val="both"/>
              <w:rPr>
                <w:rFonts w:ascii="Arial" w:hAnsi="Arial" w:cs="Arial"/>
                <w:sz w:val="22"/>
                <w:szCs w:val="22"/>
              </w:rPr>
            </w:pPr>
            <w:r w:rsidRPr="008B06A7">
              <w:rPr>
                <w:rFonts w:ascii="Arial" w:hAnsi="Arial" w:cs="Arial"/>
                <w:sz w:val="22"/>
                <w:szCs w:val="22"/>
              </w:rPr>
              <w:t>Pagal 2022 balandžio 28 d. įsakymą Nr.3-222 „Dėl poveikio kelių saugumui vertinimo reikalavimų ir tvarko aprašo“ p.12 „Tais atvejais, kai kelio valdytojas kartu yra ir statytojas, jis pats turi kreiptis į Agentūrą dėl vertinimo atlikimo ir vykdyti visus Apraše kelio valdytojui ir statytojui nustatytus reikalavimus, išskyrus Aprašo 6, 16 ir  19 punktuose nustatytus reikalavimus“. Ar AB „Via Lietuva“ apmokės poveikio kelių saugumui vertinimo procedūrą?</w:t>
            </w:r>
          </w:p>
          <w:p w14:paraId="36C07AEB" w14:textId="527DC83A" w:rsidR="008736E3" w:rsidRPr="008B06A7" w:rsidRDefault="008736E3" w:rsidP="008A4004">
            <w:pPr>
              <w:rPr>
                <w:rFonts w:ascii="Arial" w:hAnsi="Arial" w:cs="Arial"/>
                <w:sz w:val="22"/>
                <w:szCs w:val="22"/>
              </w:rPr>
            </w:pPr>
          </w:p>
        </w:tc>
        <w:tc>
          <w:tcPr>
            <w:tcW w:w="1693" w:type="pct"/>
            <w:tcBorders>
              <w:top w:val="single" w:sz="4" w:space="0" w:color="auto"/>
              <w:left w:val="single" w:sz="4" w:space="0" w:color="auto"/>
              <w:bottom w:val="single" w:sz="4" w:space="0" w:color="auto"/>
              <w:right w:val="single" w:sz="4" w:space="0" w:color="auto"/>
            </w:tcBorders>
          </w:tcPr>
          <w:p w14:paraId="113848EA" w14:textId="12B0CDA2" w:rsidR="008736E3" w:rsidRPr="008B06A7" w:rsidRDefault="00E50C61" w:rsidP="00BE21A5">
            <w:pPr>
              <w:jc w:val="both"/>
              <w:rPr>
                <w:rFonts w:ascii="Arial" w:hAnsi="Arial" w:cs="Arial"/>
                <w:sz w:val="22"/>
                <w:szCs w:val="22"/>
                <w:lang w:eastAsia="ar-SA"/>
              </w:rPr>
            </w:pPr>
            <w:r w:rsidRPr="00E50C61">
              <w:rPr>
                <w:rFonts w:ascii="Arial" w:hAnsi="Arial" w:cs="Arial"/>
                <w:color w:val="000000"/>
                <w:sz w:val="22"/>
                <w:szCs w:val="22"/>
                <w:lang w:eastAsia="ar-SA"/>
              </w:rPr>
              <w:t>Pažymime, kad poveikio kelių saugum</w:t>
            </w:r>
            <w:r>
              <w:rPr>
                <w:rFonts w:ascii="Arial" w:hAnsi="Arial" w:cs="Arial"/>
                <w:color w:val="000000"/>
                <w:sz w:val="22"/>
                <w:szCs w:val="22"/>
                <w:lang w:eastAsia="ar-SA"/>
              </w:rPr>
              <w:t>ui</w:t>
            </w:r>
            <w:r w:rsidRPr="00E50C61">
              <w:rPr>
                <w:rFonts w:ascii="Arial" w:hAnsi="Arial" w:cs="Arial"/>
                <w:color w:val="000000"/>
                <w:sz w:val="22"/>
                <w:szCs w:val="22"/>
                <w:lang w:eastAsia="ar-SA"/>
              </w:rPr>
              <w:t xml:space="preserve"> vertinimo atlikti nereikia. </w:t>
            </w:r>
          </w:p>
        </w:tc>
      </w:tr>
      <w:tr w:rsidR="008736E3" w:rsidRPr="008B06A7" w14:paraId="5EB2EFC4" w14:textId="77777777" w:rsidTr="00302962">
        <w:trPr>
          <w:trHeight w:val="1076"/>
        </w:trPr>
        <w:tc>
          <w:tcPr>
            <w:tcW w:w="279" w:type="pct"/>
            <w:tcBorders>
              <w:top w:val="single" w:sz="4" w:space="0" w:color="auto"/>
              <w:left w:val="single" w:sz="4" w:space="0" w:color="auto"/>
              <w:bottom w:val="single" w:sz="4" w:space="0" w:color="auto"/>
              <w:right w:val="single" w:sz="4" w:space="0" w:color="auto"/>
            </w:tcBorders>
            <w:vAlign w:val="center"/>
          </w:tcPr>
          <w:p w14:paraId="17E9B9D7" w14:textId="25723934" w:rsidR="008736E3" w:rsidRPr="008B06A7" w:rsidRDefault="008736E3" w:rsidP="00BE21A5">
            <w:pPr>
              <w:spacing w:line="276" w:lineRule="auto"/>
              <w:jc w:val="both"/>
              <w:rPr>
                <w:rFonts w:ascii="Arial" w:hAnsi="Arial" w:cs="Arial"/>
                <w:sz w:val="22"/>
                <w:szCs w:val="22"/>
              </w:rPr>
            </w:pPr>
            <w:r w:rsidRPr="008B06A7">
              <w:rPr>
                <w:rFonts w:ascii="Arial" w:hAnsi="Arial" w:cs="Arial"/>
                <w:sz w:val="22"/>
                <w:szCs w:val="22"/>
              </w:rPr>
              <w:t>4.</w:t>
            </w:r>
          </w:p>
        </w:tc>
        <w:tc>
          <w:tcPr>
            <w:tcW w:w="3028" w:type="pct"/>
            <w:tcBorders>
              <w:top w:val="single" w:sz="4" w:space="0" w:color="auto"/>
              <w:left w:val="single" w:sz="4" w:space="0" w:color="auto"/>
              <w:bottom w:val="single" w:sz="4" w:space="0" w:color="auto"/>
              <w:right w:val="single" w:sz="4" w:space="0" w:color="auto"/>
            </w:tcBorders>
          </w:tcPr>
          <w:p w14:paraId="75010503" w14:textId="77777777" w:rsidR="00034B64" w:rsidRPr="008B06A7" w:rsidRDefault="00034B64" w:rsidP="00034B64">
            <w:pPr>
              <w:jc w:val="both"/>
              <w:rPr>
                <w:rFonts w:ascii="Arial" w:hAnsi="Arial" w:cs="Arial"/>
                <w:sz w:val="22"/>
                <w:szCs w:val="22"/>
              </w:rPr>
            </w:pPr>
            <w:r w:rsidRPr="008B06A7">
              <w:rPr>
                <w:rFonts w:ascii="Arial" w:hAnsi="Arial" w:cs="Arial"/>
                <w:sz w:val="22"/>
                <w:szCs w:val="22"/>
              </w:rPr>
              <w:t>Pirkimo specialiųjų sąlygų (SPS) p. 2.2 nurodoma „</w:t>
            </w:r>
            <w:r w:rsidRPr="008B06A7">
              <w:rPr>
                <w:rFonts w:ascii="Arial" w:hAnsi="Arial" w:cs="Arial"/>
                <w:bCs/>
                <w:sz w:val="22"/>
                <w:szCs w:val="22"/>
              </w:rPr>
              <w:t>Kelio ruožas ir tiltas yra vienas neskaidomas elementas.</w:t>
            </w:r>
            <w:r w:rsidRPr="008B06A7">
              <w:rPr>
                <w:rFonts w:ascii="Arial" w:hAnsi="Arial" w:cs="Arial"/>
                <w:i/>
                <w:iCs/>
                <w:sz w:val="22"/>
                <w:szCs w:val="22"/>
              </w:rPr>
              <w:t xml:space="preserve"> </w:t>
            </w:r>
            <w:r w:rsidRPr="008B06A7">
              <w:rPr>
                <w:rFonts w:ascii="Arial" w:hAnsi="Arial" w:cs="Arial"/>
                <w:sz w:val="22"/>
                <w:szCs w:val="22"/>
              </w:rPr>
              <w:t>Bus atliekamas  tilto paprastasis remontas, nes nei techniniu nei ekonominiu požiūriu nėra naudinga atlikti jo rekonstravimo, atsižvelgiant į pakankamai gerą konstrukcijų būklę.“ Projektavimo užduotyje nėra nurodytos informacijos apie tiltą, prie pridedamų dokumentų nepateiktas tilto pasas ir periodinė būklės vertinimo ataskaita. Prašome patikslinti pirkimo dokumentus arba pateikti tilto pasą bei periodinė būklės vertinimo ataskaitą.</w:t>
            </w:r>
          </w:p>
          <w:p w14:paraId="7C8B2DC4" w14:textId="77777777" w:rsidR="008736E3" w:rsidRPr="008B06A7" w:rsidRDefault="008736E3" w:rsidP="008A4004">
            <w:pPr>
              <w:rPr>
                <w:rFonts w:ascii="Arial" w:hAnsi="Arial" w:cs="Arial"/>
                <w:sz w:val="22"/>
                <w:szCs w:val="22"/>
              </w:rPr>
            </w:pPr>
          </w:p>
        </w:tc>
        <w:tc>
          <w:tcPr>
            <w:tcW w:w="1693" w:type="pct"/>
            <w:tcBorders>
              <w:top w:val="single" w:sz="4" w:space="0" w:color="auto"/>
              <w:left w:val="single" w:sz="4" w:space="0" w:color="auto"/>
              <w:bottom w:val="single" w:sz="4" w:space="0" w:color="auto"/>
              <w:right w:val="single" w:sz="4" w:space="0" w:color="auto"/>
            </w:tcBorders>
          </w:tcPr>
          <w:p w14:paraId="1F2D55AE" w14:textId="37231061" w:rsidR="006C2F43" w:rsidRPr="006C2F43" w:rsidRDefault="006C2F43" w:rsidP="006C2F43">
            <w:pPr>
              <w:jc w:val="both"/>
              <w:rPr>
                <w:rFonts w:ascii="Arial" w:hAnsi="Arial" w:cs="Arial"/>
                <w:sz w:val="22"/>
                <w:szCs w:val="22"/>
                <w:lang w:eastAsia="ar-SA"/>
              </w:rPr>
            </w:pPr>
            <w:r>
              <w:rPr>
                <w:rFonts w:ascii="Arial" w:hAnsi="Arial" w:cs="Arial"/>
                <w:sz w:val="22"/>
                <w:szCs w:val="22"/>
                <w:lang w:eastAsia="ar-SA"/>
              </w:rPr>
              <w:t xml:space="preserve">Tikslinamas </w:t>
            </w:r>
            <w:r w:rsidRPr="008B06A7">
              <w:rPr>
                <w:rFonts w:ascii="Arial" w:hAnsi="Arial" w:cs="Arial"/>
                <w:sz w:val="22"/>
                <w:szCs w:val="22"/>
              </w:rPr>
              <w:t>(SPS) p. 2.2</w:t>
            </w:r>
            <w:r w:rsidRPr="006C2F43">
              <w:rPr>
                <w:rFonts w:ascii="Arial" w:hAnsi="Arial" w:cs="Arial"/>
                <w:sz w:val="22"/>
                <w:szCs w:val="22"/>
                <w:lang w:eastAsia="ar-SA"/>
              </w:rPr>
              <w:t>, kad valstybinės reikšmės krašto kelio Nr. 110 Švenčionys–Adutiškis ruožo nuo 1,720 iki 7,160 km rekonstravimo projektinių pasiūlymų parengimo, techninio darbo projekto parengimo ir projekto vykdymo priežiūros paslaugos nėra skaidomos, siekiant užtikrinti jų kompleksiškumą ir tarpusavio suderinamumą. Šios paslaugos yra glaudžiai susijusios ir viena kitą papildo, todėl jų atskyrimas</w:t>
            </w:r>
          </w:p>
          <w:p w14:paraId="293CBBD8" w14:textId="77777777" w:rsidR="006C2F43" w:rsidRPr="006C2F43" w:rsidRDefault="006C2F43" w:rsidP="006C2F43">
            <w:pPr>
              <w:jc w:val="both"/>
              <w:rPr>
                <w:rFonts w:ascii="Arial" w:hAnsi="Arial" w:cs="Arial"/>
                <w:sz w:val="22"/>
                <w:szCs w:val="22"/>
                <w:lang w:eastAsia="ar-SA"/>
              </w:rPr>
            </w:pPr>
            <w:r w:rsidRPr="006C2F43">
              <w:rPr>
                <w:rFonts w:ascii="Arial" w:hAnsi="Arial" w:cs="Arial"/>
                <w:sz w:val="22"/>
                <w:szCs w:val="22"/>
                <w:lang w:eastAsia="ar-SA"/>
              </w:rPr>
              <w:t xml:space="preserve">galėtų lemti neatitikimus, klaidas ar ginčus tarp skirtingų tiekėjų. Be to, vadovaujantis Lietuvos Respublikos statybos </w:t>
            </w:r>
            <w:r w:rsidRPr="006C2F43">
              <w:rPr>
                <w:rFonts w:ascii="Arial" w:hAnsi="Arial" w:cs="Arial"/>
                <w:sz w:val="22"/>
                <w:szCs w:val="22"/>
                <w:lang w:eastAsia="ar-SA"/>
              </w:rPr>
              <w:lastRenderedPageBreak/>
              <w:t>įstatymo 36 straipsnio 3 dalimi ir statybos techninio reglamento STR 1.06.01:2016 „Statybos darbai. Statinio statybos priežiūra“ 77 punktu, statinio projekto vykdymo priežiūrą statybos metu statinio projektuotojo pavedimu atlieka statinio projekto rengėjas. Perkant visas paslaugas iš vieno tiekėjo, jis prisiima atsakomybę už galutinį rezultatą – nuo projektinių pasiūlymų parengimo iki įgyvendinimo kontrolės, taip pat sumažinama administracinė našta, nes nebereikia vykdyti kelių atskirų pirkimo procedūrų ir koordinuoti skirtingų sutarčių.</w:t>
            </w:r>
          </w:p>
          <w:p w14:paraId="0267AF0B" w14:textId="6424C382" w:rsidR="00537FEC" w:rsidRPr="008B06A7" w:rsidRDefault="00537FEC" w:rsidP="006C2F43">
            <w:pPr>
              <w:jc w:val="both"/>
              <w:rPr>
                <w:rFonts w:ascii="Arial" w:hAnsi="Arial" w:cs="Arial"/>
                <w:sz w:val="22"/>
                <w:szCs w:val="22"/>
                <w:lang w:eastAsia="ar-SA"/>
              </w:rPr>
            </w:pPr>
          </w:p>
        </w:tc>
      </w:tr>
      <w:tr w:rsidR="008736E3" w:rsidRPr="008B06A7" w14:paraId="2C6DBF19" w14:textId="77777777" w:rsidTr="00302962">
        <w:trPr>
          <w:trHeight w:val="1076"/>
        </w:trPr>
        <w:tc>
          <w:tcPr>
            <w:tcW w:w="279" w:type="pct"/>
            <w:tcBorders>
              <w:top w:val="single" w:sz="4" w:space="0" w:color="auto"/>
              <w:left w:val="single" w:sz="4" w:space="0" w:color="auto"/>
              <w:bottom w:val="single" w:sz="4" w:space="0" w:color="auto"/>
              <w:right w:val="single" w:sz="4" w:space="0" w:color="auto"/>
            </w:tcBorders>
            <w:vAlign w:val="center"/>
          </w:tcPr>
          <w:p w14:paraId="73420D26" w14:textId="495080FF" w:rsidR="008736E3" w:rsidRPr="008B06A7" w:rsidRDefault="00034B64" w:rsidP="00BE21A5">
            <w:pPr>
              <w:spacing w:line="276" w:lineRule="auto"/>
              <w:jc w:val="both"/>
              <w:rPr>
                <w:rFonts w:ascii="Arial" w:hAnsi="Arial" w:cs="Arial"/>
                <w:sz w:val="22"/>
                <w:szCs w:val="22"/>
              </w:rPr>
            </w:pPr>
            <w:r w:rsidRPr="008B06A7">
              <w:rPr>
                <w:rFonts w:ascii="Arial" w:hAnsi="Arial" w:cs="Arial"/>
                <w:sz w:val="22"/>
                <w:szCs w:val="22"/>
              </w:rPr>
              <w:lastRenderedPageBreak/>
              <w:t>5.</w:t>
            </w:r>
          </w:p>
        </w:tc>
        <w:tc>
          <w:tcPr>
            <w:tcW w:w="3028" w:type="pct"/>
            <w:tcBorders>
              <w:top w:val="single" w:sz="4" w:space="0" w:color="auto"/>
              <w:left w:val="single" w:sz="4" w:space="0" w:color="auto"/>
              <w:bottom w:val="single" w:sz="4" w:space="0" w:color="auto"/>
              <w:right w:val="single" w:sz="4" w:space="0" w:color="auto"/>
            </w:tcBorders>
          </w:tcPr>
          <w:p w14:paraId="55526BBD" w14:textId="5F8B9099" w:rsidR="00034B64" w:rsidRPr="00414A9E" w:rsidRDefault="00034B64" w:rsidP="00034B64">
            <w:pPr>
              <w:jc w:val="both"/>
              <w:rPr>
                <w:rFonts w:ascii="Arial" w:hAnsi="Arial" w:cs="Arial"/>
                <w:sz w:val="22"/>
                <w:szCs w:val="22"/>
              </w:rPr>
            </w:pPr>
            <w:r w:rsidRPr="00414A9E">
              <w:rPr>
                <w:rFonts w:ascii="Arial" w:hAnsi="Arial" w:cs="Arial"/>
                <w:sz w:val="22"/>
                <w:szCs w:val="22"/>
              </w:rPr>
              <w:t xml:space="preserve">Pagal sutarties specialiųjų sąlygų p.5.5.2.1 „ Pirmas mokėjimas, kuris sudaro </w:t>
            </w:r>
            <w:r w:rsidRPr="00414A9E">
              <w:rPr>
                <w:rFonts w:ascii="Arial" w:hAnsi="Arial" w:cs="Arial"/>
                <w:b/>
                <w:bCs/>
                <w:sz w:val="22"/>
                <w:szCs w:val="22"/>
              </w:rPr>
              <w:t>30 proc.</w:t>
            </w:r>
            <w:r w:rsidRPr="00414A9E">
              <w:rPr>
                <w:rFonts w:ascii="Arial" w:hAnsi="Arial" w:cs="Arial"/>
                <w:sz w:val="22"/>
                <w:szCs w:val="22"/>
              </w:rPr>
              <w:t xml:space="preserve"> visos Specialiųjų sąlygų 5.2.3.1.1. punkte nurodytos kainos, atliekamas Tiekėjui įvykdžius Paslaugas, nustatytas Techninės specifikacijos 6.1.-6.4 papunkčiuose“. Pagal technines sąlygas 6.1-6.4. punktai yra: </w:t>
            </w:r>
          </w:p>
          <w:p w14:paraId="55FC22E0" w14:textId="77777777" w:rsidR="00034B64" w:rsidRPr="00414A9E" w:rsidRDefault="00034B64" w:rsidP="00034B64">
            <w:pPr>
              <w:pStyle w:val="Sraopastraipa"/>
              <w:rPr>
                <w:rFonts w:ascii="Arial" w:hAnsi="Arial" w:cs="Arial"/>
                <w:sz w:val="22"/>
                <w:szCs w:val="22"/>
              </w:rPr>
            </w:pPr>
          </w:p>
          <w:p w14:paraId="44D2D6D2" w14:textId="77777777" w:rsidR="00034B64" w:rsidRPr="00414A9E" w:rsidRDefault="00034B64" w:rsidP="00034B64">
            <w:pPr>
              <w:jc w:val="both"/>
              <w:rPr>
                <w:rFonts w:ascii="Arial" w:hAnsi="Arial" w:cs="Arial"/>
                <w:sz w:val="22"/>
                <w:szCs w:val="22"/>
              </w:rPr>
            </w:pPr>
            <w:r w:rsidRPr="00414A9E">
              <w:rPr>
                <w:rFonts w:ascii="Arial" w:hAnsi="Arial" w:cs="Arial"/>
                <w:sz w:val="22"/>
                <w:szCs w:val="22"/>
              </w:rPr>
              <w:t>6.1.Statybinių inžinerinių geologinių ir geodezinių bei kitų tyrimų atlikimas.;</w:t>
            </w:r>
          </w:p>
          <w:p w14:paraId="67882242" w14:textId="77777777" w:rsidR="00034B64" w:rsidRPr="00414A9E" w:rsidRDefault="00034B64" w:rsidP="00034B64">
            <w:pPr>
              <w:jc w:val="both"/>
              <w:rPr>
                <w:rFonts w:ascii="Arial" w:hAnsi="Arial" w:cs="Arial"/>
                <w:sz w:val="22"/>
                <w:szCs w:val="22"/>
              </w:rPr>
            </w:pPr>
            <w:r w:rsidRPr="00414A9E">
              <w:rPr>
                <w:rFonts w:ascii="Arial" w:hAnsi="Arial" w:cs="Arial"/>
                <w:sz w:val="22"/>
                <w:szCs w:val="22"/>
              </w:rPr>
              <w:t>6.2.Eismo srautų modeliavimas ir (ar) poveikio kelių saugumui vertinimas.;</w:t>
            </w:r>
          </w:p>
          <w:p w14:paraId="6C97345C" w14:textId="77777777" w:rsidR="00034B64" w:rsidRPr="00414A9E" w:rsidRDefault="00034B64" w:rsidP="00034B64">
            <w:pPr>
              <w:jc w:val="both"/>
              <w:rPr>
                <w:rFonts w:ascii="Arial" w:hAnsi="Arial" w:cs="Arial"/>
                <w:sz w:val="22"/>
                <w:szCs w:val="22"/>
              </w:rPr>
            </w:pPr>
            <w:r w:rsidRPr="00414A9E">
              <w:rPr>
                <w:rFonts w:ascii="Arial" w:hAnsi="Arial" w:cs="Arial"/>
                <w:sz w:val="22"/>
                <w:szCs w:val="22"/>
              </w:rPr>
              <w:t>6.3.Projektinių pasiūlymų (pirminių) parengimas;</w:t>
            </w:r>
          </w:p>
          <w:p w14:paraId="7FC0AD52" w14:textId="77777777" w:rsidR="00034B64" w:rsidRPr="00414A9E" w:rsidRDefault="00034B64" w:rsidP="00034B64">
            <w:pPr>
              <w:jc w:val="both"/>
              <w:rPr>
                <w:rFonts w:ascii="Arial" w:hAnsi="Arial" w:cs="Arial"/>
                <w:sz w:val="22"/>
                <w:szCs w:val="22"/>
              </w:rPr>
            </w:pPr>
            <w:r w:rsidRPr="00414A9E">
              <w:rPr>
                <w:rFonts w:ascii="Arial" w:hAnsi="Arial" w:cs="Arial"/>
                <w:sz w:val="22"/>
                <w:szCs w:val="22"/>
              </w:rPr>
              <w:t>6.4.</w:t>
            </w:r>
            <w:r w:rsidRPr="00414A9E">
              <w:rPr>
                <w:rFonts w:ascii="Arial" w:eastAsia="Times New Roman" w:hAnsi="Arial" w:cs="Arial"/>
                <w:sz w:val="22"/>
                <w:szCs w:val="22"/>
              </w:rPr>
              <w:t xml:space="preserve"> Audito atlikimas</w:t>
            </w:r>
            <w:r w:rsidRPr="00414A9E">
              <w:rPr>
                <w:rFonts w:ascii="Arial" w:hAnsi="Arial" w:cs="Arial"/>
                <w:sz w:val="22"/>
                <w:szCs w:val="22"/>
              </w:rPr>
              <w:t>;</w:t>
            </w:r>
          </w:p>
          <w:p w14:paraId="1DC62564" w14:textId="77777777" w:rsidR="00034B64" w:rsidRPr="00414A9E" w:rsidRDefault="00034B64" w:rsidP="00034B64">
            <w:pPr>
              <w:pStyle w:val="Sraopastraipa"/>
              <w:jc w:val="both"/>
              <w:rPr>
                <w:rFonts w:ascii="Arial" w:hAnsi="Arial" w:cs="Arial"/>
                <w:sz w:val="22"/>
                <w:szCs w:val="22"/>
              </w:rPr>
            </w:pPr>
          </w:p>
          <w:p w14:paraId="559537E1" w14:textId="77777777" w:rsidR="00034B64" w:rsidRPr="00414A9E" w:rsidRDefault="00034B64" w:rsidP="00034B64">
            <w:pPr>
              <w:jc w:val="both"/>
              <w:rPr>
                <w:rFonts w:ascii="Arial" w:hAnsi="Arial" w:cs="Arial"/>
                <w:sz w:val="22"/>
                <w:szCs w:val="22"/>
              </w:rPr>
            </w:pPr>
            <w:r w:rsidRPr="00414A9E">
              <w:rPr>
                <w:rFonts w:ascii="Arial" w:hAnsi="Arial" w:cs="Arial"/>
                <w:sz w:val="22"/>
                <w:szCs w:val="22"/>
              </w:rPr>
              <w:t>Taigi, pirmas apmokėjimas galimas tik užbaigus Kelių saugumo audito procedūras, kurias vertinant realistiškai galima užbaigti ne anksčiau nei po 6 mėnesių nuo sutarties pradžios.  Toks aktavimo grafikas yra ypatingai nepalankus projektavimo rangovui, nes pirmas aktavimas galimas tik atlikus maždaug 50 proc. sutarties vertės. Prašome išskirti atskirą aktavimą tyrinėjimų etapui.</w:t>
            </w:r>
          </w:p>
          <w:p w14:paraId="588DA8AD" w14:textId="77777777" w:rsidR="00034B64" w:rsidRPr="00414A9E" w:rsidRDefault="00034B64" w:rsidP="00034B64">
            <w:pPr>
              <w:pStyle w:val="Sraopastraipa"/>
              <w:jc w:val="both"/>
              <w:rPr>
                <w:rFonts w:ascii="Arial" w:hAnsi="Arial" w:cs="Arial"/>
                <w:sz w:val="22"/>
                <w:szCs w:val="22"/>
              </w:rPr>
            </w:pPr>
          </w:p>
          <w:p w14:paraId="4D8CCAF1" w14:textId="77777777" w:rsidR="00034B64" w:rsidRPr="00414A9E" w:rsidRDefault="00034B64" w:rsidP="00034B64">
            <w:pPr>
              <w:jc w:val="both"/>
              <w:rPr>
                <w:rFonts w:ascii="Arial" w:hAnsi="Arial" w:cs="Arial"/>
                <w:sz w:val="22"/>
                <w:szCs w:val="22"/>
              </w:rPr>
            </w:pPr>
            <w:r w:rsidRPr="00414A9E">
              <w:rPr>
                <w:rFonts w:ascii="Arial" w:hAnsi="Arial" w:cs="Arial"/>
                <w:sz w:val="22"/>
                <w:szCs w:val="22"/>
              </w:rPr>
              <w:t xml:space="preserve">6.Perkančiosios organizacijos pateikiamas mokėjimų grafikas nelygiavertiškai paskirsto pinigų srautus pagal darbo kiekį kiekviename etape. Primas aktavimas galimas tik atlikus apie 50 proc viso darbo, antras aktavimas tik atlikus beveik 80 proc darbo,  nors gaunamas apmokėjimas tik už 50 proc sutarties vertės (be PVP). Tokia situacija sukelia rizikas, Užsakovui nutraukus sutartį, pvz, po projektinių pasiūlymų parengimo, negauti apmokėjimo už jau faktiškai suteiktas paslaugas. Atkreipiame dėmesį, kad nors toks pinigų srautų išdėstymas buvo logiškas pagal seniau galiojusį STR1.04.04:2017 „Statinio projektavimas, projekto ekspertizė“  (iki 2024-11-01).  Pagal dabar galiojančią STR1.04.04:2017 redakciją, dėl pasikeitusios </w:t>
            </w:r>
            <w:r w:rsidRPr="00414A9E">
              <w:rPr>
                <w:rFonts w:ascii="Arial" w:hAnsi="Arial" w:cs="Arial"/>
                <w:sz w:val="22"/>
                <w:szCs w:val="22"/>
              </w:rPr>
              <w:lastRenderedPageBreak/>
              <w:t>projektinių pasiūlymų sudėties,  projektinių pasiūlymų etape projektuotojas turi atlikti ne mažiau nei 70 proc viso projekto darbo, t.y. analogiškai, kaip buvo rengiant techninį projektą. Tačiau Perkančioji organizacija pagal šį STR1.04.04:2017   pasikeitimą neatnaujino pinigų srautų paskirstymo sutarties vykdymo metu, taip sukurdama nepagrįstų rizikų projektuotojui. Prašome patikslinti apmokėjimo sąlygas išskaidant apmokėjimą į daugiau etapų arba numatant didesnius apmokėjimo procentus projektinių pasiūlymų rengimo eigoje, kad apmokėjimas atitiktų atliekamo darbo procentinė išraišką.</w:t>
            </w:r>
          </w:p>
          <w:p w14:paraId="66DC4C5E" w14:textId="77777777" w:rsidR="008736E3" w:rsidRPr="00414A9E" w:rsidRDefault="008736E3" w:rsidP="008A4004">
            <w:pPr>
              <w:rPr>
                <w:rFonts w:ascii="Arial" w:hAnsi="Arial" w:cs="Arial"/>
                <w:sz w:val="22"/>
                <w:szCs w:val="22"/>
              </w:rPr>
            </w:pPr>
          </w:p>
          <w:p w14:paraId="454C7418" w14:textId="77777777" w:rsidR="00034B64" w:rsidRPr="008B06A7" w:rsidRDefault="00034B64" w:rsidP="008A4004">
            <w:pPr>
              <w:rPr>
                <w:rFonts w:ascii="Arial" w:hAnsi="Arial" w:cs="Arial"/>
                <w:sz w:val="22"/>
                <w:szCs w:val="22"/>
              </w:rPr>
            </w:pPr>
          </w:p>
          <w:tbl>
            <w:tblPr>
              <w:tblW w:w="5720" w:type="dxa"/>
              <w:tblLook w:val="04A0" w:firstRow="1" w:lastRow="0" w:firstColumn="1" w:lastColumn="0" w:noHBand="0" w:noVBand="1"/>
            </w:tblPr>
            <w:tblGrid>
              <w:gridCol w:w="5720"/>
            </w:tblGrid>
            <w:tr w:rsidR="00034B64" w:rsidRPr="008B06A7" w14:paraId="161CB1DE" w14:textId="77777777" w:rsidTr="00BE21A5">
              <w:trPr>
                <w:trHeight w:val="402"/>
              </w:trPr>
              <w:tc>
                <w:tcPr>
                  <w:tcW w:w="5720" w:type="dxa"/>
                  <w:tcBorders>
                    <w:top w:val="nil"/>
                    <w:left w:val="single" w:sz="4" w:space="0" w:color="808080"/>
                    <w:bottom w:val="single" w:sz="4" w:space="0" w:color="808080"/>
                    <w:right w:val="single" w:sz="4" w:space="0" w:color="808080"/>
                  </w:tcBorders>
                  <w:shd w:val="clear" w:color="000000" w:fill="F9F3DD"/>
                  <w:noWrap/>
                  <w:vAlign w:val="center"/>
                  <w:hideMark/>
                </w:tcPr>
                <w:p w14:paraId="526209BE" w14:textId="77777777" w:rsidR="00034B64" w:rsidRPr="008B06A7" w:rsidRDefault="00034B64" w:rsidP="00034B64">
                  <w:pPr>
                    <w:spacing w:after="0" w:line="240" w:lineRule="auto"/>
                    <w:ind w:firstLineChars="100" w:firstLine="220"/>
                    <w:rPr>
                      <w:rFonts w:ascii="Arial" w:eastAsia="Times New Roman" w:hAnsi="Arial" w:cs="Arial"/>
                      <w:color w:val="000000"/>
                      <w:kern w:val="0"/>
                      <w:sz w:val="22"/>
                      <w:szCs w:val="22"/>
                      <w:lang w:eastAsia="lt-LT"/>
                      <w14:ligatures w14:val="none"/>
                    </w:rPr>
                  </w:pPr>
                  <w:r w:rsidRPr="008B06A7">
                    <w:rPr>
                      <w:rFonts w:ascii="Arial" w:eastAsia="Times New Roman" w:hAnsi="Arial" w:cs="Arial"/>
                      <w:color w:val="000000"/>
                      <w:kern w:val="0"/>
                      <w:sz w:val="22"/>
                      <w:szCs w:val="22"/>
                      <w:lang w:eastAsia="lt-LT"/>
                      <w14:ligatures w14:val="none"/>
                    </w:rPr>
                    <w:t>1.Tyrimai+srautų modeliavimas+PP+KSA (TS 6.1.-6.4.)- 30 proc</w:t>
                  </w:r>
                </w:p>
              </w:tc>
            </w:tr>
            <w:tr w:rsidR="00034B64" w:rsidRPr="008B06A7" w14:paraId="66BA7A74" w14:textId="77777777" w:rsidTr="00BE21A5">
              <w:trPr>
                <w:trHeight w:val="402"/>
              </w:trPr>
              <w:tc>
                <w:tcPr>
                  <w:tcW w:w="5720" w:type="dxa"/>
                  <w:tcBorders>
                    <w:top w:val="nil"/>
                    <w:left w:val="single" w:sz="4" w:space="0" w:color="808080"/>
                    <w:bottom w:val="single" w:sz="4" w:space="0" w:color="808080"/>
                    <w:right w:val="single" w:sz="4" w:space="0" w:color="808080"/>
                  </w:tcBorders>
                  <w:shd w:val="clear" w:color="000000" w:fill="F9F3DD"/>
                  <w:noWrap/>
                  <w:vAlign w:val="center"/>
                  <w:hideMark/>
                </w:tcPr>
                <w:p w14:paraId="65E03E14" w14:textId="77777777" w:rsidR="00034B64" w:rsidRPr="008B06A7" w:rsidRDefault="00034B64" w:rsidP="00034B64">
                  <w:pPr>
                    <w:spacing w:after="0" w:line="240" w:lineRule="auto"/>
                    <w:ind w:firstLineChars="100" w:firstLine="220"/>
                    <w:rPr>
                      <w:rFonts w:ascii="Arial" w:eastAsia="Times New Roman" w:hAnsi="Arial" w:cs="Arial"/>
                      <w:color w:val="000000"/>
                      <w:kern w:val="0"/>
                      <w:sz w:val="22"/>
                      <w:szCs w:val="22"/>
                      <w:lang w:eastAsia="lt-LT"/>
                      <w14:ligatures w14:val="none"/>
                    </w:rPr>
                  </w:pPr>
                  <w:r w:rsidRPr="008B06A7">
                    <w:rPr>
                      <w:rFonts w:ascii="Arial" w:eastAsia="Times New Roman" w:hAnsi="Arial" w:cs="Arial"/>
                      <w:color w:val="000000"/>
                      <w:kern w:val="0"/>
                      <w:sz w:val="22"/>
                      <w:szCs w:val="22"/>
                      <w:lang w:eastAsia="lt-LT"/>
                      <w14:ligatures w14:val="none"/>
                    </w:rPr>
                    <w:t>2. Viešinimas+PP+SLD (TS 6.5., 6.6., 6.7.) -20 proc.</w:t>
                  </w:r>
                </w:p>
              </w:tc>
            </w:tr>
            <w:tr w:rsidR="00034B64" w:rsidRPr="008B06A7" w14:paraId="4CEA222A" w14:textId="77777777" w:rsidTr="00BE21A5">
              <w:trPr>
                <w:trHeight w:val="402"/>
              </w:trPr>
              <w:tc>
                <w:tcPr>
                  <w:tcW w:w="5720" w:type="dxa"/>
                  <w:tcBorders>
                    <w:top w:val="nil"/>
                    <w:left w:val="single" w:sz="4" w:space="0" w:color="808080"/>
                    <w:bottom w:val="single" w:sz="4" w:space="0" w:color="808080"/>
                    <w:right w:val="single" w:sz="4" w:space="0" w:color="808080"/>
                  </w:tcBorders>
                  <w:shd w:val="clear" w:color="000000" w:fill="F9F3DD"/>
                  <w:noWrap/>
                  <w:vAlign w:val="center"/>
                  <w:hideMark/>
                </w:tcPr>
                <w:p w14:paraId="1AF89147" w14:textId="77777777" w:rsidR="00034B64" w:rsidRPr="008B06A7" w:rsidRDefault="00034B64" w:rsidP="00034B64">
                  <w:pPr>
                    <w:spacing w:after="0" w:line="240" w:lineRule="auto"/>
                    <w:ind w:firstLineChars="100" w:firstLine="220"/>
                    <w:rPr>
                      <w:rFonts w:ascii="Arial" w:eastAsia="Times New Roman" w:hAnsi="Arial" w:cs="Arial"/>
                      <w:color w:val="000000"/>
                      <w:kern w:val="0"/>
                      <w:sz w:val="22"/>
                      <w:szCs w:val="22"/>
                      <w:lang w:eastAsia="lt-LT"/>
                      <w14:ligatures w14:val="none"/>
                    </w:rPr>
                  </w:pPr>
                  <w:r w:rsidRPr="008B06A7">
                    <w:rPr>
                      <w:rFonts w:ascii="Arial" w:eastAsia="Times New Roman" w:hAnsi="Arial" w:cs="Arial"/>
                      <w:color w:val="000000"/>
                      <w:kern w:val="0"/>
                      <w:sz w:val="22"/>
                      <w:szCs w:val="22"/>
                      <w:lang w:eastAsia="lt-LT"/>
                      <w14:ligatures w14:val="none"/>
                    </w:rPr>
                    <w:t>3. TDP (TS 6.8.)- 20 proc.</w:t>
                  </w:r>
                </w:p>
              </w:tc>
            </w:tr>
            <w:tr w:rsidR="00034B64" w:rsidRPr="008B06A7" w14:paraId="66F2E26C" w14:textId="77777777" w:rsidTr="00BE21A5">
              <w:trPr>
                <w:trHeight w:val="402"/>
              </w:trPr>
              <w:tc>
                <w:tcPr>
                  <w:tcW w:w="5720" w:type="dxa"/>
                  <w:tcBorders>
                    <w:top w:val="nil"/>
                    <w:left w:val="single" w:sz="4" w:space="0" w:color="808080"/>
                    <w:bottom w:val="single" w:sz="4" w:space="0" w:color="808080"/>
                    <w:right w:val="single" w:sz="4" w:space="0" w:color="808080"/>
                  </w:tcBorders>
                  <w:shd w:val="clear" w:color="000000" w:fill="F9F3DD"/>
                  <w:noWrap/>
                  <w:vAlign w:val="center"/>
                  <w:hideMark/>
                </w:tcPr>
                <w:p w14:paraId="4D2D8923" w14:textId="77777777" w:rsidR="00034B64" w:rsidRPr="008B06A7" w:rsidRDefault="00034B64" w:rsidP="00034B64">
                  <w:pPr>
                    <w:spacing w:after="0" w:line="240" w:lineRule="auto"/>
                    <w:ind w:firstLineChars="100" w:firstLine="220"/>
                    <w:rPr>
                      <w:rFonts w:ascii="Arial" w:eastAsia="Times New Roman" w:hAnsi="Arial" w:cs="Arial"/>
                      <w:color w:val="000000"/>
                      <w:kern w:val="0"/>
                      <w:sz w:val="22"/>
                      <w:szCs w:val="22"/>
                      <w:lang w:eastAsia="lt-LT"/>
                      <w14:ligatures w14:val="none"/>
                    </w:rPr>
                  </w:pPr>
                  <w:r w:rsidRPr="008B06A7">
                    <w:rPr>
                      <w:rFonts w:ascii="Arial" w:eastAsia="Times New Roman" w:hAnsi="Arial" w:cs="Arial"/>
                      <w:color w:val="000000"/>
                      <w:kern w:val="0"/>
                      <w:sz w:val="22"/>
                      <w:szCs w:val="22"/>
                      <w:lang w:eastAsia="lt-LT"/>
                      <w14:ligatures w14:val="none"/>
                    </w:rPr>
                    <w:t>4. Ekspertizė (TS 6.9- 6.10.) 30 proc.</w:t>
                  </w:r>
                </w:p>
              </w:tc>
            </w:tr>
          </w:tbl>
          <w:p w14:paraId="796D92AB" w14:textId="77777777" w:rsidR="00034B64" w:rsidRPr="008B06A7" w:rsidRDefault="00034B64" w:rsidP="008A4004">
            <w:pPr>
              <w:rPr>
                <w:rFonts w:ascii="Arial" w:hAnsi="Arial" w:cs="Arial"/>
                <w:sz w:val="22"/>
                <w:szCs w:val="22"/>
              </w:rPr>
            </w:pPr>
          </w:p>
          <w:p w14:paraId="47FF6B28" w14:textId="77777777" w:rsidR="00034B64" w:rsidRPr="008B06A7" w:rsidRDefault="00034B64" w:rsidP="008A4004">
            <w:pPr>
              <w:rPr>
                <w:rFonts w:ascii="Arial" w:hAnsi="Arial" w:cs="Arial"/>
                <w:sz w:val="22"/>
                <w:szCs w:val="22"/>
              </w:rPr>
            </w:pPr>
          </w:p>
        </w:tc>
        <w:tc>
          <w:tcPr>
            <w:tcW w:w="1693" w:type="pct"/>
            <w:tcBorders>
              <w:top w:val="single" w:sz="4" w:space="0" w:color="auto"/>
              <w:left w:val="single" w:sz="4" w:space="0" w:color="auto"/>
              <w:bottom w:val="single" w:sz="4" w:space="0" w:color="auto"/>
              <w:right w:val="single" w:sz="4" w:space="0" w:color="auto"/>
            </w:tcBorders>
          </w:tcPr>
          <w:p w14:paraId="6BF46596" w14:textId="77777777" w:rsidR="000332E6" w:rsidRPr="000332E6" w:rsidRDefault="000332E6" w:rsidP="000332E6">
            <w:pPr>
              <w:jc w:val="both"/>
              <w:rPr>
                <w:rFonts w:ascii="Arial" w:hAnsi="Arial" w:cs="Arial"/>
                <w:sz w:val="22"/>
                <w:szCs w:val="22"/>
                <w:lang w:eastAsia="ar-SA"/>
              </w:rPr>
            </w:pPr>
            <w:r w:rsidRPr="000332E6">
              <w:rPr>
                <w:rFonts w:ascii="Arial" w:hAnsi="Arial" w:cs="Arial"/>
                <w:sz w:val="22"/>
                <w:szCs w:val="22"/>
                <w:lang w:eastAsia="ar-SA"/>
              </w:rPr>
              <w:lastRenderedPageBreak/>
              <w:t xml:space="preserve">Mokėjimų išskaidymas sutarties specialiųjų sąlygų </w:t>
            </w:r>
            <w:r w:rsidRPr="000332E6">
              <w:rPr>
                <w:rFonts w:ascii="Arial" w:hAnsi="Arial" w:cs="Arial"/>
                <w:b/>
                <w:sz w:val="22"/>
                <w:szCs w:val="22"/>
                <w:lang w:eastAsia="ar-SA"/>
              </w:rPr>
              <w:t>5.5. p. „Atsiskaitymo su Tiekėju terminas ir tvarka“</w:t>
            </w:r>
            <w:r w:rsidRPr="000332E6">
              <w:rPr>
                <w:rFonts w:ascii="Arial" w:hAnsi="Arial" w:cs="Arial"/>
                <w:sz w:val="22"/>
                <w:szCs w:val="22"/>
                <w:lang w:eastAsia="ar-SA"/>
              </w:rPr>
              <w:t xml:space="preserve"> pakoreguotas, atsižvelgiant į teikėjo išsakytą siūlymą ir perkančiosios organizacijos galimybę objektyviai įvertinti Paslaugų įvykdymą aiškiai apibrėžtais etapais.</w:t>
            </w:r>
          </w:p>
          <w:p w14:paraId="19EA1F09" w14:textId="77777777" w:rsidR="000332E6" w:rsidRPr="000332E6" w:rsidRDefault="000332E6" w:rsidP="000332E6">
            <w:pPr>
              <w:jc w:val="both"/>
              <w:rPr>
                <w:rFonts w:ascii="Arial" w:hAnsi="Arial" w:cs="Arial"/>
                <w:sz w:val="22"/>
                <w:szCs w:val="22"/>
                <w:lang w:eastAsia="ar-SA"/>
              </w:rPr>
            </w:pPr>
            <w:r w:rsidRPr="000332E6">
              <w:rPr>
                <w:rFonts w:ascii="Arial" w:hAnsi="Arial" w:cs="Arial"/>
                <w:sz w:val="22"/>
                <w:szCs w:val="22"/>
                <w:lang w:eastAsia="ar-SA"/>
              </w:rPr>
              <w:t xml:space="preserve">„5.5.2. Mokėjimai Tiekėjui už suteiktas Paslaugas, numatytas Specialiųjų sąlygų 3.1.1.-3.1.6., </w:t>
            </w:r>
            <w:r w:rsidRPr="000332E6">
              <w:rPr>
                <w:rFonts w:ascii="Arial" w:hAnsi="Arial" w:cs="Arial"/>
                <w:sz w:val="22"/>
                <w:szCs w:val="22"/>
                <w:lang w:val="en-US" w:eastAsia="ar-SA"/>
              </w:rPr>
              <w:t>3.1.8.</w:t>
            </w:r>
            <w:r w:rsidRPr="000332E6">
              <w:rPr>
                <w:rFonts w:ascii="Arial" w:hAnsi="Arial" w:cs="Arial"/>
                <w:sz w:val="22"/>
                <w:szCs w:val="22"/>
                <w:lang w:eastAsia="ar-SA"/>
              </w:rPr>
              <w:t xml:space="preserve"> papunkčiuose, atliekami vadovaujantis Techninės specifikacijos 6 punkte nurodytomis atliktomis paslaugomis tokia tvarka:</w:t>
            </w:r>
          </w:p>
          <w:p w14:paraId="45B55358" w14:textId="77777777" w:rsidR="000332E6" w:rsidRPr="000332E6" w:rsidRDefault="000332E6" w:rsidP="000332E6">
            <w:pPr>
              <w:jc w:val="both"/>
              <w:rPr>
                <w:rFonts w:ascii="Arial" w:hAnsi="Arial" w:cs="Arial"/>
                <w:sz w:val="22"/>
                <w:szCs w:val="22"/>
                <w:lang w:eastAsia="ar-SA"/>
              </w:rPr>
            </w:pPr>
            <w:r w:rsidRPr="000332E6">
              <w:rPr>
                <w:rFonts w:ascii="Arial" w:hAnsi="Arial" w:cs="Arial"/>
                <w:sz w:val="22"/>
                <w:szCs w:val="22"/>
                <w:lang w:eastAsia="ar-SA"/>
              </w:rPr>
              <w:t xml:space="preserve">5.5.2.1. Pirmas mokėjimas, kuris sudaro </w:t>
            </w:r>
            <w:r w:rsidRPr="000332E6">
              <w:rPr>
                <w:rFonts w:ascii="Arial" w:hAnsi="Arial" w:cs="Arial"/>
                <w:b/>
                <w:bCs/>
                <w:sz w:val="22"/>
                <w:szCs w:val="22"/>
                <w:lang w:eastAsia="ar-SA"/>
              </w:rPr>
              <w:t>20 proc.</w:t>
            </w:r>
            <w:r w:rsidRPr="000332E6">
              <w:rPr>
                <w:rFonts w:ascii="Arial" w:hAnsi="Arial" w:cs="Arial"/>
                <w:sz w:val="22"/>
                <w:szCs w:val="22"/>
                <w:lang w:eastAsia="ar-SA"/>
              </w:rPr>
              <w:t xml:space="preserve"> visos Specialiųjų sąlygų 5.2.3.1.1. punkte nurodytos kainos, atliekamas Tiekėjui įvykdžius Paslaugas, nustatytas Techninės specifikacijos 6.1 papunktyje;</w:t>
            </w:r>
          </w:p>
          <w:p w14:paraId="584B1DDA" w14:textId="77777777" w:rsidR="000332E6" w:rsidRPr="000332E6" w:rsidRDefault="000332E6" w:rsidP="000332E6">
            <w:pPr>
              <w:jc w:val="both"/>
              <w:rPr>
                <w:rFonts w:ascii="Arial" w:hAnsi="Arial" w:cs="Arial"/>
                <w:sz w:val="22"/>
                <w:szCs w:val="22"/>
                <w:lang w:eastAsia="ar-SA"/>
              </w:rPr>
            </w:pPr>
            <w:r w:rsidRPr="000332E6">
              <w:rPr>
                <w:rFonts w:ascii="Arial" w:hAnsi="Arial" w:cs="Arial"/>
                <w:sz w:val="22"/>
                <w:szCs w:val="22"/>
                <w:lang w:eastAsia="ar-SA"/>
              </w:rPr>
              <w:t xml:space="preserve">5.5.2.2. Antras mokėjimas, kuris sudaro </w:t>
            </w:r>
            <w:r w:rsidRPr="000332E6">
              <w:rPr>
                <w:rFonts w:ascii="Arial" w:hAnsi="Arial" w:cs="Arial"/>
                <w:b/>
                <w:bCs/>
                <w:sz w:val="22"/>
                <w:szCs w:val="22"/>
                <w:lang w:eastAsia="ar-SA"/>
              </w:rPr>
              <w:t>30 proc.</w:t>
            </w:r>
            <w:r w:rsidRPr="000332E6">
              <w:rPr>
                <w:rFonts w:ascii="Arial" w:hAnsi="Arial" w:cs="Arial"/>
                <w:sz w:val="22"/>
                <w:szCs w:val="22"/>
                <w:lang w:eastAsia="ar-SA"/>
              </w:rPr>
              <w:t xml:space="preserve"> visos Specialiųjų sąlygų 5.2.3.1.1. punkte nurodytos kainos, atliekamas Tiekėjui įvykdžius Paslaugas, nustatytas Techninės specifikacijos 6.2. - 6.5. papunkčiuose;</w:t>
            </w:r>
          </w:p>
          <w:p w14:paraId="54C50797" w14:textId="77777777" w:rsidR="000332E6" w:rsidRPr="000332E6" w:rsidRDefault="000332E6" w:rsidP="000332E6">
            <w:pPr>
              <w:jc w:val="both"/>
              <w:rPr>
                <w:rFonts w:ascii="Arial" w:hAnsi="Arial" w:cs="Arial"/>
                <w:sz w:val="22"/>
                <w:szCs w:val="22"/>
                <w:lang w:eastAsia="ar-SA"/>
              </w:rPr>
            </w:pPr>
            <w:r w:rsidRPr="000332E6">
              <w:rPr>
                <w:rFonts w:ascii="Arial" w:hAnsi="Arial" w:cs="Arial"/>
                <w:sz w:val="22"/>
                <w:szCs w:val="22"/>
                <w:lang w:eastAsia="ar-SA"/>
              </w:rPr>
              <w:lastRenderedPageBreak/>
              <w:t xml:space="preserve">5.5.2.3. Trečias mokėjimas, kuris sudaro </w:t>
            </w:r>
            <w:r w:rsidRPr="000332E6">
              <w:rPr>
                <w:rFonts w:ascii="Arial" w:hAnsi="Arial" w:cs="Arial"/>
                <w:b/>
                <w:bCs/>
                <w:sz w:val="22"/>
                <w:szCs w:val="22"/>
                <w:lang w:eastAsia="ar-SA"/>
              </w:rPr>
              <w:t>30 proc.</w:t>
            </w:r>
            <w:r w:rsidRPr="000332E6">
              <w:rPr>
                <w:rFonts w:ascii="Arial" w:hAnsi="Arial" w:cs="Arial"/>
                <w:sz w:val="22"/>
                <w:szCs w:val="22"/>
                <w:lang w:eastAsia="ar-SA"/>
              </w:rPr>
              <w:t xml:space="preserve"> visos Specialiųjų sąlygų 5.2.3.1.1. punkte nurodytos kainos, atliekamas Tiekėjui įvykdžius Paslaugas, nustatytas Techninės specifikacijos 6.6. - 6.8. papunkčiuose;</w:t>
            </w:r>
          </w:p>
          <w:p w14:paraId="25C10C11" w14:textId="77777777" w:rsidR="000332E6" w:rsidRPr="000332E6" w:rsidRDefault="000332E6" w:rsidP="000332E6">
            <w:pPr>
              <w:jc w:val="both"/>
              <w:rPr>
                <w:rFonts w:ascii="Arial" w:hAnsi="Arial" w:cs="Arial"/>
                <w:sz w:val="22"/>
                <w:szCs w:val="22"/>
                <w:lang w:eastAsia="ar-SA"/>
              </w:rPr>
            </w:pPr>
            <w:r w:rsidRPr="000332E6">
              <w:rPr>
                <w:rFonts w:ascii="Arial" w:hAnsi="Arial" w:cs="Arial"/>
                <w:sz w:val="22"/>
                <w:szCs w:val="22"/>
                <w:lang w:eastAsia="ar-SA"/>
              </w:rPr>
              <w:t xml:space="preserve">5.5.2.4. Ketvirtas mokėjimas, kuris sudaro </w:t>
            </w:r>
            <w:r w:rsidRPr="000332E6">
              <w:rPr>
                <w:rFonts w:ascii="Arial" w:hAnsi="Arial" w:cs="Arial"/>
                <w:b/>
                <w:bCs/>
                <w:sz w:val="22"/>
                <w:szCs w:val="22"/>
                <w:lang w:eastAsia="ar-SA"/>
              </w:rPr>
              <w:t>20 proc.</w:t>
            </w:r>
            <w:r w:rsidRPr="000332E6">
              <w:rPr>
                <w:rFonts w:ascii="Arial" w:hAnsi="Arial" w:cs="Arial"/>
                <w:sz w:val="22"/>
                <w:szCs w:val="22"/>
                <w:lang w:eastAsia="ar-SA"/>
              </w:rPr>
              <w:t xml:space="preserve"> visos Specialiųjų sąlygų 5.2.3.1.1. punkte nurodytos  kainos, atliekamas Tiekėjui įvykdžius Paslaugas, nustatytas Techninės specifikacijos 6.9. ir 6.10. papunkčiuose“.</w:t>
            </w:r>
          </w:p>
          <w:p w14:paraId="79F8A457" w14:textId="77777777" w:rsidR="000332E6" w:rsidRPr="000332E6" w:rsidRDefault="000332E6" w:rsidP="000332E6">
            <w:pPr>
              <w:jc w:val="both"/>
              <w:rPr>
                <w:rFonts w:ascii="Arial" w:hAnsi="Arial" w:cs="Arial"/>
                <w:sz w:val="22"/>
                <w:szCs w:val="22"/>
                <w:lang w:eastAsia="ar-SA"/>
              </w:rPr>
            </w:pPr>
          </w:p>
          <w:p w14:paraId="52C59856" w14:textId="4EB584B7" w:rsidR="000332E6" w:rsidRPr="000332E6" w:rsidRDefault="000332E6" w:rsidP="000332E6">
            <w:pPr>
              <w:jc w:val="both"/>
              <w:rPr>
                <w:rFonts w:ascii="Arial" w:hAnsi="Arial" w:cs="Arial"/>
                <w:sz w:val="22"/>
                <w:szCs w:val="22"/>
                <w:lang w:eastAsia="ar-SA"/>
              </w:rPr>
            </w:pPr>
            <w:r w:rsidRPr="000332E6">
              <w:rPr>
                <w:rFonts w:ascii="Arial" w:hAnsi="Arial" w:cs="Arial"/>
                <w:sz w:val="22"/>
                <w:szCs w:val="22"/>
                <w:lang w:eastAsia="ar-SA"/>
              </w:rPr>
              <w:t>Informuojame, kad atitinkamai koreguojamas ir</w:t>
            </w:r>
            <w:r>
              <w:rPr>
                <w:rFonts w:ascii="Arial" w:hAnsi="Arial" w:cs="Arial"/>
                <w:sz w:val="22"/>
                <w:szCs w:val="22"/>
                <w:lang w:eastAsia="ar-SA"/>
              </w:rPr>
              <w:t xml:space="preserve"> sutarties</w:t>
            </w:r>
            <w:r w:rsidRPr="000332E6">
              <w:rPr>
                <w:rFonts w:ascii="Arial" w:hAnsi="Arial" w:cs="Arial"/>
                <w:sz w:val="22"/>
                <w:szCs w:val="22"/>
                <w:lang w:eastAsia="ar-SA"/>
              </w:rPr>
              <w:t xml:space="preserve"> specialiųjų sąlygų </w:t>
            </w:r>
            <w:r w:rsidRPr="000332E6">
              <w:rPr>
                <w:rFonts w:ascii="Arial" w:hAnsi="Arial" w:cs="Arial"/>
                <w:b/>
                <w:sz w:val="22"/>
                <w:szCs w:val="22"/>
                <w:lang w:eastAsia="ar-SA"/>
              </w:rPr>
              <w:t>4.5. p. „Pateikiami dokumentai“.</w:t>
            </w:r>
          </w:p>
          <w:p w14:paraId="01720977" w14:textId="77777777" w:rsidR="000332E6" w:rsidRPr="000332E6" w:rsidRDefault="000332E6" w:rsidP="000332E6">
            <w:pPr>
              <w:jc w:val="both"/>
              <w:rPr>
                <w:rFonts w:ascii="Arial" w:hAnsi="Arial" w:cs="Arial"/>
                <w:sz w:val="22"/>
                <w:szCs w:val="22"/>
                <w:lang w:eastAsia="ar-SA"/>
              </w:rPr>
            </w:pPr>
          </w:p>
          <w:p w14:paraId="0EE1D521" w14:textId="77777777" w:rsidR="000332E6" w:rsidRPr="000332E6" w:rsidRDefault="000332E6" w:rsidP="000332E6">
            <w:pPr>
              <w:jc w:val="both"/>
              <w:rPr>
                <w:rFonts w:ascii="Arial" w:hAnsi="Arial" w:cs="Arial"/>
                <w:sz w:val="22"/>
                <w:szCs w:val="22"/>
                <w:lang w:eastAsia="ar-SA"/>
              </w:rPr>
            </w:pPr>
            <w:r w:rsidRPr="000332E6">
              <w:rPr>
                <w:rFonts w:ascii="Arial" w:hAnsi="Arial" w:cs="Arial"/>
                <w:sz w:val="22"/>
                <w:szCs w:val="22"/>
                <w:lang w:eastAsia="ar-SA"/>
              </w:rPr>
              <w:t xml:space="preserve">Perkančioji organizacija pažymi, kad tuo atveju, jei Sutartis jos įgyvendinimo metu būtų nutraukta , su Tiekėju būtų atsiskaitoma už faktiškai iki Sutarties nutraukimo tinkamai suteiktas Paslaugas, nepaisant to, kad kažkuris iš Sutarties </w:t>
            </w:r>
            <w:r w:rsidRPr="000332E6">
              <w:rPr>
                <w:rFonts w:ascii="Arial" w:hAnsi="Arial" w:cs="Arial"/>
                <w:sz w:val="22"/>
                <w:szCs w:val="22"/>
                <w:lang w:val="en-US" w:eastAsia="ar-SA"/>
              </w:rPr>
              <w:t>5.5.</w:t>
            </w:r>
            <w:r w:rsidRPr="000332E6">
              <w:rPr>
                <w:rFonts w:ascii="Arial" w:hAnsi="Arial" w:cs="Arial"/>
                <w:sz w:val="22"/>
                <w:szCs w:val="22"/>
                <w:lang w:eastAsia="ar-SA"/>
              </w:rPr>
              <w:t xml:space="preserve"> punkte nurodytų etapų būtų neužbaigtas iki galo.</w:t>
            </w:r>
          </w:p>
          <w:p w14:paraId="2CBEBD37" w14:textId="77777777" w:rsidR="008736E3" w:rsidRPr="008B06A7" w:rsidRDefault="008736E3" w:rsidP="00BE21A5">
            <w:pPr>
              <w:jc w:val="both"/>
              <w:rPr>
                <w:rFonts w:ascii="Arial" w:hAnsi="Arial" w:cs="Arial"/>
                <w:sz w:val="22"/>
                <w:szCs w:val="22"/>
                <w:lang w:eastAsia="ar-SA"/>
              </w:rPr>
            </w:pPr>
          </w:p>
        </w:tc>
      </w:tr>
    </w:tbl>
    <w:p w14:paraId="7FE1C2B9" w14:textId="77777777" w:rsidR="009C6BFF" w:rsidRDefault="009C6BFF" w:rsidP="009C6BFF">
      <w:pPr>
        <w:pStyle w:val="Sraopastraipa"/>
        <w:jc w:val="both"/>
      </w:pPr>
    </w:p>
    <w:p w14:paraId="56AF0694" w14:textId="175FDC3D" w:rsidR="002D63FB" w:rsidRDefault="002D63FB" w:rsidP="00075DDE"/>
    <w:sectPr w:rsidR="002D63F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334F"/>
    <w:multiLevelType w:val="hybridMultilevel"/>
    <w:tmpl w:val="4B5449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5B43CD"/>
    <w:multiLevelType w:val="multilevel"/>
    <w:tmpl w:val="6186D692"/>
    <w:lvl w:ilvl="0">
      <w:start w:val="1"/>
      <w:numFmt w:val="decimal"/>
      <w:lvlText w:val="%1."/>
      <w:lvlJc w:val="left"/>
      <w:pPr>
        <w:ind w:left="720" w:hanging="360"/>
      </w:pPr>
      <w:rPr>
        <w:rFonts w:hint="default"/>
        <w:b/>
        <w:i w:val="0"/>
        <w:iCs w:val="0"/>
      </w:rPr>
    </w:lvl>
    <w:lvl w:ilvl="1">
      <w:start w:val="1"/>
      <w:numFmt w:val="decimal"/>
      <w:isLgl/>
      <w:lvlText w:val="%1.%2."/>
      <w:lvlJc w:val="left"/>
      <w:pPr>
        <w:ind w:left="1287" w:hanging="720"/>
      </w:pPr>
      <w:rPr>
        <w:rFonts w:hint="default"/>
        <w:b/>
        <w:bCs/>
        <w:i w:val="0"/>
        <w:i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306A079C"/>
    <w:multiLevelType w:val="hybridMultilevel"/>
    <w:tmpl w:val="388493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9699646">
    <w:abstractNumId w:val="0"/>
  </w:num>
  <w:num w:numId="2" w16cid:durableId="779833976">
    <w:abstractNumId w:val="2"/>
  </w:num>
  <w:num w:numId="3" w16cid:durableId="1412115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3FB"/>
    <w:rsid w:val="000332E6"/>
    <w:rsid w:val="00034B64"/>
    <w:rsid w:val="000613C6"/>
    <w:rsid w:val="00075DDE"/>
    <w:rsid w:val="00081EF6"/>
    <w:rsid w:val="00100142"/>
    <w:rsid w:val="0013616C"/>
    <w:rsid w:val="00152FBA"/>
    <w:rsid w:val="001A1DEB"/>
    <w:rsid w:val="001B50E2"/>
    <w:rsid w:val="002204FF"/>
    <w:rsid w:val="00242BE6"/>
    <w:rsid w:val="002A30DE"/>
    <w:rsid w:val="002B5932"/>
    <w:rsid w:val="002D63FB"/>
    <w:rsid w:val="00302962"/>
    <w:rsid w:val="0030629B"/>
    <w:rsid w:val="00306C46"/>
    <w:rsid w:val="00341064"/>
    <w:rsid w:val="00343BF0"/>
    <w:rsid w:val="003669F1"/>
    <w:rsid w:val="003D3B7B"/>
    <w:rsid w:val="00414A9E"/>
    <w:rsid w:val="004662C3"/>
    <w:rsid w:val="004B0926"/>
    <w:rsid w:val="004E21D0"/>
    <w:rsid w:val="005226EA"/>
    <w:rsid w:val="00527384"/>
    <w:rsid w:val="00537FEC"/>
    <w:rsid w:val="00550231"/>
    <w:rsid w:val="00570104"/>
    <w:rsid w:val="0058753A"/>
    <w:rsid w:val="005E299E"/>
    <w:rsid w:val="0068422F"/>
    <w:rsid w:val="006C2F43"/>
    <w:rsid w:val="006E5477"/>
    <w:rsid w:val="00711A89"/>
    <w:rsid w:val="00807ABB"/>
    <w:rsid w:val="008324F6"/>
    <w:rsid w:val="008431E7"/>
    <w:rsid w:val="008736E3"/>
    <w:rsid w:val="00875906"/>
    <w:rsid w:val="00886273"/>
    <w:rsid w:val="008A0AF5"/>
    <w:rsid w:val="008A4004"/>
    <w:rsid w:val="008B06A7"/>
    <w:rsid w:val="008E485C"/>
    <w:rsid w:val="00924700"/>
    <w:rsid w:val="0092678E"/>
    <w:rsid w:val="00954B17"/>
    <w:rsid w:val="009C6BFF"/>
    <w:rsid w:val="009D7CC2"/>
    <w:rsid w:val="00A337AC"/>
    <w:rsid w:val="00A731EB"/>
    <w:rsid w:val="00A77C8E"/>
    <w:rsid w:val="00AA21F6"/>
    <w:rsid w:val="00AD0F0C"/>
    <w:rsid w:val="00B027E5"/>
    <w:rsid w:val="00B84B59"/>
    <w:rsid w:val="00C113D5"/>
    <w:rsid w:val="00C65EB9"/>
    <w:rsid w:val="00CB2B18"/>
    <w:rsid w:val="00CB4AF2"/>
    <w:rsid w:val="00D44495"/>
    <w:rsid w:val="00D73A11"/>
    <w:rsid w:val="00D95A80"/>
    <w:rsid w:val="00DE122D"/>
    <w:rsid w:val="00E10C1F"/>
    <w:rsid w:val="00E50C61"/>
    <w:rsid w:val="00E66330"/>
    <w:rsid w:val="00E96476"/>
    <w:rsid w:val="00F75F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DE678"/>
  <w15:chartTrackingRefBased/>
  <w15:docId w15:val="{C4D2ACAB-D2A5-4AA2-BB58-A9B70824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D6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D6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D63F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D63F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D63F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D63F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D63F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D63F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D63F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D63F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D63F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D63F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D63F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D63F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D63F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D63F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D63F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D63F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D6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D63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D63F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D63F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D63F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D63FB"/>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ist Paragraph 1,LP"/>
    <w:basedOn w:val="prastasis"/>
    <w:link w:val="SraopastraipaDiagrama"/>
    <w:uiPriority w:val="34"/>
    <w:qFormat/>
    <w:rsid w:val="002D63FB"/>
    <w:pPr>
      <w:ind w:left="720"/>
      <w:contextualSpacing/>
    </w:pPr>
  </w:style>
  <w:style w:type="character" w:styleId="Rykuspabraukimas">
    <w:name w:val="Intense Emphasis"/>
    <w:basedOn w:val="Numatytasispastraiposriftas"/>
    <w:uiPriority w:val="21"/>
    <w:qFormat/>
    <w:rsid w:val="002D63FB"/>
    <w:rPr>
      <w:i/>
      <w:iCs/>
      <w:color w:val="0F4761" w:themeColor="accent1" w:themeShade="BF"/>
    </w:rPr>
  </w:style>
  <w:style w:type="paragraph" w:styleId="Iskirtacitata">
    <w:name w:val="Intense Quote"/>
    <w:basedOn w:val="prastasis"/>
    <w:next w:val="prastasis"/>
    <w:link w:val="IskirtacitataDiagrama"/>
    <w:uiPriority w:val="30"/>
    <w:qFormat/>
    <w:rsid w:val="002D6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D63FB"/>
    <w:rPr>
      <w:i/>
      <w:iCs/>
      <w:color w:val="0F4761" w:themeColor="accent1" w:themeShade="BF"/>
    </w:rPr>
  </w:style>
  <w:style w:type="character" w:styleId="Rykinuoroda">
    <w:name w:val="Intense Reference"/>
    <w:basedOn w:val="Numatytasispastraiposriftas"/>
    <w:uiPriority w:val="32"/>
    <w:qFormat/>
    <w:rsid w:val="002D63FB"/>
    <w:rPr>
      <w:b/>
      <w:bCs/>
      <w:smallCaps/>
      <w:color w:val="0F4761" w:themeColor="accent1" w:themeShade="BF"/>
      <w:spacing w:val="5"/>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rsid w:val="004B0926"/>
  </w:style>
  <w:style w:type="paragraph" w:customStyle="1" w:styleId="Default">
    <w:name w:val="Default"/>
    <w:rsid w:val="00C65EB9"/>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14:textOutline w14:w="0" w14:cap="flat" w14:cmpd="sng" w14:algn="ctr">
        <w14:noFill/>
        <w14:prstDash w14:val="solid"/>
        <w14:bevel/>
      </w14:textOutline>
      <w14:ligatures w14:val="none"/>
    </w:rPr>
  </w:style>
  <w:style w:type="table" w:styleId="Lentelstinklelis">
    <w:name w:val="Table Grid"/>
    <w:basedOn w:val="prastojilentel"/>
    <w:uiPriority w:val="39"/>
    <w:rsid w:val="004E21D0"/>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6387">
      <w:bodyDiv w:val="1"/>
      <w:marLeft w:val="0"/>
      <w:marRight w:val="0"/>
      <w:marTop w:val="0"/>
      <w:marBottom w:val="0"/>
      <w:divBdr>
        <w:top w:val="none" w:sz="0" w:space="0" w:color="auto"/>
        <w:left w:val="none" w:sz="0" w:space="0" w:color="auto"/>
        <w:bottom w:val="none" w:sz="0" w:space="0" w:color="auto"/>
        <w:right w:val="none" w:sz="0" w:space="0" w:color="auto"/>
      </w:divBdr>
    </w:div>
    <w:div w:id="247274699">
      <w:bodyDiv w:val="1"/>
      <w:marLeft w:val="0"/>
      <w:marRight w:val="0"/>
      <w:marTop w:val="0"/>
      <w:marBottom w:val="0"/>
      <w:divBdr>
        <w:top w:val="none" w:sz="0" w:space="0" w:color="auto"/>
        <w:left w:val="none" w:sz="0" w:space="0" w:color="auto"/>
        <w:bottom w:val="none" w:sz="0" w:space="0" w:color="auto"/>
        <w:right w:val="none" w:sz="0" w:space="0" w:color="auto"/>
      </w:divBdr>
    </w:div>
    <w:div w:id="690956392">
      <w:bodyDiv w:val="1"/>
      <w:marLeft w:val="0"/>
      <w:marRight w:val="0"/>
      <w:marTop w:val="0"/>
      <w:marBottom w:val="0"/>
      <w:divBdr>
        <w:top w:val="none" w:sz="0" w:space="0" w:color="auto"/>
        <w:left w:val="none" w:sz="0" w:space="0" w:color="auto"/>
        <w:bottom w:val="none" w:sz="0" w:space="0" w:color="auto"/>
        <w:right w:val="none" w:sz="0" w:space="0" w:color="auto"/>
      </w:divBdr>
    </w:div>
    <w:div w:id="1322393900">
      <w:bodyDiv w:val="1"/>
      <w:marLeft w:val="0"/>
      <w:marRight w:val="0"/>
      <w:marTop w:val="0"/>
      <w:marBottom w:val="0"/>
      <w:divBdr>
        <w:top w:val="none" w:sz="0" w:space="0" w:color="auto"/>
        <w:left w:val="none" w:sz="0" w:space="0" w:color="auto"/>
        <w:bottom w:val="none" w:sz="0" w:space="0" w:color="auto"/>
        <w:right w:val="none" w:sz="0" w:space="0" w:color="auto"/>
      </w:divBdr>
    </w:div>
    <w:div w:id="188825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8d8fdb-cbd1-4bf9-85d9-1b56c2a9afae">
      <Terms xmlns="http://schemas.microsoft.com/office/infopath/2007/PartnerControls"/>
    </lcf76f155ced4ddcb4097134ff3c332f>
    <Projektai xmlns="948d8fdb-cbd1-4bf9-85d9-1b56c2a9afae" xsi:nil="true"/>
    <TaxCatchAll xmlns="2945cdf4-c922-4f1d-a4b6-d6a562696c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1901a1562b02863933efd9f38d6cac15">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935e9365e7b3a3d882e6763c22db9fe7"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4E41E-131D-479A-B1C2-A177F153BC3C}">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customXml/itemProps2.xml><?xml version="1.0" encoding="utf-8"?>
<ds:datastoreItem xmlns:ds="http://schemas.openxmlformats.org/officeDocument/2006/customXml" ds:itemID="{907D955F-E777-4BE2-9271-CAF5DB756091}">
  <ds:schemaRefs>
    <ds:schemaRef ds:uri="http://schemas.microsoft.com/sharepoint/v3/contenttype/forms"/>
  </ds:schemaRefs>
</ds:datastoreItem>
</file>

<file path=customXml/itemProps3.xml><?xml version="1.0" encoding="utf-8"?>
<ds:datastoreItem xmlns:ds="http://schemas.openxmlformats.org/officeDocument/2006/customXml" ds:itemID="{890C8D1A-4BB3-45BE-9036-493A34CE0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6724</Words>
  <Characters>3833</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Vanagė, Žiedūnė</dc:creator>
  <cp:keywords/>
  <dc:description/>
  <cp:lastModifiedBy>Loreta Bereišytė</cp:lastModifiedBy>
  <cp:revision>3</cp:revision>
  <dcterms:created xsi:type="dcterms:W3CDTF">2026-02-25T11:21:00Z</dcterms:created>
  <dcterms:modified xsi:type="dcterms:W3CDTF">2026-02-25T13:55:00Z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2026-02-06T10:02:00Z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4a8977a5-f54f-401e-afc4-3ce95d7902c8</vt:lpwstr>
  </property>
  <property fmtid="{D5CDD505-2E9C-101B-9397-08002B2CF9AE}" pid="8" name="MSIP_Label_43f08ec5-d6d9-4227-8387-ccbfcb3632c4_ContentBits">
    <vt:lpwstr>0</vt:lpwstr>
  </property>
  <property fmtid="{D5CDD505-2E9C-101B-9397-08002B2CF9AE}" pid="9" name="MSIP_Label_43f08ec5-d6d9-4227-8387-ccbfcb3632c4_Tag">
    <vt:lpwstr>10, 3, 0, 1</vt:lpwstr>
  </property>
  <property fmtid="{D5CDD505-2E9C-101B-9397-08002B2CF9AE}" pid="10" name="ContentTypeId">
    <vt:lpwstr>0x01010051FF42B1FF6B5148ADE8E0D9C224EFE5</vt:lpwstr>
  </property>
  <property fmtid="{D5CDD505-2E9C-101B-9397-08002B2CF9AE}" pid="11" name="MediaServiceImageTags">
    <vt:lpwstr/>
  </property>
</Properties>
</file>