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emf" ContentType="image/x-emf"/>
  <Default Extension="wmf" ContentType="image/x-wmf"/>
  <Default Extension="gif" ContentType="image/gif"/>
  <Default Extension="ico" ContentType="image/x-icon"/>
  <Default Extension="tif" ContentType="image/tiff"/>
  <Default Extension="tiff" ContentType="image/tiff"/>
  <Default Extension="jpeg" ContentType="image/jpeg"/>
  <Default Extension="jpg" ContentType="image/jpeg"/>
  <Default Extension="svg" ContentType="image/svg+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3.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8"/>
      </w:tblGrid>
      <w:tr>
        <w:trPr>
          <w:trHeight w:val="416" w:hRule="atLeast"/>
        </w:trPr>
        <w:tc>
          <w:tcPr>
            <w:tcW w:type="dxa" w:w="9628"/>
            <w:tcBorders/>
            <w:shd w:fill="005063" w:color="auto" w:val="clear"/>
            <w:vAlign w:val="center"/>
          </w:tcPr>
          <w:p>
            <w:pPr>
              <w:spacing/>
              <w:jc w:val="left"/>
              <w:rPr>
                <w:rFonts w:ascii="Arial Narrow" w:hAnsi="Arial Narrow"/>
                <w:b/>
                <w:caps/>
                <w:color w:val="FFFFFF"/>
                <w:sz w:val="20"/>
                <w:szCs w:val="16"/>
              </w:rPr>
            </w:pPr>
            <w:bookmarkStart w:id="2" w:name="_Hlk80274242"/>
            <w:r>
              <w:rPr>
                <w:rFonts w:ascii="Arial Narrow" w:hAnsi="Arial Narrow"/>
                <w:b/>
                <w:caps/>
                <w:color w:val="FFFFFF"/>
                <w:sz w:val="20"/>
                <w:szCs w:val="16"/>
              </w:rPr>
              <w:t xml:space="preserve">1</w:t>
            </w:r>
            <w:r>
              <w:rPr>
                <w:rFonts w:ascii="Arial Narrow" w:hAnsi="Arial Narrow"/>
                <w:b/>
                <w:caps/>
                <w:color w:val="FFFFFF"/>
                <w:sz w:val="20"/>
                <w:szCs w:val="16"/>
              </w:rPr>
              <w:t xml:space="preserve">. PIRKIMO OBJEKTAS</w:t>
            </w:r>
          </w:p>
        </w:tc>
      </w:tr>
      <w:bookmarkEnd w:id="2"/>
    </w:tbl>
    <w:p w14:paraId="1137ACEB">
      <w:pPr>
        <w:spacing/>
        <w:jc w:val="left"/>
        <w:rPr>
          <w:rFonts w:ascii="Arial Narrow" w:hAnsi="Arial Narrow"/>
          <w:b/>
          <w:caps/>
        </w:rPr>
      </w:pPr>
    </w:p>
    <w:p w14:paraId="76C95EA4">
      <w:pPr>
        <w:pStyle w:val="Bodytext20"/>
        <w:numPr>
          <w:ilvl w:val="1"/>
          <w:numId w:val="20"/>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Pavadinimas:</w:t>
      </w:r>
    </w:p>
    <w:p w14:paraId="58055644">
      <w:pPr>
        <w:pStyle w:val="Bodytext20"/>
        <w:shd w:val="clear" w:color="auto" w:fill="auto"/>
        <w:tabs>
          <w:tab w:val="left" w:pos="0"/>
        </w:tabs>
        <w:spacing w:line="240" w:lineRule="auto"/>
        <w:ind w:right="55" w:firstLine="0"/>
        <w:jc w:val="both"/>
        <w:rPr>
          <w:rFonts w:ascii="Arial Narrow" w:hAnsi="Arial Narrow"/>
          <w:i w:val="0"/>
          <w:iCs w:val="0"/>
          <w:sz w:val="20"/>
          <w:szCs w:val="20"/>
        </w:rPr>
      </w:pPr>
    </w:p>
    <w:p w14:paraId="567BFC6D">
      <w:pPr>
        <w:spacing/>
        <w:rPr>
          <w:rFonts w:ascii="Arial Narrow" w:hAnsi="Arial Narrow"/>
          <w:b/>
          <w:bCs/>
          <w:i/>
          <w:iCs/>
          <w:sz w:val="20"/>
        </w:rPr>
      </w:pPr>
      <w:r>
        <w:rPr>
          <w:rFonts w:ascii="Arial Narrow" w:hAnsi="Arial Narrow" w:eastAsiaTheme="minorHAnsi"/>
          <w:b/>
          <w:bCs/>
          <w:sz w:val="20"/>
        </w:rPr>
        <w:t xml:space="preserve">Valstybinės </w:t>
      </w:r>
      <w:r>
        <w:rPr>
          <w:rFonts w:ascii="Arial Narrow" w:hAnsi="Arial Narrow" w:eastAsiaTheme="minorHAnsi"/>
          <w:b/>
          <w:bCs/>
          <w:sz w:val="20"/>
        </w:rPr>
        <w:t xml:space="preserve">reikšmės </w:t>
      </w:r>
      <w:r>
        <w:rPr>
          <w:rFonts w:ascii="Arial Narrow" w:hAnsi="Arial Narrow" w:eastAsiaTheme="minorHAnsi"/>
          <w:b/>
          <w:bCs/>
          <w:sz w:val="20"/>
        </w:rPr>
        <w:t xml:space="preserve">r</w:t>
      </w:r>
      <w:r>
        <w:rPr>
          <w:rFonts w:ascii="Arial Narrow" w:hAnsi="Arial Narrow" w:eastAsiaTheme="minorHAnsi"/>
          <w:b/>
          <w:bCs/>
          <w:sz w:val="20"/>
        </w:rPr>
        <w:t xml:space="preserve">ajoninio kelio Nr. 1809 Kaišiadorys–Žasliai ruožo nuo 6,08 iki 7,214 km</w:t>
      </w:r>
      <w:r>
        <w:rPr>
          <w:rFonts w:ascii="Arial Narrow" w:hAnsi="Arial Narrow" w:eastAsiaTheme="minorHAnsi"/>
          <w:b/>
          <w:bCs/>
          <w:sz w:val="20"/>
        </w:rPr>
        <w:t xml:space="preserve"> </w:t>
      </w:r>
      <w:r>
        <w:rPr>
          <w:rFonts w:ascii="Arial Narrow" w:hAnsi="Arial Narrow" w:eastAsiaTheme="minorHAnsi"/>
          <w:b/>
          <w:bCs/>
          <w:sz w:val="20"/>
        </w:rPr>
        <w:t xml:space="preserve">paprastojo remonto aprašo parengimas ir darbų atlikimas</w:t>
      </w:r>
      <w:r>
        <w:rPr>
          <w:rFonts w:ascii="Arial Narrow" w:hAnsi="Arial Narrow"/>
          <w:b/>
          <w:bCs/>
          <w:sz w:val="20"/>
        </w:rPr>
        <w:t xml:space="preserve">.</w:t>
      </w:r>
    </w:p>
    <w:p w14:paraId="293B58CF">
      <w:pPr>
        <w:pStyle w:val="Bodytext20"/>
        <w:shd w:val="clear" w:color="auto" w:fill="auto"/>
        <w:tabs>
          <w:tab w:val="left" w:pos="0"/>
        </w:tabs>
        <w:spacing w:line="240" w:lineRule="auto"/>
        <w:ind w:left="360" w:right="55" w:firstLine="0"/>
        <w:jc w:val="both"/>
        <w:rPr>
          <w:rFonts w:ascii="Arial Narrow" w:hAnsi="Arial Narrow"/>
          <w:i w:val="0"/>
          <w:iCs w:val="0"/>
          <w:sz w:val="20"/>
          <w:szCs w:val="20"/>
        </w:rPr>
      </w:pPr>
    </w:p>
    <w:p w14:paraId="589AB564">
      <w:pPr>
        <w:pStyle w:val="Bodytext20"/>
        <w:numPr>
          <w:ilvl w:val="1"/>
          <w:numId w:val="20"/>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Remontuojamo objekto duomenys:</w:t>
      </w:r>
    </w:p>
    <w:p w14:paraId="733A0710">
      <w:pPr>
        <w:pStyle w:val="Bodytext20"/>
        <w:shd w:val="clear" w:color="auto" w:fill="auto"/>
        <w:tabs>
          <w:tab w:val="left" w:pos="0"/>
        </w:tabs>
        <w:spacing w:line="240" w:lineRule="auto"/>
        <w:ind w:left="360" w:right="55" w:firstLine="0"/>
        <w:jc w:val="both"/>
        <w:rPr>
          <w:rFonts w:ascii="Arial Narrow" w:hAnsi="Arial Narrow"/>
          <w:i w:val="0"/>
          <w:iCs w:val="0"/>
          <w:sz w:val="20"/>
          <w:szCs w:val="20"/>
        </w:rPr>
      </w:pPr>
    </w:p>
    <w:tbl>
      <w:tblPr>
        <w:tblStyle w:val="Lentelstinklelis1"/>
        <w:tblW w:w="8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559"/>
        <w:gridCol w:w="992"/>
        <w:gridCol w:w="992"/>
        <w:gridCol w:w="993"/>
        <w:gridCol w:w="992"/>
        <w:gridCol w:w="1417"/>
        <w:gridCol w:w="1418"/>
      </w:tblGrid>
      <w:tr>
        <w:trPr>
          <w:jc w:val="center"/>
        </w:trPr>
        <w:tc>
          <w:tcPr>
            <w:tcW w:type="dxa" w:w="1559"/>
            <w:tcBorders/>
            <w:shd w:fill="005063" w:color="auto" w:val="clear"/>
            <w:vAlign w:val="center"/>
          </w:tcPr>
          <w:p>
            <w:pPr>
              <w:spacing/>
              <w:jc w:val="center"/>
              <w:rPr>
                <w:rFonts w:ascii="Arial Narrow" w:hAnsi="Arial Narrow" w:eastAsiaTheme="minorHAnsi"/>
                <w:b/>
                <w:bCs/>
                <w:sz w:val="20"/>
                <w:lang w:eastAsia="en-US"/>
              </w:rPr>
            </w:pPr>
          </w:p>
          <w:p>
            <w:pPr>
              <w:spacing/>
              <w:jc w:val="center"/>
              <w:rPr>
                <w:rFonts w:ascii="Arial Narrow" w:hAnsi="Arial Narrow" w:eastAsiaTheme="minorHAnsi"/>
                <w:b/>
                <w:bCs/>
                <w:sz w:val="20"/>
                <w:lang w:eastAsia="en-US"/>
              </w:rPr>
            </w:pPr>
            <w:r>
              <w:rPr>
                <w:rFonts w:ascii="Arial Narrow" w:hAnsi="Arial Narrow" w:eastAsiaTheme="minorHAnsi"/>
                <w:b/>
                <w:bCs/>
                <w:sz w:val="20"/>
                <w:lang w:eastAsia="en-US"/>
              </w:rPr>
              <w:t xml:space="preserve">Ruožas</w:t>
            </w:r>
          </w:p>
          <w:p>
            <w:pPr>
              <w:spacing/>
              <w:jc w:val="left"/>
              <w:rPr>
                <w:rFonts w:ascii="Arial Narrow" w:hAnsi="Arial Narrow" w:eastAsiaTheme="minorHAnsi"/>
                <w:b/>
                <w:bCs/>
                <w:sz w:val="20"/>
                <w:lang w:eastAsia="en-US"/>
              </w:rPr>
            </w:pPr>
          </w:p>
        </w:tc>
        <w:tc>
          <w:tcPr>
            <w:tcW w:type="dxa" w:w="1984"/>
            <w:gridSpan w:val="2"/>
            <w:tcBorders/>
            <w:shd w:fill="005063" w:color="auto" w:val="clear"/>
            <w:vAlign w:val="center"/>
          </w:tcPr>
          <w:p>
            <w:pPr>
              <w:spacing/>
              <w:jc w:val="center"/>
              <w:rPr>
                <w:rFonts w:ascii="Arial Narrow" w:hAnsi="Arial Narrow" w:eastAsiaTheme="minorHAnsi"/>
                <w:b/>
                <w:bCs/>
                <w:sz w:val="20"/>
                <w:lang w:eastAsia="en-US"/>
              </w:rPr>
            </w:pPr>
            <w:r>
              <w:rPr>
                <w:rFonts w:ascii="Arial Narrow" w:hAnsi="Arial Narrow" w:eastAsiaTheme="minorHAnsi"/>
                <w:b/>
                <w:bCs/>
                <w:sz w:val="20"/>
                <w:lang w:eastAsia="en-US"/>
              </w:rPr>
              <w:t xml:space="preserve">Ruožo pradžios koordinatės</w:t>
            </w:r>
          </w:p>
          <w:p>
            <w:pPr>
              <w:spacing/>
              <w:jc w:val="center"/>
              <w:rPr>
                <w:rFonts w:ascii="Arial Narrow" w:hAnsi="Arial Narrow" w:eastAsiaTheme="minorHAnsi"/>
                <w:b/>
                <w:bCs/>
                <w:sz w:val="20"/>
                <w:lang w:eastAsia="en-US"/>
              </w:rPr>
            </w:pPr>
            <w:r>
              <w:rPr>
                <w:rFonts w:ascii="Arial Narrow" w:hAnsi="Arial Narrow" w:eastAsiaTheme="minorHAnsi"/>
                <w:b/>
                <w:bCs/>
                <w:sz w:val="20"/>
                <w:lang w:eastAsia="en-US"/>
              </w:rPr>
              <w:t xml:space="preserve">LKS-94</w:t>
            </w:r>
          </w:p>
        </w:tc>
        <w:tc>
          <w:tcPr>
            <w:tcW w:type="dxa" w:w="1985"/>
            <w:gridSpan w:val="2"/>
            <w:tcBorders/>
            <w:shd w:fill="005063" w:color="auto" w:val="clear"/>
            <w:vAlign w:val="center"/>
          </w:tcPr>
          <w:p>
            <w:pPr>
              <w:spacing/>
              <w:jc w:val="center"/>
              <w:rPr>
                <w:rFonts w:ascii="Arial Narrow" w:hAnsi="Arial Narrow" w:eastAsiaTheme="minorHAnsi"/>
                <w:b/>
                <w:bCs/>
                <w:sz w:val="20"/>
                <w:lang w:eastAsia="en-US"/>
              </w:rPr>
            </w:pPr>
            <w:r>
              <w:rPr>
                <w:rFonts w:ascii="Arial Narrow" w:hAnsi="Arial Narrow" w:eastAsiaTheme="minorHAnsi"/>
                <w:b/>
                <w:bCs/>
                <w:sz w:val="20"/>
                <w:lang w:eastAsia="en-US"/>
              </w:rPr>
              <w:t xml:space="preserve">Ruožo pabaigos koordinatės</w:t>
            </w:r>
          </w:p>
          <w:p>
            <w:pPr>
              <w:spacing/>
              <w:jc w:val="center"/>
              <w:rPr>
                <w:rFonts w:ascii="Arial Narrow" w:hAnsi="Arial Narrow" w:eastAsiaTheme="minorHAnsi"/>
                <w:b/>
                <w:bCs/>
                <w:sz w:val="20"/>
                <w:lang w:eastAsia="en-US"/>
              </w:rPr>
            </w:pPr>
            <w:r>
              <w:rPr>
                <w:rFonts w:ascii="Arial Narrow" w:hAnsi="Arial Narrow" w:eastAsiaTheme="minorHAnsi"/>
                <w:b/>
                <w:bCs/>
                <w:sz w:val="20"/>
                <w:lang w:eastAsia="en-US"/>
              </w:rPr>
              <w:t xml:space="preserve">LKS-94</w:t>
            </w:r>
          </w:p>
        </w:tc>
        <w:tc>
          <w:tcPr>
            <w:tcW w:type="dxa" w:w="1417"/>
            <w:tcBorders/>
            <w:shd w:fill="005063" w:color="auto" w:val="clear"/>
            <w:vAlign w:val="center"/>
          </w:tcPr>
          <w:p>
            <w:pPr>
              <w:spacing/>
              <w:jc w:val="center"/>
              <w:rPr>
                <w:rFonts w:ascii="Arial Narrow" w:hAnsi="Arial Narrow" w:eastAsiaTheme="minorHAnsi"/>
                <w:b/>
                <w:bCs/>
                <w:sz w:val="20"/>
                <w:lang w:eastAsia="en-US"/>
              </w:rPr>
            </w:pPr>
            <w:r>
              <w:rPr>
                <w:rFonts w:ascii="Arial Narrow" w:hAnsi="Arial Narrow" w:eastAsiaTheme="minorHAnsi"/>
                <w:b/>
                <w:bCs/>
                <w:sz w:val="20"/>
                <w:lang w:eastAsia="en-US"/>
              </w:rPr>
              <w:t xml:space="preserve">Vidutinis metinis paros eismo intensyvumas,</w:t>
            </w:r>
          </w:p>
          <w:p>
            <w:pPr>
              <w:spacing/>
              <w:jc w:val="center"/>
              <w:rPr>
                <w:rFonts w:ascii="Arial Narrow" w:hAnsi="Arial Narrow" w:eastAsiaTheme="minorHAnsi"/>
                <w:b/>
                <w:bCs/>
                <w:sz w:val="20"/>
                <w:lang w:eastAsia="en-US"/>
              </w:rPr>
            </w:pPr>
            <w:r>
              <w:rPr>
                <w:rFonts w:ascii="Arial Narrow" w:hAnsi="Arial Narrow" w:eastAsiaTheme="minorHAnsi"/>
                <w:b/>
                <w:bCs/>
                <w:sz w:val="20"/>
                <w:lang w:eastAsia="en-US"/>
              </w:rPr>
              <w:t xml:space="preserve">aut./parą</w:t>
            </w:r>
          </w:p>
        </w:tc>
        <w:tc>
          <w:tcPr>
            <w:tcW w:type="dxa" w:w="1418"/>
            <w:tcBorders/>
            <w:shd w:fill="005063" w:color="auto" w:val="clear"/>
            <w:vAlign w:val="center"/>
          </w:tcPr>
          <w:p>
            <w:pPr>
              <w:spacing/>
              <w:jc w:val="center"/>
              <w:rPr>
                <w:rFonts w:ascii="Arial Narrow" w:hAnsi="Arial Narrow" w:eastAsiaTheme="minorHAnsi"/>
                <w:b/>
                <w:bCs/>
                <w:sz w:val="20"/>
                <w:lang w:eastAsia="en-US"/>
              </w:rPr>
            </w:pPr>
            <w:r>
              <w:rPr>
                <w:rFonts w:ascii="Arial Narrow" w:hAnsi="Arial Narrow" w:eastAsiaTheme="minorHAnsi"/>
                <w:b/>
                <w:bCs/>
                <w:sz w:val="20"/>
                <w:lang w:eastAsia="en-US"/>
              </w:rPr>
              <w:t xml:space="preserve">Vidutinis metinis sunkiasvorio transporto eismo intensyvumas,</w:t>
            </w:r>
          </w:p>
          <w:p>
            <w:pPr>
              <w:spacing/>
              <w:jc w:val="center"/>
              <w:rPr>
                <w:rFonts w:ascii="Arial Narrow" w:hAnsi="Arial Narrow" w:eastAsiaTheme="minorHAnsi"/>
                <w:b/>
                <w:bCs/>
                <w:sz w:val="20"/>
                <w:lang w:eastAsia="en-US"/>
              </w:rPr>
            </w:pPr>
            <w:r>
              <w:rPr>
                <w:rFonts w:ascii="Arial Narrow" w:hAnsi="Arial Narrow" w:eastAsiaTheme="minorHAnsi"/>
                <w:b/>
                <w:bCs/>
                <w:sz w:val="20"/>
                <w:lang w:eastAsia="en-US"/>
              </w:rPr>
              <w:t xml:space="preserve">aut./parą</w:t>
            </w:r>
          </w:p>
        </w:tc>
      </w:tr>
      <w:tr>
        <w:trPr>
          <w:jc w:val="center"/>
        </w:trPr>
        <w:tc>
          <w:tcPr>
            <w:tcW w:type="dxa" w:w="1559"/>
            <w:vMerge w:val="restart"/>
            <w:tcBorders/>
            <w:vAlign w:val="center"/>
          </w:tcPr>
          <w:p>
            <w:pPr>
              <w:spacing/>
              <w:ind w:left="-113"/>
              <w:jc w:val="center"/>
              <w:rPr>
                <w:rFonts w:ascii="Arial Narrow" w:hAnsi="Arial Narrow" w:eastAsiaTheme="minorHAnsi"/>
                <w:color w:val="FF0000"/>
                <w:sz w:val="20"/>
                <w:lang w:eastAsia="en-US"/>
              </w:rPr>
            </w:pPr>
            <w:r>
              <w:rPr>
                <w:rFonts w:ascii="Arial Narrow" w:hAnsi="Arial Narrow" w:eastAsiaTheme="minorHAnsi"/>
                <w:color w:val="000000"/>
                <w:sz w:val="20"/>
              </w:rPr>
              <w:t xml:space="preserve">nuo 6,08 iki 7,214 km</w:t>
            </w:r>
          </w:p>
        </w:tc>
        <w:tc>
          <w:tcPr>
            <w:tcW w:type="dxa" w:w="992"/>
            <w:tcBorders/>
            <w:vAlign w:val="center"/>
          </w:tcPr>
          <w:p>
            <w:pPr>
              <w:spacing/>
              <w:jc w:val="center"/>
              <w:rPr>
                <w:rFonts w:ascii="Arial Narrow" w:hAnsi="Arial Narrow" w:eastAsiaTheme="minorHAnsi"/>
                <w:color w:val="000000"/>
                <w:sz w:val="20"/>
                <w:lang w:eastAsia="en-US"/>
              </w:rPr>
            </w:pPr>
            <w:r>
              <w:rPr>
                <w:rFonts w:ascii="Arial Narrow" w:hAnsi="Arial Narrow" w:eastAsiaTheme="minorHAnsi"/>
                <w:color w:val="000000"/>
                <w:sz w:val="20"/>
                <w:lang w:eastAsia="en-US"/>
              </w:rPr>
              <w:t xml:space="preserve">x</w:t>
            </w:r>
          </w:p>
        </w:tc>
        <w:tc>
          <w:tcPr>
            <w:tcW w:type="dxa" w:w="992"/>
            <w:tcBorders/>
            <w:vAlign w:val="center"/>
          </w:tcPr>
          <w:p>
            <w:pPr>
              <w:spacing/>
              <w:jc w:val="center"/>
              <w:rPr>
                <w:rFonts w:ascii="Arial Narrow" w:hAnsi="Arial Narrow" w:eastAsiaTheme="minorHAnsi"/>
                <w:color w:val="000000"/>
                <w:sz w:val="20"/>
                <w:lang w:eastAsia="en-US"/>
              </w:rPr>
            </w:pPr>
            <w:r>
              <w:rPr>
                <w:rFonts w:ascii="Arial Narrow" w:hAnsi="Arial Narrow" w:eastAsiaTheme="minorHAnsi"/>
                <w:color w:val="000000"/>
                <w:sz w:val="20"/>
                <w:lang w:eastAsia="en-US"/>
              </w:rPr>
              <w:t xml:space="preserve">y</w:t>
            </w:r>
          </w:p>
        </w:tc>
        <w:tc>
          <w:tcPr>
            <w:tcW w:type="dxa" w:w="993"/>
            <w:tcBorders/>
            <w:vAlign w:val="center"/>
          </w:tcPr>
          <w:p>
            <w:pPr>
              <w:spacing/>
              <w:jc w:val="center"/>
              <w:rPr>
                <w:rFonts w:ascii="Arial Narrow" w:hAnsi="Arial Narrow" w:eastAsiaTheme="minorHAnsi"/>
                <w:color w:val="000000"/>
                <w:sz w:val="20"/>
                <w:lang w:eastAsia="en-US"/>
              </w:rPr>
            </w:pPr>
            <w:r>
              <w:rPr>
                <w:rFonts w:ascii="Arial Narrow" w:hAnsi="Arial Narrow" w:eastAsiaTheme="minorHAnsi"/>
                <w:color w:val="000000"/>
                <w:sz w:val="20"/>
                <w:lang w:eastAsia="en-US"/>
              </w:rPr>
              <w:t xml:space="preserve">x</w:t>
            </w:r>
          </w:p>
        </w:tc>
        <w:tc>
          <w:tcPr>
            <w:tcW w:type="dxa" w:w="992"/>
            <w:tcBorders/>
            <w:vAlign w:val="center"/>
          </w:tcPr>
          <w:p>
            <w:pPr>
              <w:spacing/>
              <w:jc w:val="center"/>
              <w:rPr>
                <w:rFonts w:ascii="Arial Narrow" w:hAnsi="Arial Narrow" w:eastAsiaTheme="minorHAnsi"/>
                <w:color w:val="000000"/>
                <w:sz w:val="20"/>
                <w:lang w:eastAsia="en-US"/>
              </w:rPr>
            </w:pPr>
            <w:r>
              <w:rPr>
                <w:rFonts w:ascii="Arial Narrow" w:hAnsi="Arial Narrow" w:eastAsiaTheme="minorHAnsi"/>
                <w:color w:val="000000"/>
                <w:sz w:val="20"/>
                <w:lang w:eastAsia="en-US"/>
              </w:rPr>
              <w:t xml:space="preserve">y</w:t>
            </w:r>
          </w:p>
        </w:tc>
        <w:tc>
          <w:tcPr>
            <w:tcW w:type="dxa" w:w="1417"/>
            <w:vMerge w:val="restart"/>
            <w:tcBorders/>
            <w:vAlign w:val="center"/>
          </w:tcPr>
          <w:p>
            <w:pPr>
              <w:spacing/>
              <w:ind w:left="-113" w:right="-113"/>
              <w:jc w:val="center"/>
              <w:rPr>
                <w:rFonts w:ascii="Arial Narrow" w:hAnsi="Arial Narrow" w:eastAsiaTheme="minorHAnsi"/>
                <w:color w:val="000000"/>
                <w:sz w:val="20"/>
                <w:lang w:eastAsia="en-US"/>
              </w:rPr>
            </w:pPr>
            <w:r>
              <w:rPr>
                <w:rFonts w:ascii="Arial Narrow" w:hAnsi="Arial Narrow" w:eastAsiaTheme="minorHAnsi"/>
                <w:color w:val="000000"/>
                <w:sz w:val="20"/>
                <w:lang w:eastAsia="en-US"/>
              </w:rPr>
              <w:t xml:space="preserve">2019</w:t>
            </w:r>
          </w:p>
        </w:tc>
        <w:tc>
          <w:tcPr>
            <w:tcW w:type="dxa" w:w="1418"/>
            <w:vMerge w:val="restart"/>
            <w:tcBorders/>
            <w:vAlign w:val="center"/>
          </w:tcPr>
          <w:p>
            <w:pPr>
              <w:spacing/>
              <w:ind w:left="-113" w:right="-113"/>
              <w:jc w:val="center"/>
              <w:rPr>
                <w:rFonts w:ascii="Arial Narrow" w:hAnsi="Arial Narrow" w:eastAsiaTheme="minorHAnsi"/>
                <w:color w:val="000000"/>
                <w:sz w:val="20"/>
                <w:lang w:eastAsia="en-US"/>
              </w:rPr>
            </w:pPr>
            <w:r>
              <w:rPr>
                <w:rFonts w:ascii="Arial Narrow" w:hAnsi="Arial Narrow" w:eastAsiaTheme="minorHAnsi"/>
                <w:color w:val="000000"/>
                <w:sz w:val="20"/>
                <w:lang w:eastAsia="en-US"/>
              </w:rPr>
              <w:t xml:space="preserve">77</w:t>
            </w:r>
          </w:p>
        </w:tc>
      </w:tr>
      <w:tr>
        <w:trPr>
          <w:jc w:val="center"/>
        </w:trPr>
        <w:tc>
          <w:tcPr>
            <w:tcW w:type="dxa" w:w="1559"/>
            <w:vMerge w:val="continue"/>
            <w:tcBorders/>
            <w:vAlign w:val="center"/>
          </w:tcPr>
          <w:p>
            <w:pPr>
              <w:spacing/>
              <w:ind w:left="-113" w:right="-113"/>
              <w:jc w:val="center"/>
              <w:rPr>
                <w:rFonts w:ascii="Arial Narrow" w:hAnsi="Arial Narrow" w:eastAsiaTheme="minorHAnsi"/>
                <w:color w:val="FF0000"/>
                <w:sz w:val="20"/>
                <w:lang w:eastAsia="en-US"/>
              </w:rPr>
            </w:pPr>
          </w:p>
        </w:tc>
        <w:tc>
          <w:tcPr>
            <w:tcW w:type="dxa" w:w="992"/>
            <w:tcBorders/>
            <w:vAlign w:val="center"/>
          </w:tcPr>
          <w:p>
            <w:pPr>
              <w:spacing/>
              <w:ind w:left="-113" w:right="-113"/>
              <w:jc w:val="center"/>
              <w:rPr>
                <w:rFonts w:ascii="Arial Narrow" w:hAnsi="Arial Narrow" w:eastAsiaTheme="minorHAnsi"/>
                <w:color w:val="000000"/>
                <w:sz w:val="20"/>
                <w:lang w:eastAsia="en-US"/>
              </w:rPr>
            </w:pPr>
            <w:r>
              <w:rPr>
                <w:rFonts w:ascii="Arial Narrow" w:hAnsi="Arial Narrow" w:eastAsiaTheme="minorHAnsi"/>
                <w:color w:val="000000"/>
                <w:sz w:val="20"/>
                <w:lang w:eastAsia="en-US"/>
              </w:rPr>
              <w:t xml:space="preserve">6081005</w:t>
            </w:r>
          </w:p>
        </w:tc>
        <w:tc>
          <w:tcPr>
            <w:tcW w:type="dxa" w:w="992"/>
            <w:tcBorders/>
            <w:vAlign w:val="center"/>
          </w:tcPr>
          <w:p>
            <w:pPr>
              <w:spacing/>
              <w:ind w:left="-113" w:right="-113"/>
              <w:jc w:val="center"/>
              <w:rPr>
                <w:rFonts w:ascii="Arial Narrow" w:hAnsi="Arial Narrow" w:eastAsiaTheme="minorHAnsi"/>
                <w:color w:val="000000"/>
                <w:sz w:val="20"/>
                <w:lang w:eastAsia="en-US"/>
              </w:rPr>
            </w:pPr>
            <w:r>
              <w:rPr>
                <w:rFonts w:ascii="Arial Narrow" w:hAnsi="Arial Narrow" w:eastAsiaTheme="minorHAnsi"/>
                <w:color w:val="000000"/>
                <w:sz w:val="20"/>
                <w:lang w:eastAsia="en-US"/>
              </w:rPr>
              <w:t xml:space="preserve">536758</w:t>
            </w:r>
          </w:p>
        </w:tc>
        <w:tc>
          <w:tcPr>
            <w:tcW w:type="dxa" w:w="993"/>
            <w:tcBorders/>
            <w:vAlign w:val="center"/>
          </w:tcPr>
          <w:p>
            <w:pPr>
              <w:spacing/>
              <w:ind w:left="-113" w:right="-113"/>
              <w:jc w:val="center"/>
              <w:rPr>
                <w:rFonts w:ascii="Arial Narrow" w:hAnsi="Arial Narrow" w:eastAsiaTheme="minorHAnsi"/>
                <w:color w:val="000000"/>
                <w:sz w:val="20"/>
                <w:lang w:eastAsia="en-US"/>
              </w:rPr>
            </w:pPr>
            <w:r>
              <w:rPr>
                <w:rFonts w:ascii="Arial Narrow" w:hAnsi="Arial Narrow" w:eastAsiaTheme="minorHAnsi"/>
                <w:color w:val="000000"/>
                <w:sz w:val="20"/>
                <w:lang w:eastAsia="en-US"/>
              </w:rPr>
              <w:t xml:space="preserve">6081128</w:t>
            </w:r>
          </w:p>
        </w:tc>
        <w:tc>
          <w:tcPr>
            <w:tcW w:type="dxa" w:w="992"/>
            <w:tcBorders/>
            <w:vAlign w:val="center"/>
          </w:tcPr>
          <w:p>
            <w:pPr>
              <w:spacing/>
              <w:ind w:left="-113" w:right="-113"/>
              <w:jc w:val="center"/>
              <w:rPr>
                <w:rFonts w:ascii="Arial Narrow" w:hAnsi="Arial Narrow" w:eastAsiaTheme="minorHAnsi"/>
                <w:color w:val="000000"/>
                <w:sz w:val="20"/>
                <w:lang w:eastAsia="en-US"/>
              </w:rPr>
            </w:pPr>
            <w:r>
              <w:rPr>
                <w:rFonts w:ascii="Arial Narrow" w:hAnsi="Arial Narrow" w:eastAsiaTheme="minorHAnsi"/>
                <w:color w:val="000000"/>
                <w:sz w:val="20"/>
                <w:lang w:eastAsia="en-US"/>
              </w:rPr>
              <w:t xml:space="preserve">537869</w:t>
            </w:r>
          </w:p>
        </w:tc>
        <w:tc>
          <w:tcPr>
            <w:tcW w:type="dxa" w:w="1417"/>
            <w:vMerge w:val="continue"/>
            <w:tcBorders/>
            <w:vAlign w:val="center"/>
          </w:tcPr>
          <w:p>
            <w:pPr>
              <w:spacing/>
              <w:jc w:val="left"/>
              <w:rPr>
                <w:color w:val="000000"/>
                <w:sz w:val="22"/>
                <w:szCs w:val="22"/>
              </w:rPr>
            </w:pPr>
          </w:p>
        </w:tc>
        <w:tc>
          <w:tcPr>
            <w:tcW w:type="dxa" w:w="1418"/>
            <w:vMerge w:val="continue"/>
            <w:tcBorders/>
            <w:vAlign w:val="center"/>
          </w:tcPr>
          <w:p>
            <w:pPr>
              <w:spacing/>
              <w:jc w:val="left"/>
              <w:rPr>
                <w:color w:val="000000"/>
                <w:sz w:val="22"/>
                <w:szCs w:val="22"/>
              </w:rPr>
            </w:pPr>
          </w:p>
        </w:tc>
      </w:tr>
    </w:tbl>
    <w:p w14:paraId="6530EA62">
      <w:pPr>
        <w:pStyle w:val="Bodytext20"/>
        <w:shd w:val="clear" w:color="auto" w:fill="auto"/>
        <w:tabs>
          <w:tab w:val="left" w:pos="0"/>
        </w:tabs>
        <w:spacing w:line="240" w:lineRule="auto"/>
        <w:ind w:left="360" w:right="55" w:firstLine="0"/>
        <w:jc w:val="both"/>
        <w:rPr>
          <w:rFonts w:ascii="Arial Narrow" w:hAnsi="Arial Narrow"/>
          <w:i w:val="0"/>
          <w:iCs w:val="0"/>
          <w:sz w:val="20"/>
          <w:szCs w:val="20"/>
        </w:rPr>
      </w:pPr>
    </w:p>
    <w:p w14:paraId="66D6D864">
      <w:pPr>
        <w:pStyle w:val="Bodytext20"/>
        <w:shd w:val="clear" w:color="auto" w:fill="auto"/>
        <w:tabs>
          <w:tab w:val="left" w:pos="0"/>
        </w:tabs>
        <w:spacing w:line="240" w:lineRule="auto"/>
        <w:ind w:left="360" w:right="55" w:firstLine="0"/>
        <w:jc w:val="both"/>
        <w:rPr>
          <w:rFonts w:ascii="Arial Narrow" w:hAnsi="Arial Narrow"/>
          <w:i w:val="0"/>
          <w:iCs w:val="0"/>
          <w:sz w:val="20"/>
          <w:szCs w:val="20"/>
        </w:rPr>
      </w:pPr>
      <w:r>
        <w:rPr>
          <w:rFonts w:ascii="Arial Narrow" w:hAnsi="Arial Narrow"/>
          <w:i w:val="0"/>
          <w:iCs w:val="0"/>
          <w:sz w:val="20"/>
          <w:szCs w:val="20"/>
        </w:rPr>
        <w:t xml:space="preserve">Pastaba: Objekto pradžia ir pabaiga tikslinama aprašo rengimo metu</w:t>
      </w:r>
      <w:r>
        <w:rPr>
          <w:rFonts w:ascii="Arial Narrow" w:hAnsi="Arial Narrow"/>
          <w:i w:val="0"/>
          <w:iCs w:val="0"/>
          <w:sz w:val="20"/>
          <w:szCs w:val="20"/>
        </w:rPr>
        <w:t xml:space="preserve">.</w:t>
      </w:r>
    </w:p>
    <w:p w14:paraId="520DA170">
      <w:pPr>
        <w:spacing/>
        <w:jc w:val="left"/>
        <w:rPr>
          <w:rFonts w:ascii="Arial Narrow" w:hAnsi="Arial Narrow"/>
          <w:b/>
          <w:caps/>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8"/>
      </w:tblGrid>
      <w:tr>
        <w:trPr>
          <w:trHeight w:val="416" w:hRule="atLeast"/>
        </w:trPr>
        <w:tc>
          <w:tcPr>
            <w:tcW w:type="dxa" w:w="9628"/>
            <w:tcBorders/>
            <w:shd w:fill="005063" w:color="auto" w:val="clear"/>
            <w:vAlign w:val="center"/>
          </w:tcPr>
          <w:p>
            <w:pPr>
              <w:spacing/>
              <w:jc w:val="left"/>
              <w:rPr>
                <w:rFonts w:ascii="Arial Narrow" w:hAnsi="Arial Narrow"/>
                <w:b/>
                <w:caps/>
                <w:color w:val="FFFFFF"/>
                <w:sz w:val="20"/>
                <w:szCs w:val="16"/>
              </w:rPr>
            </w:pPr>
            <w:r>
              <w:rPr>
                <w:rFonts w:ascii="Arial Narrow" w:hAnsi="Arial Narrow"/>
                <w:b/>
                <w:caps/>
                <w:color w:val="FFFFFF"/>
                <w:sz w:val="20"/>
                <w:szCs w:val="16"/>
              </w:rPr>
              <w:t xml:space="preserve">2</w:t>
            </w:r>
            <w:r>
              <w:rPr>
                <w:rFonts w:ascii="Arial Narrow" w:hAnsi="Arial Narrow"/>
                <w:b/>
                <w:caps/>
                <w:color w:val="FFFFFF"/>
                <w:sz w:val="20"/>
                <w:szCs w:val="16"/>
              </w:rPr>
              <w:t xml:space="preserve">. </w:t>
            </w:r>
            <w:r>
              <w:rPr>
                <w:rFonts w:ascii="Arial Narrow" w:hAnsi="Arial Narrow"/>
                <w:b/>
                <w:caps/>
                <w:color w:val="FFFFFF"/>
                <w:sz w:val="20"/>
                <w:szCs w:val="16"/>
              </w:rPr>
              <w:t xml:space="preserve">BENDR</w:t>
            </w:r>
            <w:r>
              <w:rPr>
                <w:rFonts w:ascii="Arial Narrow" w:hAnsi="Arial Narrow"/>
                <w:b/>
                <w:caps/>
                <w:color w:val="FFFFFF"/>
                <w:sz w:val="20"/>
                <w:szCs w:val="16"/>
              </w:rPr>
              <w:t xml:space="preserve">OJI INFORMACIJA</w:t>
            </w:r>
          </w:p>
        </w:tc>
      </w:tr>
    </w:tbl>
    <w:p w14:paraId="4048985E">
      <w:pPr>
        <w:spacing/>
        <w:jc w:val="left"/>
        <w:rPr>
          <w:rFonts w:ascii="Arial Narrow" w:hAnsi="Arial Narrow"/>
          <w:b/>
          <w:caps/>
        </w:rPr>
      </w:pPr>
    </w:p>
    <w:p w14:paraId="09AA365A">
      <w:pPr>
        <w:pStyle w:val="Bodytext20"/>
        <w:numPr>
          <w:ilvl w:val="1"/>
          <w:numId w:val="2"/>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BVPŽ kodas: </w:t>
      </w:r>
      <w:r>
        <w:rPr>
          <w:rFonts w:ascii="Arial Narrow" w:hAnsi="Arial Narrow"/>
          <w:i w:val="0"/>
          <w:iCs w:val="0"/>
          <w:sz w:val="20"/>
          <w:szCs w:val="20"/>
        </w:rPr>
        <w:t xml:space="preserve">45233220-7, 71320000-7</w:t>
      </w:r>
    </w:p>
    <w:p w14:paraId="4A18D9DB">
      <w:pPr>
        <w:pStyle w:val="Bodytext20"/>
        <w:numPr>
          <w:ilvl w:val="1"/>
          <w:numId w:val="2"/>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Statytojas:  </w:t>
      </w:r>
      <w:r>
        <w:rPr>
          <w:rFonts w:ascii="Arial Narrow" w:hAnsi="Arial Narrow"/>
          <w:i w:val="0"/>
          <w:iCs w:val="0"/>
          <w:sz w:val="20"/>
          <w:szCs w:val="20"/>
        </w:rPr>
        <w:t xml:space="preserve">AB</w:t>
      </w:r>
      <w:r>
        <w:rPr>
          <w:rFonts w:ascii="Arial Narrow" w:hAnsi="Arial Narrow"/>
          <w:i w:val="0"/>
          <w:iCs w:val="0"/>
          <w:sz w:val="20"/>
          <w:szCs w:val="20"/>
        </w:rPr>
        <w:t xml:space="preserve"> </w:t>
      </w:r>
      <w:r>
        <w:rPr>
          <w:rFonts w:ascii="Arial Narrow" w:hAnsi="Arial Narrow"/>
          <w:i w:val="0"/>
          <w:iCs w:val="0"/>
          <w:sz w:val="20"/>
          <w:szCs w:val="20"/>
        </w:rPr>
        <w:t xml:space="preserve">„Via Lietuva“</w:t>
      </w:r>
    </w:p>
    <w:p w14:paraId="35A1FE73">
      <w:pPr>
        <w:pStyle w:val="Bodytext20"/>
        <w:numPr>
          <w:ilvl w:val="1"/>
          <w:numId w:val="2"/>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Užsakovas:  </w:t>
      </w:r>
      <w:r>
        <w:rPr>
          <w:rFonts w:ascii="Arial Narrow" w:hAnsi="Arial Narrow"/>
          <w:i w:val="0"/>
          <w:iCs w:val="0"/>
          <w:sz w:val="20"/>
          <w:szCs w:val="20"/>
        </w:rPr>
        <w:t xml:space="preserve">AB</w:t>
      </w:r>
      <w:r>
        <w:rPr>
          <w:rFonts w:ascii="Arial Narrow" w:hAnsi="Arial Narrow"/>
          <w:i w:val="0"/>
          <w:iCs w:val="0"/>
          <w:sz w:val="20"/>
          <w:szCs w:val="20"/>
        </w:rPr>
        <w:t xml:space="preserve"> </w:t>
      </w:r>
      <w:r>
        <w:rPr>
          <w:rFonts w:ascii="Arial Narrow" w:hAnsi="Arial Narrow"/>
          <w:i w:val="0"/>
          <w:iCs w:val="0"/>
          <w:sz w:val="20"/>
          <w:szCs w:val="20"/>
        </w:rPr>
        <w:t xml:space="preserve">„Via Lietuva“</w:t>
      </w:r>
    </w:p>
    <w:p w14:paraId="125E711B">
      <w:pPr>
        <w:pStyle w:val="Bodytext20"/>
        <w:numPr>
          <w:ilvl w:val="1"/>
          <w:numId w:val="2"/>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Statybos rūšis:  Paprastasis remontas</w:t>
      </w:r>
    </w:p>
    <w:p w14:paraId="6F8A6A22">
      <w:pPr>
        <w:pStyle w:val="Bodytext20"/>
        <w:numPr>
          <w:ilvl w:val="1"/>
          <w:numId w:val="2"/>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Statinio kategorija:  Ypatingasis statinys</w:t>
      </w:r>
    </w:p>
    <w:p w14:paraId="7E297CF8">
      <w:pPr>
        <w:pStyle w:val="Bodytext20"/>
        <w:numPr>
          <w:ilvl w:val="1"/>
          <w:numId w:val="2"/>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Inžinerinių statinių grupė:  Susisiekimo komunikacijos</w:t>
      </w:r>
    </w:p>
    <w:p w14:paraId="413335D1">
      <w:pPr>
        <w:pStyle w:val="Bodytext20"/>
        <w:numPr>
          <w:ilvl w:val="1"/>
          <w:numId w:val="2"/>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Inžinerinių statinių pogrupis:</w:t>
      </w:r>
      <w:r>
        <w:rPr>
          <w:rFonts w:ascii="Arial Narrow" w:hAnsi="Arial Narrow"/>
          <w:i w:val="0"/>
          <w:iCs w:val="0"/>
          <w:sz w:val="20"/>
          <w:szCs w:val="20"/>
        </w:rPr>
        <w:t xml:space="preserve"> </w:t>
      </w:r>
      <w:r>
        <w:rPr>
          <w:rFonts w:ascii="Arial Narrow" w:hAnsi="Arial Narrow"/>
          <w:i w:val="0"/>
          <w:iCs w:val="0"/>
          <w:sz w:val="20"/>
          <w:szCs w:val="20"/>
        </w:rPr>
        <w:t xml:space="preserve">keliai</w:t>
      </w:r>
      <w:r>
        <w:rPr>
          <w:rFonts w:ascii="Arial Narrow" w:hAnsi="Arial Narrow"/>
          <w:i w:val="0"/>
          <w:iCs w:val="0"/>
          <w:sz w:val="20"/>
          <w:szCs w:val="20"/>
        </w:rPr>
        <w:t xml:space="preserve">.</w:t>
      </w:r>
    </w:p>
    <w:p w14:paraId="3D3B5AEE">
      <w:pPr>
        <w:pStyle w:val="Bodytext20"/>
        <w:numPr>
          <w:ilvl w:val="1"/>
          <w:numId w:val="2"/>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Sklypo Nr.: </w:t>
      </w:r>
      <w:r>
        <w:rPr>
          <w:rFonts w:ascii="Arial Narrow" w:hAnsi="Arial Narrow"/>
          <w:i w:val="0"/>
          <w:iCs w:val="0"/>
          <w:sz w:val="20"/>
          <w:szCs w:val="20"/>
        </w:rPr>
        <w:t xml:space="preserve">4400</w:t>
      </w:r>
      <w:r>
        <w:rPr>
          <w:rFonts w:ascii="Arial Narrow" w:hAnsi="Arial Narrow"/>
          <w:i w:val="0"/>
          <w:iCs w:val="0"/>
          <w:sz w:val="20"/>
          <w:szCs w:val="20"/>
        </w:rPr>
        <w:t xml:space="preserve">-</w:t>
      </w:r>
      <w:r>
        <w:rPr>
          <w:rFonts w:ascii="Arial Narrow" w:hAnsi="Arial Narrow"/>
          <w:i w:val="0"/>
          <w:iCs w:val="0"/>
          <w:sz w:val="20"/>
          <w:szCs w:val="20"/>
        </w:rPr>
        <w:t xml:space="preserve">2342</w:t>
      </w:r>
      <w:r>
        <w:rPr>
          <w:rFonts w:ascii="Arial Narrow" w:hAnsi="Arial Narrow"/>
          <w:i w:val="0"/>
          <w:iCs w:val="0"/>
          <w:sz w:val="20"/>
          <w:szCs w:val="20"/>
        </w:rPr>
        <w:t xml:space="preserve">-</w:t>
      </w:r>
      <w:r>
        <w:rPr>
          <w:rFonts w:ascii="Arial Narrow" w:hAnsi="Arial Narrow"/>
          <w:i w:val="0"/>
          <w:iCs w:val="0"/>
          <w:sz w:val="20"/>
          <w:szCs w:val="20"/>
        </w:rPr>
        <w:t xml:space="preserve">8777</w:t>
      </w:r>
      <w:r>
        <w:rPr>
          <w:rFonts w:ascii="Arial Narrow" w:hAnsi="Arial Narrow"/>
          <w:i w:val="0"/>
          <w:iCs w:val="0"/>
          <w:sz w:val="20"/>
          <w:szCs w:val="20"/>
        </w:rPr>
        <w:t xml:space="preserve">; </w:t>
      </w:r>
    </w:p>
    <w:p w14:paraId="49323AEB">
      <w:pPr>
        <w:pStyle w:val="Bodytext20"/>
        <w:numPr>
          <w:ilvl w:val="1"/>
          <w:numId w:val="2"/>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Statinio Nr.: </w:t>
      </w:r>
      <w:r>
        <w:rPr>
          <w:rFonts w:ascii="Arial Narrow" w:hAnsi="Arial Narrow"/>
          <w:i w:val="0"/>
          <w:iCs w:val="0"/>
          <w:sz w:val="20"/>
          <w:szCs w:val="20"/>
        </w:rPr>
        <w:t xml:space="preserve">4400</w:t>
      </w:r>
      <w:r>
        <w:rPr>
          <w:rFonts w:ascii="Arial Narrow" w:hAnsi="Arial Narrow"/>
          <w:i w:val="0"/>
          <w:iCs w:val="0"/>
          <w:sz w:val="20"/>
          <w:szCs w:val="20"/>
        </w:rPr>
        <w:t xml:space="preserve">-</w:t>
      </w:r>
      <w:r>
        <w:rPr>
          <w:rFonts w:ascii="Arial Narrow" w:hAnsi="Arial Narrow"/>
          <w:i w:val="0"/>
          <w:iCs w:val="0"/>
          <w:sz w:val="20"/>
          <w:szCs w:val="20"/>
        </w:rPr>
        <w:t xml:space="preserve">2175</w:t>
      </w:r>
      <w:r>
        <w:rPr>
          <w:rFonts w:ascii="Arial Narrow" w:hAnsi="Arial Narrow"/>
          <w:i w:val="0"/>
          <w:iCs w:val="0"/>
          <w:sz w:val="20"/>
          <w:szCs w:val="20"/>
        </w:rPr>
        <w:t xml:space="preserve">-</w:t>
      </w:r>
      <w:r>
        <w:rPr>
          <w:rFonts w:ascii="Arial Narrow" w:hAnsi="Arial Narrow"/>
          <w:i w:val="0"/>
          <w:iCs w:val="0"/>
          <w:sz w:val="20"/>
          <w:szCs w:val="20"/>
        </w:rPr>
        <w:t xml:space="preserve">8996</w:t>
      </w:r>
    </w:p>
    <w:p w14:paraId="2C86710F">
      <w:pPr>
        <w:pStyle w:val="Bodytext20"/>
        <w:numPr>
          <w:ilvl w:val="1"/>
          <w:numId w:val="2"/>
        </w:numPr>
        <w:shd w:val="clear" w:color="auto" w:fill="auto"/>
        <w:tabs>
          <w:tab w:val="left" w:pos="426"/>
        </w:tabs>
        <w:spacing w:line="240" w:lineRule="auto"/>
        <w:ind w:left="0" w:right="55" w:firstLine="0"/>
        <w:jc w:val="both"/>
        <w:rPr>
          <w:rFonts w:ascii="Arial Narrow" w:hAnsi="Arial Narrow"/>
          <w:i w:val="0"/>
          <w:iCs w:val="0"/>
          <w:sz w:val="20"/>
          <w:szCs w:val="20"/>
        </w:rPr>
      </w:pPr>
      <w:r>
        <w:rPr>
          <w:rFonts w:ascii="Arial Narrow" w:hAnsi="Arial Narrow"/>
          <w:i w:val="0"/>
          <w:iCs w:val="0"/>
          <w:sz w:val="20"/>
          <w:szCs w:val="20"/>
        </w:rPr>
        <w:t xml:space="preserve">Kultūros paveld</w:t>
      </w:r>
      <w:r>
        <w:rPr>
          <w:rFonts w:ascii="Arial Narrow" w:hAnsi="Arial Narrow"/>
          <w:i w:val="0"/>
          <w:iCs w:val="0"/>
          <w:sz w:val="20"/>
          <w:szCs w:val="20"/>
        </w:rPr>
        <w:t xml:space="preserve">o teritorija: </w:t>
      </w:r>
      <w:r>
        <w:rPr>
          <w:rFonts w:ascii="Arial Narrow" w:hAnsi="Arial Narrow"/>
          <w:i w:val="0"/>
          <w:iCs w:val="0"/>
          <w:sz w:val="20"/>
          <w:szCs w:val="20"/>
        </w:rPr>
        <w:t xml:space="preserve">Naujažerio, Žaslių akmuo su ženklais (kodas 5036)</w:t>
      </w:r>
    </w:p>
    <w:p w14:paraId="7B89292B">
      <w:pPr>
        <w:pStyle w:val="Bodytext20"/>
        <w:numPr>
          <w:ilvl w:val="1"/>
          <w:numId w:val="2"/>
        </w:numPr>
        <w:shd w:val="clear" w:color="auto" w:fill="auto"/>
        <w:tabs>
          <w:tab w:val="left" w:pos="0"/>
        </w:tabs>
        <w:spacing w:line="240" w:lineRule="auto"/>
        <w:ind w:left="426" w:right="55" w:hanging="426"/>
        <w:jc w:val="both"/>
        <w:rPr>
          <w:rFonts w:ascii="Arial Narrow" w:hAnsi="Arial Narrow"/>
          <w:i w:val="0"/>
          <w:iCs w:val="0"/>
          <w:sz w:val="20"/>
          <w:szCs w:val="20"/>
        </w:rPr>
      </w:pPr>
      <w:r>
        <w:rPr>
          <w:rFonts w:ascii="Arial Narrow" w:hAnsi="Arial Narrow"/>
          <w:i w:val="0"/>
          <w:iCs w:val="0"/>
          <w:sz w:val="20"/>
          <w:szCs w:val="20"/>
        </w:rPr>
        <w:t xml:space="preserve">Darbų atlikimo tvarka:</w:t>
      </w:r>
    </w:p>
    <w:p w14:paraId="6E6A36E7">
      <w:pPr>
        <w:pStyle w:val="Bodytext20"/>
        <w:numPr>
          <w:ilvl w:val="2"/>
          <w:numId w:val="2"/>
        </w:numPr>
        <w:shd w:val="clear" w:color="auto" w:fill="auto"/>
        <w:tabs>
          <w:tab w:val="left" w:pos="0"/>
        </w:tabs>
        <w:spacing w:line="240" w:lineRule="auto"/>
        <w:ind w:left="567" w:right="55" w:hanging="567"/>
        <w:jc w:val="both"/>
        <w:rPr>
          <w:rFonts w:ascii="Arial Narrow" w:hAnsi="Arial Narrow"/>
          <w:i w:val="0"/>
          <w:iCs w:val="0"/>
          <w:sz w:val="20"/>
          <w:szCs w:val="20"/>
        </w:rPr>
      </w:pPr>
      <w:r>
        <w:rPr>
          <w:rFonts w:ascii="Arial Narrow" w:hAnsi="Arial Narrow"/>
          <w:i w:val="0"/>
          <w:iCs w:val="0"/>
          <w:sz w:val="20"/>
          <w:szCs w:val="20"/>
        </w:rPr>
        <w:t xml:space="preserve">Paprastojo remonto aprašo (toliau – </w:t>
      </w:r>
      <w:r>
        <w:rPr>
          <w:rFonts w:ascii="Arial Narrow" w:hAnsi="Arial Narrow"/>
          <w:i w:val="0"/>
          <w:iCs w:val="0"/>
          <w:sz w:val="20"/>
          <w:szCs w:val="20"/>
        </w:rPr>
        <w:t xml:space="preserve">Apraš</w:t>
      </w:r>
      <w:r>
        <w:rPr>
          <w:rFonts w:ascii="Arial Narrow" w:hAnsi="Arial Narrow"/>
          <w:i w:val="0"/>
          <w:iCs w:val="0"/>
          <w:sz w:val="20"/>
          <w:szCs w:val="20"/>
        </w:rPr>
        <w:t xml:space="preserve">as)</w:t>
      </w:r>
      <w:r>
        <w:rPr>
          <w:rFonts w:ascii="Arial Narrow" w:hAnsi="Arial Narrow"/>
          <w:i w:val="0"/>
          <w:iCs w:val="0"/>
          <w:sz w:val="20"/>
          <w:szCs w:val="20"/>
        </w:rPr>
        <w:t xml:space="preserve"> parengimas ir pataisymas pagal Užsakovo pastabas</w:t>
      </w:r>
      <w:r>
        <w:rPr>
          <w:rFonts w:ascii="Arial Narrow" w:hAnsi="Arial Narrow"/>
          <w:i w:val="0"/>
          <w:iCs w:val="0"/>
          <w:sz w:val="20"/>
          <w:szCs w:val="20"/>
        </w:rPr>
        <w:t xml:space="preserve">;</w:t>
      </w:r>
    </w:p>
    <w:p w14:paraId="5DFEFB8E">
      <w:pPr>
        <w:pStyle w:val="Bodytext20"/>
        <w:numPr>
          <w:ilvl w:val="2"/>
          <w:numId w:val="2"/>
        </w:numPr>
        <w:shd w:val="clear" w:color="auto" w:fill="auto"/>
        <w:tabs>
          <w:tab w:val="left" w:pos="0"/>
        </w:tabs>
        <w:spacing w:line="240" w:lineRule="auto"/>
        <w:ind w:left="567" w:right="55" w:hanging="567"/>
        <w:jc w:val="both"/>
        <w:rPr>
          <w:rFonts w:ascii="Arial Narrow" w:hAnsi="Arial Narrow"/>
          <w:i w:val="0"/>
          <w:iCs w:val="0"/>
          <w:sz w:val="20"/>
          <w:szCs w:val="20"/>
        </w:rPr>
      </w:pPr>
      <w:r>
        <w:rPr>
          <w:rFonts w:ascii="Arial Narrow" w:hAnsi="Arial Narrow"/>
          <w:i w:val="0"/>
          <w:iCs w:val="0"/>
          <w:sz w:val="20"/>
          <w:szCs w:val="20"/>
        </w:rPr>
        <w:t xml:space="preserve">Statinio paprastojo remonto darbų atlikimas pagal Užsakovo patvirtintą Aprašą</w:t>
      </w:r>
      <w:r>
        <w:rPr>
          <w:rFonts w:ascii="Arial Narrow" w:hAnsi="Arial Narrow"/>
          <w:i w:val="0"/>
          <w:iCs w:val="0"/>
          <w:sz w:val="20"/>
          <w:szCs w:val="20"/>
        </w:rPr>
        <w:t xml:space="preserve">.</w:t>
      </w:r>
    </w:p>
    <w:p w14:paraId="04CBB919">
      <w:pPr>
        <w:spacing/>
        <w:jc w:val="left"/>
        <w:rPr>
          <w:rFonts w:ascii="Arial Narrow" w:hAnsi="Arial Narrow"/>
          <w:b/>
          <w:caps/>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8"/>
      </w:tblGrid>
      <w:tr>
        <w:trPr>
          <w:trHeight w:val="416" w:hRule="atLeast"/>
        </w:trPr>
        <w:tc>
          <w:tcPr>
            <w:tcW w:type="dxa" w:w="9628"/>
            <w:tcBorders/>
            <w:shd w:fill="005063" w:color="auto" w:val="clear"/>
            <w:vAlign w:val="center"/>
          </w:tcPr>
          <w:p>
            <w:pPr>
              <w:spacing/>
              <w:jc w:val="left"/>
              <w:rPr>
                <w:rFonts w:ascii="Arial Narrow" w:hAnsi="Arial Narrow"/>
                <w:b/>
                <w:caps/>
                <w:color w:val="FFFFFF"/>
                <w:sz w:val="20"/>
                <w:szCs w:val="16"/>
              </w:rPr>
            </w:pPr>
            <w:r>
              <w:rPr>
                <w:rFonts w:ascii="Arial Narrow" w:hAnsi="Arial Narrow"/>
                <w:b/>
                <w:caps/>
                <w:color w:val="FFFFFF"/>
                <w:sz w:val="20"/>
                <w:szCs w:val="16"/>
              </w:rPr>
              <w:t xml:space="preserve">3</w:t>
            </w:r>
            <w:r>
              <w:rPr>
                <w:rFonts w:ascii="Arial Narrow" w:hAnsi="Arial Narrow"/>
                <w:b/>
                <w:caps/>
                <w:color w:val="FFFFFF"/>
                <w:sz w:val="20"/>
                <w:szCs w:val="16"/>
              </w:rPr>
              <w:t xml:space="preserve">. </w:t>
            </w:r>
            <w:r>
              <w:rPr>
                <w:rFonts w:ascii="Arial Narrow" w:hAnsi="Arial Narrow"/>
                <w:b/>
                <w:caps/>
                <w:color w:val="FFFFFF"/>
                <w:sz w:val="20"/>
                <w:szCs w:val="16"/>
              </w:rPr>
              <w:t xml:space="preserve">PAPRASTOJO REMONTO APRAŠO PARENGIMAS</w:t>
            </w:r>
          </w:p>
        </w:tc>
      </w:tr>
    </w:tbl>
    <w:p w14:paraId="52DAD584">
      <w:pPr>
        <w:spacing/>
        <w:jc w:val="left"/>
        <w:rPr>
          <w:rFonts w:ascii="Arial Narrow" w:hAnsi="Arial Narrow"/>
          <w:b/>
          <w:caps/>
        </w:rPr>
      </w:pPr>
    </w:p>
    <w:p w14:paraId="691465AD">
      <w:pPr>
        <w:pStyle w:val="ListParagraph"/>
        <w:numPr>
          <w:ilvl w:val="1"/>
          <w:numId w:val="11"/>
        </w:numPr>
        <w:tabs>
          <w:tab w:val="left" w:pos="284"/>
        </w:tabs>
        <w:suppressAutoHyphens/>
        <w:spacing/>
        <w:ind w:left="567" w:hanging="567"/>
        <w:jc w:val="both"/>
        <w:rPr>
          <w:b/>
          <w:noProof/>
          <w:szCs w:val="24"/>
        </w:rPr>
      </w:pPr>
      <w:r>
        <w:rPr>
          <w:b/>
          <w:szCs w:val="24"/>
        </w:rPr>
        <w:t xml:space="preserve">Teisės aktai ir normatyviniai dokumentai, kuriais privalu vadovautis:</w:t>
      </w:r>
    </w:p>
    <w:p w14:paraId="3C437FB2">
      <w:pPr>
        <w:pStyle w:val="ListParagraph"/>
        <w:numPr>
          <w:ilvl w:val="2"/>
          <w:numId w:val="11"/>
        </w:numPr>
        <w:tabs>
          <w:tab w:val="left" w:pos="567"/>
        </w:tabs>
        <w:suppressAutoHyphens/>
        <w:spacing/>
        <w:ind w:left="0" w:firstLine="0"/>
        <w:jc w:val="both"/>
        <w:rPr>
          <w:bCs/>
          <w:noProof/>
          <w:szCs w:val="24"/>
        </w:rPr>
      </w:pPr>
      <w:r>
        <w:rPr>
          <w:szCs w:val="24"/>
        </w:rPr>
        <w:t xml:space="preserve">Lietuvos Respublikos Statybos įstatymu, statybos techniniais reglamentais, higienos normomis, poįstatyminiais teisės aktais</w:t>
      </w:r>
      <w:r>
        <w:rPr>
          <w:szCs w:val="24"/>
        </w:rPr>
        <w:t xml:space="preserve">;</w:t>
      </w:r>
    </w:p>
    <w:p w14:paraId="4CFEF753">
      <w:pPr>
        <w:pStyle w:val="ListParagraph"/>
        <w:numPr>
          <w:ilvl w:val="2"/>
          <w:numId w:val="11"/>
        </w:numPr>
        <w:tabs>
          <w:tab w:val="left" w:pos="567"/>
        </w:tabs>
        <w:spacing/>
        <w:ind w:left="0" w:firstLine="0"/>
        <w:jc w:val="both"/>
        <w:rPr>
          <w:bCs/>
          <w:noProof/>
          <w:szCs w:val="24"/>
        </w:rPr>
      </w:pPr>
      <w:r>
        <w:rPr>
          <w:bCs/>
          <w:noProof/>
          <w:szCs w:val="24"/>
        </w:rPr>
        <w:t xml:space="preserve">kitais galiojančiais įstatymais, teisės aktais, statybos techniniais reglamentais ir kitais normatyviniais statybos techniniais dokumentais, įskaitant, bet neapsiribojant, nurodytais </w:t>
      </w:r>
      <w:r>
        <w:rPr>
          <w:bCs/>
          <w:noProof/>
          <w:szCs w:val="24"/>
        </w:rPr>
        <w:t xml:space="preserve">Užsakovo</w:t>
      </w:r>
      <w:r>
        <w:rPr>
          <w:bCs/>
          <w:noProof/>
          <w:szCs w:val="24"/>
        </w:rPr>
        <w:t xml:space="preserve"> interneto svetainėje adresu </w:t>
      </w:r>
      <w:r>
        <w:rPr/>
        <w:fldChar w:fldCharType="begin"/>
      </w:r>
      <w:r>
        <w:rPr/>
        <w:instrText xml:space="preserve">HYPERLINK "https://lakd.lt/normatyviniai-dokumentai" </w:instrText>
      </w:r>
      <w:r>
        <w:rPr/>
        <w:fldChar w:fldCharType="separate"/>
      </w:r>
      <w:r>
        <w:rPr>
          <w:rStyle w:val="Hyperlink"/>
          <w:bCs/>
          <w:noProof/>
          <w:szCs w:val="24"/>
        </w:rPr>
        <w:t xml:space="preserve">https://lakd.lt/normatyviniai-dokumentai</w:t>
      </w:r>
      <w:r>
        <w:rPr/>
        <w:fldChar w:fldCharType="end"/>
      </w:r>
      <w:r>
        <w:rPr>
          <w:bCs/>
          <w:noProof/>
          <w:szCs w:val="24"/>
        </w:rPr>
        <w:t xml:space="preserve">.</w:t>
      </w:r>
    </w:p>
    <w:p w14:paraId="65410D70">
      <w:pPr>
        <w:pStyle w:val="ListParagraph"/>
        <w:tabs>
          <w:tab w:val="left" w:pos="567"/>
        </w:tabs>
        <w:spacing/>
        <w:ind w:left="0"/>
        <w:jc w:val="both"/>
        <w:rPr>
          <w:bCs/>
          <w:noProof/>
          <w:szCs w:val="24"/>
        </w:rPr>
      </w:pPr>
    </w:p>
    <w:p w14:paraId="137BBA91">
      <w:pPr>
        <w:pStyle w:val="ListParagraph"/>
        <w:numPr>
          <w:ilvl w:val="1"/>
          <w:numId w:val="11"/>
        </w:numPr>
        <w:spacing/>
        <w:ind w:left="284" w:hanging="284"/>
        <w:jc w:val="both"/>
        <w:rPr>
          <w:b/>
          <w:szCs w:val="24"/>
        </w:rPr>
      </w:pPr>
      <w:r>
        <w:rPr>
          <w:b/>
          <w:szCs w:val="24"/>
        </w:rPr>
        <w:t xml:space="preserve">Tyrinėjimai</w:t>
      </w:r>
    </w:p>
    <w:p w14:paraId="266E700E">
      <w:pPr>
        <w:pStyle w:val="ListParagraph"/>
        <w:spacing/>
        <w:ind w:left="0"/>
        <w:jc w:val="both"/>
        <w:rPr>
          <w:noProof/>
          <w:szCs w:val="24"/>
        </w:rPr>
      </w:pPr>
      <w:r>
        <w:rPr>
          <w:noProof/>
          <w:szCs w:val="24"/>
        </w:rPr>
        <w:t xml:space="preserve">Tiekėjas privalo atlikti visus reikiamus inžinerinius tyrinėjimus (vizualinės apžiūros, kelio ir kelio statinių geometriniai ir kt.), reikalingus Aprašui parengti bei paprastojo remonto darbams atlikti, kurie nurodyti Techninės specifikacijos </w:t>
      </w:r>
      <w:r>
        <w:rPr>
          <w:noProof/>
          <w:szCs w:val="24"/>
        </w:rPr>
        <w:t xml:space="preserve">4</w:t>
      </w:r>
      <w:r>
        <w:rPr>
          <w:noProof/>
          <w:szCs w:val="24"/>
        </w:rPr>
        <w:t xml:space="preserve"> punkte. Visų inžinerinių tyrinėjimų ataskaitos pateikiamos Užsakovui, kaip Aprašo dalis</w:t>
      </w:r>
      <w:r>
        <w:rPr>
          <w:noProof/>
          <w:szCs w:val="24"/>
        </w:rPr>
        <w:t xml:space="preserve">.</w:t>
      </w:r>
    </w:p>
    <w:p w14:paraId="796C350C">
      <w:pPr>
        <w:spacing/>
        <w:rPr>
          <w:rFonts w:ascii="Arial Narrow" w:hAnsi="Arial Narrow" w:eastAsiaTheme="minorHAnsi" w:cstheme="minorBidi"/>
          <w:bCs/>
          <w:i/>
          <w:iCs/>
          <w:noProof/>
          <w:sz w:val="20"/>
          <w:szCs w:val="24"/>
        </w:rPr>
      </w:pPr>
      <w:r>
        <w:rPr>
          <w:rFonts w:ascii="Arial Narrow" w:hAnsi="Arial Narrow" w:eastAsiaTheme="minorHAnsi" w:cstheme="minorBidi"/>
          <w:bCs/>
          <w:i/>
          <w:iCs/>
          <w:noProof/>
          <w:sz w:val="20"/>
          <w:szCs w:val="24"/>
        </w:rPr>
        <w:t xml:space="preserve">Pastaba: Tiekėjui nėra privalomo reikalavimo atlikti geologinius tyrinėjimus, dėl šių tyrinėjimų reikalingumo Tiekėjas sprendžia savo nuožiūra. </w:t>
      </w:r>
    </w:p>
    <w:p w14:paraId="06C91015">
      <w:pPr>
        <w:pStyle w:val="ListParagraph"/>
        <w:spacing/>
        <w:ind w:left="0"/>
        <w:jc w:val="both"/>
        <w:rPr>
          <w:bCs/>
          <w:szCs w:val="24"/>
        </w:rPr>
      </w:pPr>
    </w:p>
    <w:p w14:paraId="5FE6739B">
      <w:pPr>
        <w:pStyle w:val="ListParagraph"/>
        <w:numPr>
          <w:ilvl w:val="1"/>
          <w:numId w:val="11"/>
        </w:numPr>
        <w:tabs>
          <w:tab w:val="left" w:pos="284"/>
        </w:tabs>
        <w:suppressAutoHyphens/>
        <w:spacing/>
        <w:ind w:hanging="1287"/>
        <w:jc w:val="both"/>
        <w:rPr>
          <w:b/>
          <w:bCs/>
          <w:noProof/>
          <w:szCs w:val="24"/>
        </w:rPr>
      </w:pPr>
      <w:r>
        <w:rPr>
          <w:b/>
          <w:bCs/>
          <w:noProof/>
        </w:rPr>
        <w:t xml:space="preserve">Bendrieji Aprašo parengimo reikalavimai</w:t>
      </w:r>
    </w:p>
    <w:p w14:paraId="1836C381">
      <w:pPr>
        <w:pStyle w:val="ListParagraph"/>
        <w:numPr>
          <w:ilvl w:val="2"/>
          <w:numId w:val="11"/>
        </w:numPr>
        <w:tabs>
          <w:tab w:val="left" w:pos="426"/>
        </w:tabs>
        <w:suppressAutoHyphens/>
        <w:spacing/>
        <w:ind w:left="0" w:firstLine="0"/>
        <w:jc w:val="both"/>
        <w:rPr>
          <w:noProof/>
          <w:szCs w:val="24"/>
        </w:rPr>
      </w:pPr>
      <w:r>
        <w:rPr>
          <w:noProof/>
          <w:szCs w:val="24"/>
        </w:rPr>
        <w:t xml:space="preserve">Aprašo sudėtis turi atitikti STR1.04.04:2017 „Statinio projektavimas, projekto ekspertizė“ reikalavimus. Aprašo sudėtyje privaloma pateikti sąnaudų žiniaraš</w:t>
      </w:r>
      <w:r>
        <w:rPr>
          <w:noProof/>
          <w:szCs w:val="24"/>
        </w:rPr>
        <w:t xml:space="preserve">tį, </w:t>
      </w:r>
      <w:r>
        <w:rPr>
          <w:noProof/>
          <w:szCs w:val="24"/>
        </w:rPr>
        <w:t xml:space="preserve">kuri</w:t>
      </w:r>
      <w:r>
        <w:rPr>
          <w:noProof/>
          <w:szCs w:val="24"/>
        </w:rPr>
        <w:t xml:space="preserve">s</w:t>
      </w:r>
      <w:r>
        <w:rPr>
          <w:noProof/>
          <w:szCs w:val="24"/>
        </w:rPr>
        <w:t xml:space="preserve"> rengiamas pagal standartizuotus elementus</w:t>
      </w:r>
      <w:r>
        <w:rPr>
          <w:noProof/>
          <w:szCs w:val="24"/>
        </w:rPr>
        <w:t xml:space="preserve">. Projektuotojas taip pat turi parengti </w:t>
      </w:r>
      <w:r>
        <w:rPr>
          <w:noProof/>
          <w:szCs w:val="24"/>
        </w:rPr>
        <w:t xml:space="preserve">įkainotą </w:t>
      </w:r>
      <w:r>
        <w:rPr>
          <w:noProof/>
          <w:szCs w:val="24"/>
        </w:rPr>
        <w:t xml:space="preserve">standartizuotą darbų kiekių žiniaraštį (SDKŽ), atitinkantį Aprašo sprendinius.</w:t>
      </w:r>
      <w:r>
        <w:rPr>
          <w:szCs w:val="24"/>
        </w:rPr>
        <w:t xml:space="preserve"> Žiniaraščiai rengiami pagal pridedam</w:t>
      </w:r>
      <w:r>
        <w:rPr>
          <w:szCs w:val="24"/>
        </w:rPr>
        <w:t xml:space="preserve">as</w:t>
      </w:r>
      <w:r>
        <w:rPr>
          <w:szCs w:val="24"/>
        </w:rPr>
        <w:t xml:space="preserve"> form</w:t>
      </w:r>
      <w:r>
        <w:rPr>
          <w:szCs w:val="24"/>
        </w:rPr>
        <w:t xml:space="preserve">as</w:t>
      </w:r>
      <w:r>
        <w:rPr>
          <w:szCs w:val="24"/>
        </w:rPr>
        <w:t xml:space="preserve">.</w:t>
      </w:r>
      <w:r>
        <w:rPr>
          <w:szCs w:val="24"/>
        </w:rPr>
        <w:t xml:space="preserve"> </w:t>
      </w:r>
      <w:r>
        <w:rPr>
          <w:szCs w:val="24"/>
        </w:rPr>
        <w:t xml:space="preserve">Pagrindinės gairės žiniaraščio pildymui:</w:t>
      </w:r>
    </w:p>
    <w:p w14:paraId="61A6A963">
      <w:pPr>
        <w:pStyle w:val="ListParagraph"/>
        <w:numPr>
          <w:ilvl w:val="0"/>
          <w:numId w:val="12"/>
        </w:numPr>
        <w:tabs>
          <w:tab w:val="left" w:pos="426"/>
        </w:tabs>
        <w:suppressAutoHyphens/>
        <w:spacing/>
        <w:rPr>
          <w:noProof/>
          <w:szCs w:val="24"/>
        </w:rPr>
      </w:pPr>
      <w:r>
        <w:rPr>
          <w:noProof/>
          <w:szCs w:val="24"/>
        </w:rPr>
        <w:t xml:space="preserve">žiniaraštyje darbų pavadinimai nebūtinai turi atitikti pasirinktų standartizuotų elementų pavadinimus, jie gali būti tikslinami, atsižvelgiant į darbų specifiką (pavadinimo ilgis negali viršyti 100 ženklų); </w:t>
      </w:r>
    </w:p>
    <w:p w14:paraId="51BD2BE2">
      <w:pPr>
        <w:pStyle w:val="ListParagraph"/>
        <w:numPr>
          <w:ilvl w:val="0"/>
          <w:numId w:val="21"/>
        </w:numPr>
        <w:tabs>
          <w:tab w:val="left" w:pos="426"/>
        </w:tabs>
        <w:suppressAutoHyphens/>
        <w:spacing/>
        <w:rPr>
          <w:noProof/>
          <w:szCs w:val="24"/>
        </w:rPr>
      </w:pPr>
      <w:r>
        <w:rPr>
          <w:noProof/>
          <w:szCs w:val="24"/>
        </w:rPr>
        <w:t xml:space="preserve">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 </w:t>
      </w:r>
    </w:p>
    <w:p w14:paraId="61494CAC">
      <w:pPr>
        <w:pStyle w:val="ListParagraph"/>
        <w:numPr>
          <w:ilvl w:val="0"/>
          <w:numId w:val="9"/>
        </w:numPr>
        <w:tabs>
          <w:tab w:val="left" w:pos="426"/>
        </w:tabs>
        <w:suppressAutoHyphens/>
        <w:spacing/>
        <w:rPr>
          <w:noProof/>
          <w:szCs w:val="24"/>
        </w:rPr>
      </w:pPr>
      <w:r>
        <w:rPr>
          <w:noProof/>
          <w:szCs w:val="24"/>
        </w:rPr>
        <w:t xml:space="preserve">žiniaraštyje turi būti atskiras stulpelis, kuriame nurodomas standartizuoto sąmatos elemento kodas; </w:t>
      </w:r>
    </w:p>
    <w:p w14:paraId="540F5EF0">
      <w:pPr>
        <w:pStyle w:val="ListParagraph"/>
        <w:numPr>
          <w:ilvl w:val="0"/>
          <w:numId w:val="3"/>
        </w:numPr>
        <w:tabs>
          <w:tab w:val="left" w:pos="426"/>
        </w:tabs>
        <w:suppressAutoHyphens/>
        <w:spacing/>
        <w:rPr>
          <w:noProof/>
          <w:szCs w:val="24"/>
        </w:rPr>
      </w:pPr>
      <w:r>
        <w:rPr>
          <w:noProof/>
          <w:szCs w:val="24"/>
        </w:rPr>
        <w:t xml:space="preserve">žiniaraštyje 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 </w:t>
      </w:r>
    </w:p>
    <w:p w14:paraId="6CBA1213">
      <w:pPr>
        <w:pStyle w:val="ListParagraph"/>
        <w:numPr>
          <w:ilvl w:val="0"/>
          <w:numId w:val="8"/>
        </w:numPr>
        <w:tabs>
          <w:tab w:val="left" w:pos="426"/>
        </w:tabs>
        <w:suppressAutoHyphens/>
        <w:spacing/>
        <w:rPr>
          <w:noProof/>
          <w:szCs w:val="24"/>
        </w:rPr>
      </w:pPr>
      <w:r>
        <w:rPr>
          <w:noProof/>
          <w:szCs w:val="24"/>
        </w:rPr>
        <w:t xml:space="preserve">medžiagų ar darbų kiekiai turi būti nurodyti dviejų skaičių po kablelio tikslumu; </w:t>
      </w:r>
    </w:p>
    <w:p w14:paraId="39544A87">
      <w:pPr>
        <w:pStyle w:val="ListParagraph"/>
        <w:numPr>
          <w:ilvl w:val="0"/>
          <w:numId w:val="24"/>
        </w:numPr>
        <w:tabs>
          <w:tab w:val="left" w:pos="426"/>
        </w:tabs>
        <w:suppressAutoHyphens/>
        <w:spacing/>
        <w:rPr>
          <w:noProof/>
          <w:szCs w:val="24"/>
        </w:rPr>
      </w:pPr>
      <w:r>
        <w:rPr>
          <w:noProof/>
          <w:szCs w:val="24"/>
        </w:rPr>
        <w:t xml:space="preserve">jei projekte buvo nurodyti konkretūs medžiagų, pakartotinai naudojamų medžiagų, negrąžinamų medžiagų ar statybinių atliekų išvežimo atstumai, pildant žiniaraščius konkretūs km nerašomi, o rašoma „.....išvežimas rangovo pasirinktu atstumu“; </w:t>
      </w:r>
    </w:p>
    <w:p w14:paraId="71BBFEF9">
      <w:pPr>
        <w:pStyle w:val="ListParagraph"/>
        <w:numPr>
          <w:ilvl w:val="0"/>
          <w:numId w:val="14"/>
        </w:numPr>
        <w:tabs>
          <w:tab w:val="left" w:pos="426"/>
        </w:tabs>
        <w:suppressAutoHyphens/>
        <w:spacing/>
        <w:rPr>
          <w:noProof/>
          <w:szCs w:val="24"/>
        </w:rPr>
      </w:pPr>
      <w:r>
        <w:rPr>
          <w:noProof/>
          <w:szCs w:val="24"/>
        </w:rPr>
        <w:t xml:space="preserve">kiekiai negali būti rašomi su minuso ženklu (taikoma negrąžinamoms medžiagoms)</w:t>
      </w:r>
    </w:p>
    <w:p w14:paraId="124AFFE2">
      <w:pPr>
        <w:pStyle w:val="ListParagraph"/>
        <w:numPr>
          <w:ilvl w:val="2"/>
          <w:numId w:val="11"/>
        </w:numPr>
        <w:tabs>
          <w:tab w:val="left" w:pos="426"/>
        </w:tabs>
        <w:suppressAutoHyphens/>
        <w:spacing/>
        <w:ind w:left="0" w:firstLine="0"/>
        <w:jc w:val="both"/>
        <w:rPr>
          <w:noProof/>
          <w:szCs w:val="24"/>
        </w:rPr>
      </w:pPr>
      <w:r>
        <w:rPr>
          <w:szCs w:val="24"/>
        </w:rPr>
        <w:t xml:space="preserve">Sutartyje nustatytais terminais ir tvarka parengtą ir suderintą Aprašą skaitmenine forma (tekstinius dokumentus *.</w:t>
      </w:r>
      <w:r>
        <w:rPr>
          <w:i/>
          <w:szCs w:val="24"/>
        </w:rPr>
        <w:t xml:space="preserve">doc,</w:t>
      </w:r>
      <w:r>
        <w:rPr>
          <w:szCs w:val="24"/>
        </w:rPr>
        <w:t xml:space="preserve"> *.</w:t>
      </w:r>
      <w:r>
        <w:rPr>
          <w:i/>
          <w:szCs w:val="24"/>
        </w:rPr>
        <w:t xml:space="preserve">pdf</w:t>
      </w:r>
      <w:r>
        <w:rPr>
          <w:szCs w:val="24"/>
        </w:rPr>
        <w:t xml:space="preserve"> ir brėžinius *.</w:t>
      </w:r>
      <w:r>
        <w:rPr>
          <w:i/>
          <w:szCs w:val="24"/>
        </w:rPr>
        <w:t xml:space="preserve">pdf, *.dwg</w:t>
      </w:r>
      <w:r>
        <w:rPr>
          <w:szCs w:val="24"/>
        </w:rPr>
        <w:t xml:space="preserve"> formatu (su elektroniniais parašais)) perduoti Statytojui (Užsakovui). Kiekvienas atskiras dokumentas turi turėti konkretų dokumento paskirtį ir esmę atitinkantį pavadinimą. Statinio Aprašo dokumentai turi būti įforminti vadovaujantis LST 1516</w:t>
      </w:r>
      <w:r>
        <w:rPr>
          <w:szCs w:val="24"/>
        </w:rPr>
        <w:t xml:space="preserve">.</w:t>
      </w:r>
    </w:p>
    <w:p w14:paraId="0DE108A0">
      <w:pPr>
        <w:pStyle w:val="ListParagraph"/>
        <w:numPr>
          <w:ilvl w:val="2"/>
          <w:numId w:val="11"/>
        </w:numPr>
        <w:tabs>
          <w:tab w:val="left" w:pos="426"/>
        </w:tabs>
        <w:suppressAutoHyphens/>
        <w:spacing/>
        <w:ind w:left="0" w:firstLine="0"/>
        <w:jc w:val="both"/>
        <w:rPr>
          <w:noProof/>
          <w:szCs w:val="24"/>
        </w:rPr>
      </w:pPr>
      <w:r>
        <w:rPr>
          <w:noProof/>
          <w:szCs w:val="24"/>
        </w:rPr>
        <w:t xml:space="preserve">Tuo atveju, jeigu remontuojant objektą išaiškėja, kad reikia koreguoti Aprašą (ne dėl Užsakovo pageidavimo, kuris nebuvo įvardintas pirkimo dokumentuose) visi su tuo susiję kaštai padengiami Tiekėjo sąskaita. Tiekėjo parengto Aprašo trūkumų šalinimas remonto metu papildomai nebus apmokamas</w:t>
      </w:r>
      <w:r>
        <w:rPr>
          <w:noProof/>
          <w:szCs w:val="24"/>
        </w:rPr>
        <w:t xml:space="preserve">.</w:t>
      </w:r>
    </w:p>
    <w:p w14:paraId="354078FC">
      <w:pPr>
        <w:pStyle w:val="ListParagraph"/>
        <w:numPr>
          <w:ilvl w:val="2"/>
          <w:numId w:val="11"/>
        </w:numPr>
        <w:tabs>
          <w:tab w:val="left" w:pos="426"/>
        </w:tabs>
        <w:suppressAutoHyphens/>
        <w:spacing/>
        <w:ind w:left="0" w:firstLine="0"/>
        <w:jc w:val="both"/>
        <w:rPr>
          <w:noProof/>
          <w:szCs w:val="24"/>
        </w:rPr>
      </w:pPr>
      <w:r>
        <w:rPr>
          <w:noProof/>
          <w:szCs w:val="24"/>
        </w:rPr>
        <w:t xml:space="preserve">Apraše turi būti numatyti minimalūs aplinkos apsaugos kriterijai kelio elementams, išvardytiems </w:t>
      </w:r>
      <w:r>
        <w:rPr>
          <w:i/>
          <w:iCs/>
          <w:noProof/>
          <w:szCs w:val="24"/>
        </w:rPr>
        <w:t xml:space="preserve">Aplinkos apsaugos kriterijų taikymo, vykdant žaliuosius pirkimus</w:t>
      </w:r>
      <w:r>
        <w:rPr>
          <w:noProof/>
          <w:szCs w:val="24"/>
        </w:rPr>
        <w:t xml:space="preserve"> tvarkos aprašo 2 priedo XVII skyriuje „Kelių projektavimo paslaugos ir statybos darbai, kelio elementai“.</w:t>
      </w:r>
    </w:p>
    <w:p w14:paraId="22062611">
      <w:pPr>
        <w:pStyle w:val="ListParagraph"/>
        <w:numPr>
          <w:ilvl w:val="2"/>
          <w:numId w:val="11"/>
        </w:numPr>
        <w:tabs>
          <w:tab w:val="left" w:pos="426"/>
        </w:tabs>
        <w:suppressAutoHyphens/>
        <w:spacing/>
        <w:ind w:left="0" w:firstLine="0"/>
        <w:jc w:val="both"/>
        <w:rPr>
          <w:noProof/>
          <w:szCs w:val="24"/>
        </w:rPr>
      </w:pPr>
      <w:r>
        <w:rPr>
          <w:noProof/>
          <w:szCs w:val="24"/>
        </w:rPr>
        <w:t xml:space="preserve">Apraše turi būti pateikiama (neapsiribojant vien tik šia informacija): aiškinamasis raštas, dangų plano brėžinys (M1:500) ant topografinio arba ortofoto pagrindo, kelio dangos konstrukcijų brėžinys (įskaitant reikalingus kitų kelio elemento konstrukcinius brėžinius/detales), eismo organizavimo sprendiniai</w:t>
      </w:r>
      <w:r>
        <w:rPr>
          <w:noProof/>
          <w:szCs w:val="24"/>
        </w:rPr>
        <w:t xml:space="preserve"> (brėžinyje turi būti nurodyti projektuojami ir esami kelio ženklai, jų pastatymo vietos, horizontalusis ženklinimas ir kt.)</w:t>
      </w:r>
      <w:r>
        <w:rPr>
          <w:noProof/>
          <w:szCs w:val="24"/>
        </w:rPr>
        <w:t xml:space="preserve">, kartograma</w:t>
      </w:r>
      <w:r>
        <w:rPr>
          <w:noProof/>
          <w:szCs w:val="24"/>
        </w:rPr>
        <w:t xml:space="preserve">.</w:t>
      </w:r>
    </w:p>
    <w:p w14:paraId="49DEB2E5">
      <w:pPr>
        <w:pStyle w:val="ListParagraph"/>
        <w:numPr>
          <w:ilvl w:val="2"/>
          <w:numId w:val="11"/>
        </w:numPr>
        <w:tabs>
          <w:tab w:val="left" w:pos="426"/>
        </w:tabs>
        <w:suppressAutoHyphens/>
        <w:spacing/>
        <w:ind w:left="0" w:firstLine="0"/>
        <w:jc w:val="both"/>
        <w:rPr>
          <w:noProof/>
          <w:szCs w:val="24"/>
        </w:rPr>
      </w:pPr>
      <w:r>
        <w:rPr>
          <w:noProof/>
          <w:szCs w:val="24"/>
        </w:rPr>
        <w:t xml:space="preserve">parengti projektinius sprendinius nepažeidžiant esamo statinio (žemės sklypo) ribų</w:t>
      </w:r>
      <w:r>
        <w:rPr>
          <w:noProof/>
          <w:szCs w:val="24"/>
        </w:rPr>
        <w:t xml:space="preserve">.</w:t>
      </w:r>
    </w:p>
    <w:p w14:paraId="5138A5D2">
      <w:pPr>
        <w:pStyle w:val="ListParagraph"/>
        <w:tabs>
          <w:tab w:val="left" w:pos="426"/>
        </w:tabs>
        <w:suppressAutoHyphens/>
        <w:spacing/>
        <w:ind w:left="0"/>
        <w:jc w:val="both"/>
        <w:rPr>
          <w:noProof/>
          <w:szCs w:val="24"/>
        </w:rPr>
      </w:pPr>
    </w:p>
    <w:p w14:paraId="3EF2437D">
      <w:pPr>
        <w:pStyle w:val="ListParagraph"/>
        <w:numPr>
          <w:ilvl w:val="1"/>
          <w:numId w:val="11"/>
        </w:numPr>
        <w:spacing/>
        <w:ind w:left="284" w:hanging="284"/>
        <w:rPr>
          <w:b/>
          <w:noProof/>
          <w:szCs w:val="24"/>
        </w:rPr>
      </w:pPr>
      <w:r>
        <w:rPr>
          <w:b/>
          <w:noProof/>
          <w:szCs w:val="24"/>
        </w:rPr>
        <w:t xml:space="preserve">Asfalto dangos paviršiaus formavimo kartograma</w:t>
      </w:r>
    </w:p>
    <w:p w14:paraId="54B6813E">
      <w:pPr>
        <w:pStyle w:val="ListParagraph"/>
        <w:spacing/>
        <w:ind w:left="0"/>
        <w:jc w:val="both"/>
        <w:rPr>
          <w:bCs/>
          <w:noProof/>
          <w:szCs w:val="24"/>
        </w:rPr>
      </w:pPr>
      <w:r>
        <w:rPr>
          <w:bCs/>
          <w:noProof/>
          <w:szCs w:val="24"/>
        </w:rPr>
        <w:t xml:space="preserve">Tiekėjas privalo parengti ir suderinti su Užsakovu asfalto dangos paviršiaus formavimo kartogramą, kurioje turi būti pateikta (kas 10 metrų išilgine kryptimi, skersine kryptimi pagal Užsakovo pateiktų esamos asfalto dangos storio matavimo duomenų padėtį kelio ašies atžvilgiu). Kai nėra atliekamas esamos asfalto dangos frezavimas, asfalto dangos paviršiaus formavimo kartogramoje turi būti pavaizduoti išlyginamųjų asfalto dangos sluoksnių storiai, dangos frezavimas pažeistų asfalto dangos vietų užtaisymui (išdaužos, plyšių tinklas, nutrupėję dangos kraštai) jeigu tokių vietų bus, kiti dangos paviršiaus formavimo būdai bei geometriniai parametrai ant plano brėžinių:</w:t>
      </w:r>
    </w:p>
    <w:p w14:paraId="7888FC6A">
      <w:pPr>
        <w:pStyle w:val="ListParagraph"/>
        <w:spacing/>
        <w:ind w:left="284" w:firstLine="850"/>
        <w:rPr>
          <w:bCs/>
          <w:noProof/>
          <w:szCs w:val="24"/>
        </w:rPr>
      </w:pPr>
      <w:r>
        <w:rPr>
          <w:bCs/>
          <w:noProof/>
          <w:szCs w:val="24"/>
        </w:rPr>
        <w:t xml:space="preserve">•</w:t>
      </w:r>
      <w:r>
        <w:rPr>
          <w:bCs/>
          <w:noProof/>
          <w:szCs w:val="24"/>
        </w:rPr>
        <w:tab/>
        <w:t xml:space="preserve"/>
      </w:r>
      <w:r>
        <w:rPr>
          <w:bCs/>
          <w:noProof/>
          <w:szCs w:val="24"/>
        </w:rPr>
        <w:t xml:space="preserve">grafinis frezuojamų asfalto dangos plotų atvaizdavimas su nurodytais frezavimo storiais (dangų suvedimuose);</w:t>
      </w:r>
    </w:p>
    <w:p w14:paraId="3A4866FE">
      <w:pPr>
        <w:pStyle w:val="ListParagraph"/>
        <w:spacing/>
        <w:ind w:left="1276" w:hanging="142"/>
        <w:rPr>
          <w:bCs/>
          <w:noProof/>
          <w:szCs w:val="24"/>
        </w:rPr>
      </w:pPr>
      <w:r>
        <w:rPr>
          <w:bCs/>
          <w:noProof/>
          <w:szCs w:val="24"/>
        </w:rPr>
        <w:t xml:space="preserve">•</w:t>
      </w:r>
      <w:r>
        <w:rPr>
          <w:bCs/>
          <w:noProof/>
          <w:szCs w:val="24"/>
        </w:rPr>
        <w:tab/>
        <w:t xml:space="preserve"/>
      </w:r>
      <w:r>
        <w:rPr>
          <w:bCs/>
          <w:noProof/>
          <w:szCs w:val="24"/>
        </w:rPr>
        <w:t xml:space="preserve">grafinis išlyginamųjų asfalto dangos sluoksnių atvaizdavimas su nurodytais sluoksnio storiais</w:t>
      </w:r>
      <w:r>
        <w:rPr>
          <w:bCs/>
          <w:noProof/>
          <w:szCs w:val="24"/>
        </w:rPr>
        <w:t xml:space="preserve"> (</w:t>
      </w:r>
      <w:r>
        <w:rPr>
          <w:bCs/>
          <w:noProof/>
          <w:szCs w:val="24"/>
        </w:rPr>
        <w:t xml:space="preserve">spalvų pokyčio žingsnis </w:t>
      </w:r>
      <w:r>
        <w:rPr>
          <w:bCs/>
          <w:noProof/>
          <w:szCs w:val="24"/>
        </w:rPr>
        <w:t xml:space="preserve">– ne rečiau nei</w:t>
      </w:r>
      <w:r>
        <w:rPr>
          <w:bCs/>
          <w:noProof/>
          <w:szCs w:val="24"/>
        </w:rPr>
        <w:t xml:space="preserve"> kas 3 cm</w:t>
      </w:r>
      <w:r>
        <w:rPr>
          <w:bCs/>
          <w:noProof/>
          <w:szCs w:val="24"/>
        </w:rPr>
        <w:t xml:space="preserve">)</w:t>
      </w:r>
      <w:r>
        <w:rPr>
          <w:bCs/>
          <w:noProof/>
          <w:szCs w:val="24"/>
        </w:rPr>
        <w:t xml:space="preserve">;</w:t>
      </w:r>
    </w:p>
    <w:p w14:paraId="06A3FB1D">
      <w:pPr>
        <w:pStyle w:val="ListParagraph"/>
        <w:spacing/>
        <w:ind w:left="284" w:firstLine="850"/>
        <w:rPr>
          <w:bCs/>
          <w:noProof/>
          <w:szCs w:val="24"/>
        </w:rPr>
      </w:pPr>
      <w:r>
        <w:rPr>
          <w:bCs/>
          <w:noProof/>
          <w:szCs w:val="24"/>
        </w:rPr>
        <w:t xml:space="preserve">•</w:t>
      </w:r>
      <w:r>
        <w:rPr>
          <w:bCs/>
          <w:noProof/>
          <w:szCs w:val="24"/>
        </w:rPr>
        <w:tab/>
        <w:t xml:space="preserve"/>
      </w:r>
      <w:r>
        <w:rPr>
          <w:bCs/>
          <w:noProof/>
          <w:szCs w:val="24"/>
        </w:rPr>
        <w:t xml:space="preserve">viršutinio surištosios dangos sluoksnio storis;</w:t>
      </w:r>
    </w:p>
    <w:p w14:paraId="5BE53D08">
      <w:pPr>
        <w:pStyle w:val="ListParagraph"/>
        <w:spacing/>
        <w:ind w:left="284" w:firstLine="850"/>
        <w:rPr>
          <w:bCs/>
          <w:noProof/>
          <w:szCs w:val="24"/>
        </w:rPr>
      </w:pPr>
      <w:r>
        <w:rPr>
          <w:bCs/>
          <w:noProof/>
          <w:szCs w:val="24"/>
        </w:rPr>
        <w:t xml:space="preserve">•</w:t>
      </w:r>
      <w:r>
        <w:rPr>
          <w:bCs/>
          <w:noProof/>
          <w:szCs w:val="24"/>
        </w:rPr>
        <w:tab/>
        <w:t xml:space="preserve"/>
      </w:r>
      <w:r>
        <w:rPr>
          <w:bCs/>
          <w:noProof/>
          <w:szCs w:val="24"/>
        </w:rPr>
        <w:t xml:space="preserve">skersiniai nuolydžiai</w:t>
      </w:r>
      <w:r>
        <w:rPr>
          <w:bCs/>
          <w:noProof/>
          <w:szCs w:val="24"/>
        </w:rPr>
        <w:t xml:space="preserve"> (nuolydžio </w:t>
      </w:r>
      <w:r>
        <w:rPr>
          <w:bCs/>
          <w:noProof/>
          <w:szCs w:val="24"/>
        </w:rPr>
        <w:t xml:space="preserve">pokytis negali viršyti 0,5 %)</w:t>
      </w:r>
      <w:r>
        <w:rPr>
          <w:bCs/>
          <w:noProof/>
          <w:szCs w:val="24"/>
        </w:rPr>
        <w:t xml:space="preserve">;</w:t>
      </w:r>
    </w:p>
    <w:p w14:paraId="04635046">
      <w:pPr>
        <w:pStyle w:val="ListParagraph"/>
        <w:spacing/>
        <w:ind w:left="284" w:firstLine="850"/>
        <w:rPr>
          <w:bCs/>
          <w:noProof/>
          <w:szCs w:val="24"/>
        </w:rPr>
      </w:pPr>
      <w:r>
        <w:rPr>
          <w:bCs/>
          <w:noProof/>
          <w:szCs w:val="24"/>
        </w:rPr>
        <w:t xml:space="preserve">•</w:t>
      </w:r>
      <w:r>
        <w:rPr>
          <w:bCs/>
          <w:noProof/>
          <w:szCs w:val="24"/>
        </w:rPr>
        <w:tab/>
        <w:t xml:space="preserve"/>
      </w:r>
      <w:r>
        <w:rPr>
          <w:bCs/>
          <w:noProof/>
          <w:szCs w:val="24"/>
        </w:rPr>
        <w:t xml:space="preserve">išilginiai nuolydžiai ašyje;</w:t>
      </w:r>
    </w:p>
    <w:p w14:paraId="710B4446">
      <w:pPr>
        <w:pStyle w:val="ListParagraph"/>
        <w:spacing/>
        <w:ind w:left="284" w:firstLine="850"/>
        <w:rPr>
          <w:bCs/>
          <w:noProof/>
          <w:szCs w:val="24"/>
        </w:rPr>
      </w:pPr>
      <w:r>
        <w:rPr>
          <w:bCs/>
          <w:noProof/>
          <w:szCs w:val="24"/>
        </w:rPr>
        <w:t xml:space="preserve">•</w:t>
      </w:r>
      <w:r>
        <w:rPr>
          <w:bCs/>
          <w:noProof/>
          <w:szCs w:val="24"/>
        </w:rPr>
        <w:tab/>
        <w:t xml:space="preserve"/>
      </w:r>
      <w:r>
        <w:rPr>
          <w:bCs/>
          <w:noProof/>
          <w:szCs w:val="24"/>
        </w:rPr>
        <w:t xml:space="preserve">esamos asfalto dangos altitudės;</w:t>
      </w:r>
    </w:p>
    <w:p w14:paraId="58473022">
      <w:pPr>
        <w:pStyle w:val="ListParagraph"/>
        <w:spacing/>
        <w:ind w:left="284" w:firstLine="850"/>
        <w:rPr>
          <w:bCs/>
          <w:noProof/>
          <w:szCs w:val="24"/>
        </w:rPr>
      </w:pPr>
      <w:r>
        <w:rPr>
          <w:bCs/>
          <w:noProof/>
          <w:szCs w:val="24"/>
        </w:rPr>
        <w:t xml:space="preserve">•</w:t>
      </w:r>
      <w:r>
        <w:rPr>
          <w:bCs/>
          <w:noProof/>
          <w:szCs w:val="24"/>
        </w:rPr>
        <w:tab/>
        <w:t xml:space="preserve"/>
      </w:r>
      <w:r>
        <w:rPr>
          <w:bCs/>
          <w:noProof/>
          <w:szCs w:val="24"/>
        </w:rPr>
        <w:t xml:space="preserve">projektuojamos asfalto dangos altitudės;</w:t>
      </w:r>
    </w:p>
    <w:p w14:paraId="76AF94F9">
      <w:pPr>
        <w:pStyle w:val="ListParagraph"/>
        <w:spacing/>
        <w:ind w:left="284" w:firstLine="850"/>
        <w:rPr>
          <w:bCs/>
          <w:noProof/>
          <w:szCs w:val="24"/>
        </w:rPr>
      </w:pPr>
      <w:r>
        <w:rPr>
          <w:bCs/>
          <w:noProof/>
          <w:szCs w:val="24"/>
        </w:rPr>
        <w:t xml:space="preserve">•</w:t>
      </w:r>
      <w:r>
        <w:rPr>
          <w:bCs/>
          <w:noProof/>
          <w:szCs w:val="24"/>
        </w:rPr>
        <w:tab/>
        <w:t xml:space="preserve"/>
      </w:r>
      <w:r>
        <w:rPr>
          <w:bCs/>
          <w:noProof/>
          <w:szCs w:val="24"/>
        </w:rPr>
        <w:t xml:space="preserve">kelio bortų altitudės</w:t>
      </w:r>
    </w:p>
    <w:p w14:paraId="35B00FA2">
      <w:pPr>
        <w:spacing/>
        <w:jc w:val="left"/>
        <w:rPr>
          <w:rFonts w:ascii="Arial Narrow" w:hAnsi="Arial Narrow"/>
          <w:b/>
          <w:caps/>
        </w:rPr>
      </w:pPr>
    </w:p>
    <w:p w14:paraId="7BA23BB8">
      <w:pPr>
        <w:pStyle w:val="ListParagraph"/>
        <w:numPr>
          <w:ilvl w:val="1"/>
          <w:numId w:val="11"/>
        </w:numPr>
        <w:tabs>
          <w:tab w:val="left" w:pos="284"/>
        </w:tabs>
        <w:spacing w:line="259" w:lineRule="auto"/>
        <w:ind w:left="567" w:hanging="567"/>
        <w:jc w:val="both"/>
        <w:rPr>
          <w:rFonts w:eastAsia="Arial Nova" w:cs="Arial Nova"/>
          <w:b/>
          <w:bCs/>
          <w:noProof/>
        </w:rPr>
      </w:pPr>
      <w:r>
        <w:rPr>
          <w:rFonts w:eastAsia="Arial Nova" w:cs="Arial Nova"/>
          <w:b/>
          <w:bCs/>
          <w:noProof/>
        </w:rPr>
        <w:t xml:space="preserve">Aprašo parengimo etapai, tvarka, terminai</w:t>
      </w:r>
    </w:p>
    <w:p w14:paraId="19D9F59C">
      <w:pPr>
        <w:pStyle w:val="ListParagraph"/>
        <w:numPr>
          <w:ilvl w:val="2"/>
          <w:numId w:val="11"/>
        </w:numPr>
        <w:tabs>
          <w:tab w:val="left" w:pos="426"/>
        </w:tabs>
        <w:spacing/>
        <w:ind w:left="0" w:firstLine="0"/>
        <w:rPr>
          <w:rFonts w:eastAsia="Arial Nova" w:cs="Arial Nova"/>
          <w:noProof/>
        </w:rPr>
      </w:pPr>
      <w:r>
        <w:rPr>
          <w:rFonts w:eastAsia="Arial Nova" w:cs="Arial Nova"/>
          <w:noProof/>
        </w:rPr>
        <w:t xml:space="preserve">Aprašo parengimas ir pateikimas Užsakovo peržiūrai. Terminai:</w:t>
      </w:r>
    </w:p>
    <w:tbl>
      <w:tblPr>
        <w:tblW w:w="9073" w:type="dxa"/>
        <w:tblInd w:w="-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5153"/>
        <w:gridCol w:w="1979"/>
        <w:gridCol w:w="1941"/>
      </w:tblGrid>
      <w:tr>
        <w:trPr>
          <w:trHeight w:val="556" w:hRule="atLeast"/>
        </w:trPr>
        <w:tc>
          <w:tcPr>
            <w:tcW w:type="dxa" w:w="5153"/>
            <w:tcBorders>
              <w:top w:val="single" w:color="auto" w:sz="4" w:space="0"/>
              <w:left w:val="single" w:color="auto" w:sz="4" w:space="0"/>
              <w:bottom w:val="single" w:color="auto" w:sz="4" w:space="0"/>
              <w:right w:val="single" w:color="auto" w:sz="4" w:space="0"/>
            </w:tcBorders>
            <w:shd w:fill="005063" w:color="auto" w:val="clear"/>
            <w:hideMark/>
            <w:vAlign w:val="center"/>
          </w:tcPr>
          <w:p>
            <w:pPr>
              <w:pStyle w:val="ListParagraph"/>
              <w:tabs>
                <w:tab w:val="left" w:pos="426"/>
              </w:tabs>
              <w:spacing/>
              <w:ind w:left="0"/>
              <w:jc w:val="center"/>
              <w:rPr>
                <w:rFonts w:cs="Times New Roman"/>
                <w:b/>
                <w:bCs/>
                <w:szCs w:val="20"/>
              </w:rPr>
            </w:pPr>
            <w:r>
              <w:rPr>
                <w:rFonts w:cs="Times New Roman"/>
                <w:b/>
                <w:bCs/>
                <w:szCs w:val="20"/>
              </w:rPr>
              <w:t xml:space="preserve">Veiksmas</w:t>
            </w:r>
          </w:p>
        </w:tc>
        <w:tc>
          <w:tcPr>
            <w:tcW w:type="dxa" w:w="1979"/>
            <w:tcBorders>
              <w:top w:val="single" w:color="auto" w:sz="4" w:space="0"/>
              <w:left w:val="single" w:color="auto" w:sz="4" w:space="0"/>
              <w:bottom w:val="single" w:color="auto" w:sz="4" w:space="0"/>
              <w:right w:val="single" w:color="auto" w:sz="4" w:space="0"/>
            </w:tcBorders>
            <w:shd w:fill="005063" w:color="auto" w:val="clear"/>
            <w:hideMark/>
            <w:vAlign w:val="center"/>
          </w:tcPr>
          <w:p>
            <w:pPr>
              <w:pStyle w:val="ListParagraph"/>
              <w:tabs>
                <w:tab w:val="left" w:pos="426"/>
              </w:tabs>
              <w:spacing/>
              <w:ind w:left="0"/>
              <w:jc w:val="center"/>
              <w:rPr>
                <w:rFonts w:cs="Times New Roman"/>
                <w:b/>
                <w:bCs/>
                <w:szCs w:val="20"/>
              </w:rPr>
            </w:pPr>
            <w:r>
              <w:rPr>
                <w:rFonts w:cs="Times New Roman"/>
                <w:b/>
                <w:bCs/>
                <w:szCs w:val="20"/>
              </w:rPr>
              <w:t xml:space="preserve">Darbo dienų skaičius, max</w:t>
            </w:r>
          </w:p>
        </w:tc>
        <w:tc>
          <w:tcPr>
            <w:tcW w:type="dxa" w:w="1941"/>
            <w:tcBorders>
              <w:top w:val="single" w:color="auto" w:sz="4" w:space="0"/>
              <w:left w:val="single" w:color="auto" w:sz="4" w:space="0"/>
              <w:bottom w:val="single" w:color="auto" w:sz="4" w:space="0"/>
              <w:right w:val="single" w:color="auto" w:sz="4" w:space="0"/>
            </w:tcBorders>
            <w:shd w:fill="005063" w:color="auto" w:val="clear"/>
            <w:hideMark/>
            <w:vAlign w:val="center"/>
          </w:tcPr>
          <w:p>
            <w:pPr>
              <w:pStyle w:val="ListParagraph"/>
              <w:tabs>
                <w:tab w:val="left" w:pos="426"/>
              </w:tabs>
              <w:spacing/>
              <w:ind w:left="0"/>
              <w:jc w:val="center"/>
              <w:rPr>
                <w:rFonts w:cs="Times New Roman"/>
                <w:b/>
                <w:bCs/>
                <w:szCs w:val="20"/>
              </w:rPr>
            </w:pPr>
            <w:r>
              <w:rPr>
                <w:rFonts w:cs="Times New Roman"/>
                <w:b/>
                <w:bCs/>
                <w:szCs w:val="20"/>
              </w:rPr>
              <w:t xml:space="preserve">Pastabos</w:t>
            </w:r>
          </w:p>
        </w:tc>
      </w:tr>
      <w:tr>
        <w:trPr>
          <w:trHeight w:val="300" w:hRule="atLeast"/>
        </w:trPr>
        <w:tc>
          <w:tcPr>
            <w:tcW w:type="dxa" w:w="5153"/>
            <w:tcBorders>
              <w:top w:val="single" w:color="auto" w:sz="4" w:space="0"/>
              <w:left w:val="single" w:color="auto" w:sz="4" w:space="0"/>
              <w:bottom w:val="single" w:color="auto" w:sz="4" w:space="0"/>
              <w:right w:val="single" w:color="auto" w:sz="4" w:space="0"/>
            </w:tcBorders>
            <w:hideMark/>
            <w:vAlign w:val="center"/>
          </w:tcPr>
          <w:p>
            <w:pPr>
              <w:pStyle w:val="ListParagraph"/>
              <w:numPr>
                <w:ilvl w:val="0"/>
                <w:numId w:val="30"/>
              </w:numPr>
              <w:tabs>
                <w:tab w:val="left" w:pos="426"/>
              </w:tabs>
              <w:spacing/>
              <w:rPr>
                <w:rFonts w:cs="Times New Roman"/>
                <w:szCs w:val="20"/>
              </w:rPr>
            </w:pPr>
            <w:r>
              <w:rPr>
                <w:rFonts w:cs="Times New Roman"/>
                <w:szCs w:val="20"/>
              </w:rPr>
              <w:t xml:space="preserve">Užsakovas peržiūri pateiktą Aprašą ir pateikia pastabas</w:t>
            </w:r>
          </w:p>
        </w:tc>
        <w:tc>
          <w:tcPr>
            <w:tcW w:type="dxa" w:w="1979"/>
            <w:tcBorders>
              <w:top w:val="single" w:color="auto" w:sz="4" w:space="0"/>
              <w:left w:val="single" w:color="auto" w:sz="4" w:space="0"/>
              <w:bottom w:val="single" w:color="auto" w:sz="4" w:space="0"/>
              <w:right w:val="single" w:color="auto" w:sz="4" w:space="0"/>
            </w:tcBorders>
            <w:hideMark/>
            <w:vAlign w:val="center"/>
          </w:tcPr>
          <w:p>
            <w:pPr>
              <w:pStyle w:val="ListParagraph"/>
              <w:tabs>
                <w:tab w:val="left" w:pos="426"/>
              </w:tabs>
              <w:spacing/>
              <w:ind w:left="0"/>
              <w:jc w:val="center"/>
              <w:rPr>
                <w:rFonts w:cs="Times New Roman"/>
                <w:szCs w:val="20"/>
              </w:rPr>
            </w:pPr>
            <w:r>
              <w:rPr>
                <w:rFonts w:cs="Times New Roman"/>
                <w:szCs w:val="20"/>
              </w:rPr>
              <w:t xml:space="preserve">7</w:t>
            </w:r>
          </w:p>
        </w:tc>
        <w:tc>
          <w:tcPr>
            <w:tcW w:type="dxa" w:w="1941"/>
            <w:tcBorders>
              <w:top w:val="single" w:color="auto" w:sz="4" w:space="0"/>
              <w:left w:val="single" w:color="auto" w:sz="4" w:space="0"/>
              <w:bottom w:val="single" w:color="auto" w:sz="4" w:space="0"/>
              <w:right w:val="single" w:color="auto" w:sz="4" w:space="0"/>
            </w:tcBorders>
            <w:hideMark/>
          </w:tcPr>
          <w:p>
            <w:pPr>
              <w:pStyle w:val="ListParagraph"/>
              <w:tabs>
                <w:tab w:val="left" w:pos="426"/>
              </w:tabs>
              <w:spacing/>
              <w:ind w:left="0"/>
              <w:rPr>
                <w:rFonts w:cs="Times New Roman"/>
                <w:szCs w:val="20"/>
              </w:rPr>
            </w:pPr>
            <w:r>
              <w:rPr>
                <w:rFonts w:cs="Times New Roman"/>
                <w:szCs w:val="20"/>
              </w:rPr>
              <w:t xml:space="preserve"> </w:t>
            </w:r>
          </w:p>
        </w:tc>
      </w:tr>
      <w:tr>
        <w:trPr>
          <w:trHeight w:val="300" w:hRule="atLeast"/>
        </w:trPr>
        <w:tc>
          <w:tcPr>
            <w:tcW w:type="dxa" w:w="5153"/>
            <w:tcBorders>
              <w:top w:val="single" w:color="auto" w:sz="4" w:space="0"/>
              <w:left w:val="single" w:color="auto" w:sz="4" w:space="0"/>
              <w:bottom w:val="single" w:color="auto" w:sz="4" w:space="0"/>
              <w:right w:val="single" w:color="auto" w:sz="4" w:space="0"/>
            </w:tcBorders>
            <w:hideMark/>
          </w:tcPr>
          <w:p>
            <w:pPr>
              <w:pStyle w:val="ListParagraph"/>
              <w:numPr>
                <w:ilvl w:val="0"/>
                <w:numId w:val="27"/>
              </w:numPr>
              <w:tabs>
                <w:tab w:val="left" w:pos="426"/>
              </w:tabs>
              <w:spacing/>
              <w:rPr>
                <w:rFonts w:cs="Times New Roman"/>
                <w:szCs w:val="20"/>
              </w:rPr>
            </w:pPr>
            <w:r>
              <w:rPr>
                <w:rFonts w:cs="Times New Roman"/>
                <w:szCs w:val="20"/>
              </w:rPr>
              <w:t xml:space="preserve">Teikėjas taiso Aprašą ir pateikia tiesiogiai Užsakovui pakartotinei peržiūrai. Prie gautų pastabų pateikiami atsakymai ir / ar nurodoma pataisymo vieta projektinėje dokumentacijoje (*.xlsx formatu)</w:t>
            </w:r>
          </w:p>
        </w:tc>
        <w:tc>
          <w:tcPr>
            <w:tcW w:type="dxa" w:w="1979"/>
            <w:tcBorders>
              <w:top w:val="single" w:color="auto" w:sz="4" w:space="0"/>
              <w:left w:val="single" w:color="auto" w:sz="4" w:space="0"/>
              <w:bottom w:val="single" w:color="auto" w:sz="4" w:space="0"/>
              <w:right w:val="single" w:color="auto" w:sz="4" w:space="0"/>
            </w:tcBorders>
            <w:hideMark/>
            <w:vAlign w:val="center"/>
          </w:tcPr>
          <w:p>
            <w:pPr>
              <w:pStyle w:val="ListParagraph"/>
              <w:tabs>
                <w:tab w:val="left" w:pos="426"/>
              </w:tabs>
              <w:spacing/>
              <w:ind w:left="0"/>
              <w:jc w:val="center"/>
              <w:rPr>
                <w:rFonts w:cs="Times New Roman"/>
                <w:szCs w:val="20"/>
              </w:rPr>
            </w:pPr>
            <w:r>
              <w:rPr>
                <w:rFonts w:cs="Times New Roman"/>
                <w:szCs w:val="20"/>
              </w:rPr>
              <w:t xml:space="preserve">Teikėjo atsakomybė</w:t>
            </w:r>
          </w:p>
        </w:tc>
        <w:tc>
          <w:tcPr>
            <w:tcW w:type="dxa" w:w="1941"/>
            <w:vMerge w:val="restart"/>
            <w:tcBorders>
              <w:top w:val="single" w:color="auto" w:sz="4" w:space="0"/>
              <w:left w:val="single" w:color="auto" w:sz="4" w:space="0"/>
              <w:bottom w:val="single" w:color="auto" w:sz="4" w:space="0"/>
              <w:right w:val="single" w:color="auto" w:sz="4" w:space="0"/>
            </w:tcBorders>
            <w:hideMark/>
            <w:vAlign w:val="center"/>
          </w:tcPr>
          <w:p>
            <w:pPr>
              <w:pStyle w:val="ListParagraph"/>
              <w:tabs>
                <w:tab w:val="left" w:pos="426"/>
              </w:tabs>
              <w:spacing/>
              <w:ind w:left="0"/>
              <w:jc w:val="center"/>
              <w:rPr>
                <w:rFonts w:cs="Times New Roman"/>
                <w:szCs w:val="20"/>
              </w:rPr>
            </w:pPr>
            <w:r>
              <w:rPr>
                <w:rFonts w:cs="Times New Roman"/>
                <w:szCs w:val="20"/>
              </w:rPr>
              <w:t xml:space="preserve">Šios dvi procedūros kartojamos tol, kol projektas yra pataisomas</w:t>
            </w:r>
          </w:p>
        </w:tc>
      </w:tr>
      <w:tr>
        <w:trPr>
          <w:trHeight w:val="300" w:hRule="atLeast"/>
        </w:trPr>
        <w:tc>
          <w:tcPr>
            <w:tcW w:type="dxa" w:w="5153"/>
            <w:tcBorders>
              <w:top w:val="single" w:color="auto" w:sz="4" w:space="0"/>
              <w:left w:val="single" w:color="auto" w:sz="4" w:space="0"/>
              <w:bottom w:val="single" w:color="auto" w:sz="4" w:space="0"/>
              <w:right w:val="single" w:color="auto" w:sz="4" w:space="0"/>
            </w:tcBorders>
            <w:hideMark/>
          </w:tcPr>
          <w:p>
            <w:pPr>
              <w:pStyle w:val="ListParagraph"/>
              <w:numPr>
                <w:ilvl w:val="0"/>
                <w:numId w:val="7"/>
              </w:numPr>
              <w:tabs>
                <w:tab w:val="left" w:pos="426"/>
              </w:tabs>
              <w:spacing/>
              <w:rPr>
                <w:rFonts w:cs="Times New Roman"/>
                <w:szCs w:val="20"/>
              </w:rPr>
            </w:pPr>
            <w:r>
              <w:rPr>
                <w:rFonts w:cs="Times New Roman"/>
                <w:szCs w:val="20"/>
              </w:rPr>
              <w:t xml:space="preserve">Užsakovas pakartotinai peržiūri teikiamą Aprašą</w:t>
            </w:r>
          </w:p>
        </w:tc>
        <w:tc>
          <w:tcPr>
            <w:tcW w:type="dxa" w:w="1979"/>
            <w:tcBorders>
              <w:top w:val="single" w:color="auto" w:sz="4" w:space="0"/>
              <w:left w:val="single" w:color="auto" w:sz="4" w:space="0"/>
              <w:bottom w:val="single" w:color="auto" w:sz="4" w:space="0"/>
              <w:right w:val="single" w:color="auto" w:sz="4" w:space="0"/>
            </w:tcBorders>
            <w:hideMark/>
            <w:vAlign w:val="center"/>
          </w:tcPr>
          <w:p>
            <w:pPr>
              <w:pStyle w:val="ListParagraph"/>
              <w:tabs>
                <w:tab w:val="left" w:pos="426"/>
              </w:tabs>
              <w:spacing/>
              <w:ind w:left="0"/>
              <w:jc w:val="center"/>
              <w:rPr>
                <w:rFonts w:cs="Times New Roman"/>
                <w:szCs w:val="20"/>
              </w:rPr>
            </w:pPr>
            <w:r>
              <w:rPr>
                <w:rFonts w:cs="Times New Roman"/>
                <w:szCs w:val="20"/>
              </w:rPr>
              <w:t xml:space="preserve">5</w:t>
            </w:r>
          </w:p>
        </w:tc>
        <w:tc>
          <w:tcPr>
            <w:tcW w:type="auto" w:w="0"/>
            <w:vMerge w:val="continue"/>
            <w:tcBorders/>
            <w:hideMark/>
            <w:vAlign w:val="center"/>
          </w:tcPr>
          <w:p>
            <w:pPr>
              <w:pStyle w:val="ListParagraph"/>
              <w:tabs>
                <w:tab w:val="left" w:pos="426"/>
              </w:tabs>
              <w:spacing/>
              <w:rPr>
                <w:rFonts w:cs="Times New Roman"/>
                <w:szCs w:val="20"/>
              </w:rPr>
            </w:pPr>
          </w:p>
        </w:tc>
      </w:tr>
    </w:tbl>
    <w:p w14:paraId="75FEDC95">
      <w:pPr>
        <w:pStyle w:val="ListParagraph"/>
        <w:tabs>
          <w:tab w:val="left" w:pos="426"/>
        </w:tabs>
        <w:spacing/>
        <w:ind w:left="0"/>
        <w:rPr>
          <w:rFonts w:cs="Times New Roman"/>
          <w:szCs w:val="20"/>
        </w:rPr>
      </w:pPr>
    </w:p>
    <w:p w14:paraId="4D612728">
      <w:pPr>
        <w:pStyle w:val="ListParagraph"/>
        <w:numPr>
          <w:ilvl w:val="2"/>
          <w:numId w:val="11"/>
        </w:numPr>
        <w:tabs>
          <w:tab w:val="left" w:pos="426"/>
        </w:tabs>
        <w:spacing/>
        <w:ind w:left="0" w:firstLine="0"/>
        <w:rPr>
          <w:rFonts w:cs="Times New Roman"/>
          <w:szCs w:val="20"/>
        </w:rPr>
      </w:pPr>
      <w:r>
        <w:rPr>
          <w:rFonts w:cs="Times New Roman"/>
          <w:szCs w:val="20"/>
        </w:rPr>
        <w:t xml:space="preserve"> Atlikus 3.</w:t>
      </w:r>
      <w:r>
        <w:rPr>
          <w:rFonts w:cs="Times New Roman"/>
          <w:szCs w:val="20"/>
        </w:rPr>
        <w:t xml:space="preserve">5</w:t>
      </w:r>
      <w:r>
        <w:rPr>
          <w:rFonts w:cs="Times New Roman"/>
          <w:szCs w:val="20"/>
        </w:rPr>
        <w:t xml:space="preserve">.1. punkto etapą, eismo organizavimo sprendinių (plano) derinimas, teikiant duomenis el. paštu </w:t>
      </w:r>
      <w:r>
        <w:rPr/>
        <w:fldChar w:fldCharType="begin"/>
      </w:r>
      <w:r>
        <w:rPr/>
        <w:instrText xml:space="preserve">HYPERLINK "mailto:eos@vialietuva.lt" </w:instrText>
      </w:r>
      <w:r>
        <w:rPr/>
        <w:fldChar w:fldCharType="separate"/>
      </w:r>
      <w:r>
        <w:rPr>
          <w:rFonts w:cs="Times New Roman"/>
          <w:szCs w:val="20"/>
        </w:rPr>
        <w:t xml:space="preserve">eos@vialietuva.lt</w:t>
      </w:r>
      <w:r>
        <w:rPr/>
        <w:fldChar w:fldCharType="end"/>
      </w:r>
      <w:r>
        <w:rPr>
          <w:rFonts w:cs="Times New Roman"/>
          <w:szCs w:val="20"/>
        </w:rPr>
        <w:t xml:space="preserve">.</w:t>
      </w:r>
    </w:p>
    <w:p w14:paraId="2327FA15">
      <w:pPr>
        <w:pStyle w:val="ListParagraph"/>
        <w:numPr>
          <w:ilvl w:val="2"/>
          <w:numId w:val="11"/>
        </w:numPr>
        <w:tabs>
          <w:tab w:val="left" w:pos="426"/>
        </w:tabs>
        <w:spacing/>
        <w:ind w:left="0" w:firstLine="0"/>
        <w:rPr>
          <w:rFonts w:cs="Times New Roman"/>
          <w:szCs w:val="20"/>
        </w:rPr>
      </w:pPr>
      <w:r>
        <w:rPr>
          <w:rFonts w:cs="Times New Roman"/>
          <w:szCs w:val="20"/>
        </w:rPr>
        <w:t xml:space="preserve"> Aprašo galutinis derinimas.</w:t>
      </w:r>
    </w:p>
    <w:p w14:paraId="4FB1B538">
      <w:pPr>
        <w:pStyle w:val="ListParagraph"/>
        <w:numPr>
          <w:ilvl w:val="2"/>
          <w:numId w:val="11"/>
        </w:numPr>
        <w:tabs>
          <w:tab w:val="left" w:pos="426"/>
        </w:tabs>
        <w:spacing/>
        <w:ind w:left="0" w:firstLine="0"/>
        <w:rPr>
          <w:rFonts w:cs="Times New Roman"/>
          <w:szCs w:val="20"/>
        </w:rPr>
      </w:pPr>
      <w:r>
        <w:rPr>
          <w:rFonts w:cs="Times New Roman"/>
          <w:szCs w:val="20"/>
        </w:rPr>
        <w:t xml:space="preserve"> Parengto įkainoto standartizuoto darbų kiekių žiniaraščio (SDKŽ), atitinkančio Aprašo sprendinius, derinimas.</w:t>
      </w:r>
    </w:p>
    <w:p w14:paraId="4D32AC63">
      <w:pPr>
        <w:spacing/>
        <w:jc w:val="left"/>
        <w:rPr>
          <w:rFonts w:ascii="Arial Narrow" w:hAnsi="Arial Narrow"/>
          <w:b/>
          <w:caps/>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8"/>
      </w:tblGrid>
      <w:tr>
        <w:trPr>
          <w:trHeight w:val="416" w:hRule="atLeast"/>
        </w:trPr>
        <w:tc>
          <w:tcPr>
            <w:tcW w:type="dxa" w:w="9628"/>
            <w:tcBorders/>
            <w:shd w:fill="005063" w:color="auto" w:val="clear"/>
            <w:vAlign w:val="center"/>
          </w:tcPr>
          <w:p>
            <w:pPr>
              <w:spacing/>
              <w:jc w:val="left"/>
              <w:rPr>
                <w:rFonts w:ascii="Arial Narrow" w:hAnsi="Arial Narrow"/>
                <w:b/>
                <w:caps/>
                <w:color w:val="FFFFFF"/>
                <w:sz w:val="20"/>
                <w:szCs w:val="16"/>
              </w:rPr>
            </w:pPr>
            <w:r>
              <w:rPr>
                <w:rFonts w:ascii="Arial Narrow" w:hAnsi="Arial Narrow"/>
                <w:b/>
                <w:caps/>
                <w:color w:val="FFFFFF"/>
                <w:sz w:val="20"/>
                <w:szCs w:val="16"/>
              </w:rPr>
              <w:t xml:space="preserve">4</w:t>
            </w:r>
            <w:r>
              <w:rPr>
                <w:rFonts w:ascii="Arial Narrow" w:hAnsi="Arial Narrow"/>
                <w:b/>
                <w:caps/>
                <w:color w:val="FFFFFF"/>
                <w:sz w:val="20"/>
                <w:szCs w:val="16"/>
              </w:rPr>
              <w:t xml:space="preserve">. </w:t>
            </w:r>
            <w:r>
              <w:rPr>
                <w:rFonts w:ascii="Arial Narrow" w:hAnsi="Arial Narrow"/>
                <w:b/>
                <w:caps/>
                <w:color w:val="FFFFFF"/>
                <w:sz w:val="20"/>
                <w:szCs w:val="16"/>
              </w:rPr>
              <w:t xml:space="preserve">PAPRASTOJO REMONTO DARBŲ APIMTYS</w:t>
            </w:r>
          </w:p>
        </w:tc>
      </w:tr>
    </w:tbl>
    <w:p w14:paraId="36F5AF94">
      <w:pPr>
        <w:spacing/>
        <w:jc w:val="left"/>
        <w:rPr>
          <w:rFonts w:ascii="Arial Narrow" w:hAnsi="Arial Narrow"/>
          <w:b/>
          <w:caps/>
        </w:rPr>
      </w:pPr>
    </w:p>
    <w:p w14:paraId="2E32FD71">
      <w:pPr>
        <w:pStyle w:val="Bodytext1"/>
        <w:numPr>
          <w:ilvl w:val="1"/>
          <w:numId w:val="19"/>
        </w:numPr>
        <w:shd w:val="clear" w:color="auto" w:fill="auto"/>
        <w:tabs>
          <w:tab w:val="left" w:pos="0"/>
        </w:tabs>
        <w:spacing w:before="0" w:after="0" w:line="240" w:lineRule="auto"/>
        <w:ind w:left="284" w:right="55" w:hanging="284"/>
        <w:jc w:val="both"/>
        <w:rPr>
          <w:rFonts w:ascii="Arial Narrow" w:hAnsi="Arial Narrow"/>
          <w:b/>
          <w:bCs/>
          <w:sz w:val="20"/>
          <w:szCs w:val="20"/>
        </w:rPr>
      </w:pPr>
      <w:r>
        <w:rPr>
          <w:rFonts w:ascii="Arial Narrow" w:hAnsi="Arial Narrow"/>
          <w:b/>
          <w:bCs/>
          <w:sz w:val="20"/>
          <w:szCs w:val="20"/>
        </w:rPr>
        <w:t xml:space="preserve">Reikalavimai dangos remontui:</w:t>
      </w:r>
    </w:p>
    <w:p w14:paraId="244B02F2">
      <w:pPr>
        <w:pStyle w:val="Bodytext1"/>
        <w:numPr>
          <w:ilvl w:val="2"/>
          <w:numId w:val="19"/>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N</w:t>
      </w:r>
      <w:r>
        <w:rPr>
          <w:rFonts w:ascii="Arial Narrow" w:hAnsi="Arial Narrow"/>
          <w:sz w:val="20"/>
          <w:szCs w:val="20"/>
        </w:rPr>
        <w:t xml:space="preserve">umatyti </w:t>
      </w:r>
      <w:r>
        <w:rPr>
          <w:rFonts w:ascii="Arial Narrow" w:hAnsi="Arial Narrow"/>
          <w:sz w:val="20"/>
          <w:szCs w:val="20"/>
        </w:rPr>
        <w:t xml:space="preserve">visu esamos asfalto dangos pločiu posluoksn</w:t>
      </w:r>
      <w:r>
        <w:rPr>
          <w:rFonts w:ascii="Arial Narrow" w:hAnsi="Arial Narrow"/>
          <w:sz w:val="20"/>
          <w:szCs w:val="20"/>
        </w:rPr>
        <w:t xml:space="preserve">io paruošimą</w:t>
      </w:r>
      <w:r>
        <w:rPr>
          <w:rFonts w:ascii="Arial Narrow" w:hAnsi="Arial Narrow"/>
          <w:sz w:val="20"/>
          <w:szCs w:val="20"/>
        </w:rPr>
        <w:t xml:space="preserve"> pagal ĮT APM </w:t>
      </w:r>
      <w:r>
        <w:rPr>
          <w:rFonts w:ascii="Arial Narrow" w:hAnsi="Arial Narrow"/>
          <w:sz w:val="20"/>
          <w:szCs w:val="20"/>
        </w:rPr>
        <w:t xml:space="preserve">25</w:t>
      </w:r>
      <w:r>
        <w:rPr>
          <w:rFonts w:ascii="Arial Narrow" w:hAnsi="Arial Narrow"/>
          <w:sz w:val="20"/>
          <w:szCs w:val="20"/>
        </w:rPr>
        <w:t xml:space="preserve"> reikalavimus</w:t>
      </w:r>
      <w:r>
        <w:rPr>
          <w:rFonts w:ascii="Arial Narrow" w:hAnsi="Arial Narrow"/>
          <w:sz w:val="20"/>
          <w:szCs w:val="20"/>
        </w:rPr>
        <w:t xml:space="preserve">. Ant paruošto </w:t>
      </w:r>
      <w:r>
        <w:rPr>
          <w:rFonts w:ascii="Arial Narrow" w:hAnsi="Arial Narrow"/>
          <w:sz w:val="20"/>
          <w:szCs w:val="20"/>
        </w:rPr>
        <w:t xml:space="preserve">posluoksnio</w:t>
      </w:r>
      <w:r>
        <w:rPr>
          <w:rFonts w:ascii="Arial Narrow" w:hAnsi="Arial Narrow"/>
          <w:sz w:val="20"/>
          <w:szCs w:val="20"/>
        </w:rPr>
        <w:t xml:space="preserve"> įrengti </w:t>
      </w:r>
      <w:r>
        <w:rPr>
          <w:rFonts w:ascii="Arial Narrow" w:hAnsi="Arial Narrow"/>
          <w:sz w:val="20"/>
          <w:szCs w:val="20"/>
        </w:rPr>
        <w:t xml:space="preserve">išlyginamąjį asfalto sluoksnį</w:t>
      </w:r>
      <w:r>
        <w:rPr>
          <w:rFonts w:ascii="Arial Narrow" w:hAnsi="Arial Narrow"/>
          <w:sz w:val="20"/>
          <w:szCs w:val="20"/>
        </w:rPr>
        <w:t xml:space="preserve"> </w:t>
      </w:r>
      <w:r>
        <w:rPr>
          <w:rFonts w:ascii="Arial Narrow" w:hAnsi="Arial Narrow"/>
          <w:sz w:val="20"/>
          <w:szCs w:val="20"/>
        </w:rPr>
        <w:t xml:space="preserve">ĮT APM </w:t>
      </w:r>
      <w:r>
        <w:rPr>
          <w:rFonts w:ascii="Arial Narrow" w:hAnsi="Arial Narrow"/>
          <w:sz w:val="20"/>
          <w:szCs w:val="20"/>
        </w:rPr>
        <w:t xml:space="preserve">25</w:t>
      </w:r>
      <w:r>
        <w:rPr>
          <w:rFonts w:ascii="Arial Narrow" w:hAnsi="Arial Narrow"/>
          <w:sz w:val="20"/>
          <w:szCs w:val="20"/>
        </w:rPr>
        <w:t xml:space="preserve"> reikalavimus</w:t>
      </w:r>
      <w:r>
        <w:rPr>
          <w:rFonts w:ascii="Arial Narrow" w:hAnsi="Arial Narrow"/>
          <w:sz w:val="20"/>
          <w:szCs w:val="20"/>
        </w:rPr>
        <w:t xml:space="preserve"> (</w:t>
      </w:r>
      <w:r>
        <w:rPr>
          <w:rFonts w:ascii="Arial Narrow" w:hAnsi="Arial Narrow"/>
          <w:sz w:val="20"/>
          <w:szCs w:val="20"/>
        </w:rPr>
        <w:t xml:space="preserve">esant poreikiui</w:t>
      </w:r>
      <w:r>
        <w:rPr>
          <w:rFonts w:ascii="Arial Narrow" w:hAnsi="Arial Narrow"/>
          <w:sz w:val="20"/>
          <w:szCs w:val="20"/>
        </w:rPr>
        <w:t xml:space="preserve">)</w:t>
      </w:r>
      <w:r>
        <w:rPr>
          <w:rFonts w:ascii="Arial Narrow" w:hAnsi="Arial Narrow"/>
          <w:sz w:val="20"/>
          <w:szCs w:val="20"/>
        </w:rPr>
        <w:t xml:space="preserve"> ir 4 cm </w:t>
      </w:r>
      <w:r>
        <w:rPr>
          <w:rFonts w:ascii="Arial Narrow" w:hAnsi="Arial Narrow"/>
          <w:sz w:val="20"/>
          <w:szCs w:val="20"/>
        </w:rPr>
        <w:t xml:space="preserve">(</w:t>
      </w:r>
      <w:r>
        <w:rPr>
          <w:rFonts w:ascii="Arial Narrow" w:hAnsi="Arial Narrow"/>
          <w:sz w:val="20"/>
          <w:szCs w:val="20"/>
        </w:rPr>
        <w:t xml:space="preserve">AC11VN</w:t>
      </w:r>
      <w:r>
        <w:rPr>
          <w:rFonts w:ascii="Arial Narrow" w:hAnsi="Arial Narrow"/>
          <w:sz w:val="20"/>
          <w:szCs w:val="20"/>
        </w:rPr>
        <w:t xml:space="preserve">/ </w:t>
      </w:r>
      <w:r>
        <w:rPr>
          <w:rFonts w:ascii="Arial Narrow" w:hAnsi="Arial Narrow"/>
          <w:sz w:val="20"/>
          <w:szCs w:val="20"/>
        </w:rPr>
        <w:t xml:space="preserve">AC11VS</w:t>
      </w:r>
      <w:r>
        <w:rPr>
          <w:rFonts w:ascii="Arial Narrow" w:hAnsi="Arial Narrow"/>
          <w:sz w:val="20"/>
          <w:szCs w:val="20"/>
        </w:rPr>
        <w:t xml:space="preserve">) viršutinį asfalto sluoksnį</w:t>
      </w:r>
      <w:r>
        <w:rPr>
          <w:rFonts w:ascii="Arial Narrow" w:hAnsi="Arial Narrow"/>
          <w:i/>
          <w:iCs/>
          <w:sz w:val="20"/>
          <w:szCs w:val="20"/>
        </w:rPr>
        <w:t xml:space="preserve">.</w:t>
      </w:r>
    </w:p>
    <w:p w14:paraId="6719694C">
      <w:pPr>
        <w:pStyle w:val="Bodytext1"/>
        <w:numPr>
          <w:ilvl w:val="2"/>
          <w:numId w:val="19"/>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Numatyti vertikalų kelio planavimą nuleidžiant vandenį nuo važiuojamosios dalies į pakelės griovius</w:t>
      </w:r>
      <w:r>
        <w:rPr>
          <w:rFonts w:ascii="Arial Narrow" w:hAnsi="Arial Narrow"/>
          <w:sz w:val="20"/>
          <w:szCs w:val="20"/>
        </w:rPr>
        <w:t xml:space="preserve"> (jeigu tokie yra)</w:t>
      </w:r>
      <w:r>
        <w:rPr>
          <w:rFonts w:ascii="Arial Narrow" w:hAnsi="Arial Narrow"/>
          <w:sz w:val="20"/>
          <w:szCs w:val="20"/>
        </w:rPr>
        <w:t xml:space="preserve">.</w:t>
      </w:r>
    </w:p>
    <w:p w14:paraId="7433E0C9">
      <w:pPr>
        <w:pStyle w:val="Bodytext1"/>
        <w:numPr>
          <w:ilvl w:val="2"/>
          <w:numId w:val="19"/>
        </w:numPr>
        <w:shd w:val="clear" w:color="auto" w:fill="auto"/>
        <w:tabs>
          <w:tab w:val="left" w:pos="426"/>
          <w:tab w:val="left" w:pos="127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Numatyti</w:t>
      </w:r>
      <w:r>
        <w:rPr>
          <w:rFonts w:ascii="Arial Narrow" w:hAnsi="Arial Narrow"/>
          <w:sz w:val="20"/>
          <w:szCs w:val="20"/>
        </w:rPr>
        <w:t xml:space="preserve"> skland</w:t>
      </w:r>
      <w:r>
        <w:rPr>
          <w:rFonts w:ascii="Arial Narrow" w:hAnsi="Arial Narrow"/>
          <w:sz w:val="20"/>
          <w:szCs w:val="20"/>
        </w:rPr>
        <w:t xml:space="preserve">ų</w:t>
      </w:r>
      <w:r>
        <w:rPr>
          <w:rFonts w:ascii="Arial Narrow" w:hAnsi="Arial Narrow"/>
          <w:sz w:val="20"/>
          <w:szCs w:val="20"/>
        </w:rPr>
        <w:t xml:space="preserve"> asfalto dangų pasijungim</w:t>
      </w:r>
      <w:r>
        <w:rPr>
          <w:rFonts w:ascii="Arial Narrow" w:hAnsi="Arial Narrow"/>
          <w:sz w:val="20"/>
          <w:szCs w:val="20"/>
        </w:rPr>
        <w:t xml:space="preserve">ą</w:t>
      </w:r>
      <w:r>
        <w:rPr>
          <w:rFonts w:ascii="Arial Narrow" w:hAnsi="Arial Narrow"/>
          <w:sz w:val="20"/>
          <w:szCs w:val="20"/>
        </w:rPr>
        <w:t xml:space="preserve"> su esamomis neremontuojamomis dangomis</w:t>
      </w:r>
      <w:r>
        <w:rPr>
          <w:rFonts w:ascii="Arial Narrow" w:hAnsi="Arial Narrow"/>
          <w:sz w:val="20"/>
          <w:szCs w:val="20"/>
        </w:rPr>
        <w:t xml:space="preserve"> </w:t>
      </w:r>
      <w:r>
        <w:rPr>
          <w:rFonts w:ascii="Arial Narrow" w:hAnsi="Arial Narrow"/>
          <w:sz w:val="20"/>
          <w:szCs w:val="20"/>
        </w:rPr>
        <w:t xml:space="preserve">iki </w:t>
      </w:r>
      <w:r>
        <w:rPr>
          <w:rFonts w:ascii="Arial Narrow" w:hAnsi="Arial Narrow"/>
          <w:sz w:val="20"/>
          <w:szCs w:val="20"/>
        </w:rPr>
        <w:t xml:space="preserve">3</w:t>
      </w:r>
      <w:r>
        <w:rPr>
          <w:rFonts w:ascii="Arial Narrow" w:hAnsi="Arial Narrow"/>
          <w:sz w:val="20"/>
          <w:szCs w:val="20"/>
        </w:rPr>
        <w:t xml:space="preserve">0 m ilgio už objekto pradžios ir </w:t>
      </w:r>
      <w:r>
        <w:rPr>
          <w:rFonts w:ascii="Arial Narrow" w:hAnsi="Arial Narrow"/>
          <w:sz w:val="20"/>
          <w:szCs w:val="20"/>
        </w:rPr>
        <w:t xml:space="preserve">pabaigos</w:t>
      </w:r>
      <w:r>
        <w:rPr>
          <w:rFonts w:ascii="Arial Narrow" w:hAnsi="Arial Narrow"/>
          <w:sz w:val="20"/>
          <w:szCs w:val="20"/>
        </w:rPr>
        <w:t xml:space="preserve">.</w:t>
      </w:r>
    </w:p>
    <w:p w14:paraId="147AFDA4">
      <w:pPr>
        <w:pStyle w:val="Bodytext1"/>
        <w:numPr>
          <w:ilvl w:val="2"/>
          <w:numId w:val="19"/>
        </w:numPr>
        <w:shd w:val="clear" w:color="auto" w:fill="auto"/>
        <w:tabs>
          <w:tab w:val="left" w:pos="426"/>
          <w:tab w:val="left" w:pos="127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Važiuojamosios </w:t>
      </w:r>
      <w:r>
        <w:rPr>
          <w:rFonts w:ascii="Arial Narrow" w:hAnsi="Arial Narrow"/>
          <w:sz w:val="20"/>
          <w:szCs w:val="20"/>
        </w:rPr>
        <w:t xml:space="preserve">dalies skersinis nuolydis tiesiuose ruožuose projektuojamas 2,0-3,0 %</w:t>
      </w:r>
      <w:r>
        <w:rPr>
          <w:rFonts w:ascii="Arial Narrow" w:hAnsi="Arial Narrow"/>
          <w:sz w:val="20"/>
          <w:szCs w:val="20"/>
        </w:rPr>
        <w:t xml:space="preserve">.</w:t>
      </w:r>
    </w:p>
    <w:p w14:paraId="56F56E81">
      <w:pPr>
        <w:pStyle w:val="Bodytext1"/>
        <w:numPr>
          <w:ilvl w:val="2"/>
          <w:numId w:val="19"/>
        </w:numPr>
        <w:shd w:val="clear" w:color="auto" w:fill="auto"/>
        <w:tabs>
          <w:tab w:val="left" w:pos="426"/>
          <w:tab w:val="left" w:pos="127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Esamos asfalto dangos frezavimas, kaip posluoksnio </w:t>
      </w:r>
      <w:r>
        <w:rPr>
          <w:rFonts w:ascii="Arial Narrow" w:hAnsi="Arial Narrow"/>
          <w:sz w:val="20"/>
          <w:szCs w:val="20"/>
        </w:rPr>
        <w:t xml:space="preserve">pagerinimo priemonė – draudžiamas, </w:t>
      </w:r>
      <w:r>
        <w:rPr>
          <w:rFonts w:ascii="Arial Narrow" w:hAnsi="Arial Narrow"/>
          <w:sz w:val="20"/>
          <w:szCs w:val="20"/>
        </w:rPr>
        <w:t xml:space="preserve">išskyrus p</w:t>
      </w:r>
      <w:r>
        <w:rPr>
          <w:rFonts w:ascii="Arial Narrow" w:hAnsi="Arial Narrow"/>
          <w:sz w:val="20"/>
          <w:szCs w:val="20"/>
        </w:rPr>
        <w:t xml:space="preserve">asijungimo</w:t>
      </w:r>
      <w:r>
        <w:rPr>
          <w:rFonts w:ascii="Arial Narrow" w:hAnsi="Arial Narrow"/>
          <w:sz w:val="20"/>
          <w:szCs w:val="20"/>
        </w:rPr>
        <w:t xml:space="preserve"> vietose</w:t>
      </w:r>
      <w:r>
        <w:rPr>
          <w:rFonts w:ascii="Arial Narrow" w:hAnsi="Arial Narrow"/>
          <w:sz w:val="20"/>
          <w:szCs w:val="20"/>
        </w:rPr>
        <w:t xml:space="preserve"> ir ruože </w:t>
      </w:r>
      <w:r>
        <w:rPr>
          <w:rFonts w:ascii="Arial Narrow" w:hAnsi="Arial Narrow"/>
          <w:sz w:val="20"/>
          <w:szCs w:val="20"/>
        </w:rPr>
        <w:t xml:space="preserve">7,1-</w:t>
      </w:r>
      <w:r>
        <w:rPr>
          <w:rFonts w:ascii="Arial Narrow" w:hAnsi="Arial Narrow"/>
          <w:sz w:val="20"/>
          <w:szCs w:val="20"/>
        </w:rPr>
        <w:t xml:space="preserve">7,214 km</w:t>
      </w:r>
      <w:r>
        <w:rPr>
          <w:rFonts w:ascii="Arial Narrow" w:hAnsi="Arial Narrow"/>
          <w:sz w:val="20"/>
          <w:szCs w:val="20"/>
        </w:rPr>
        <w:t xml:space="preserve">.</w:t>
      </w:r>
    </w:p>
    <w:p w14:paraId="537AA414">
      <w:pPr>
        <w:pStyle w:val="Bodytext1"/>
        <w:numPr>
          <w:ilvl w:val="2"/>
          <w:numId w:val="19"/>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Numatyti esamų kelio dangos </w:t>
      </w:r>
      <w:r>
        <w:rPr>
          <w:rFonts w:ascii="Arial Narrow" w:hAnsi="Arial Narrow"/>
          <w:b/>
          <w:bCs/>
          <w:sz w:val="20"/>
          <w:szCs w:val="20"/>
        </w:rPr>
        <w:t xml:space="preserve">lokalių</w:t>
      </w:r>
      <w:r>
        <w:rPr>
          <w:rFonts w:ascii="Arial Narrow" w:hAnsi="Arial Narrow"/>
          <w:sz w:val="20"/>
          <w:szCs w:val="20"/>
        </w:rPr>
        <w:t xml:space="preserve"> pažaidų pašalinimą (jeigu jų yra</w:t>
      </w:r>
      <w:r>
        <w:rPr>
          <w:rFonts w:ascii="Arial Narrow" w:hAnsi="Arial Narrow"/>
          <w:sz w:val="20"/>
          <w:szCs w:val="20"/>
        </w:rPr>
        <w:t xml:space="preserve">):</w:t>
      </w:r>
    </w:p>
    <w:p w14:paraId="41A83984">
      <w:pPr>
        <w:pStyle w:val="Bodytext1"/>
        <w:numPr>
          <w:ilvl w:val="3"/>
          <w:numId w:val="19"/>
        </w:numPr>
        <w:shd w:val="clear" w:color="auto" w:fill="auto"/>
        <w:tabs>
          <w:tab w:val="left" w:pos="426"/>
        </w:tabs>
        <w:spacing w:before="0" w:after="0" w:line="240" w:lineRule="auto"/>
        <w:ind w:left="709" w:right="55" w:hanging="709"/>
        <w:jc w:val="both"/>
        <w:rPr>
          <w:rFonts w:ascii="Arial Narrow" w:hAnsi="Arial Narrow"/>
          <w:sz w:val="20"/>
          <w:szCs w:val="20"/>
        </w:rPr>
      </w:pPr>
      <w:r>
        <w:rPr>
          <w:rFonts w:ascii="Arial Narrow" w:hAnsi="Arial Narrow"/>
          <w:sz w:val="20"/>
          <w:szCs w:val="20"/>
        </w:rPr>
        <w:t xml:space="preserve">Skersinių ir išilginių plyšių sandarinimas pagal R PT 11</w:t>
      </w:r>
      <w:r>
        <w:rPr>
          <w:rFonts w:ascii="Arial Narrow" w:hAnsi="Arial Narrow"/>
          <w:sz w:val="20"/>
          <w:szCs w:val="20"/>
        </w:rPr>
        <w:t xml:space="preserve">.</w:t>
      </w:r>
    </w:p>
    <w:p w14:paraId="0AED7CCB">
      <w:pPr>
        <w:pStyle w:val="Bodytext1"/>
        <w:numPr>
          <w:ilvl w:val="3"/>
          <w:numId w:val="19"/>
        </w:numPr>
        <w:shd w:val="clear" w:color="auto" w:fill="auto"/>
        <w:tabs>
          <w:tab w:val="left" w:pos="426"/>
        </w:tabs>
        <w:spacing w:before="0" w:after="0" w:line="240" w:lineRule="auto"/>
        <w:ind w:left="709" w:right="55" w:hanging="709"/>
        <w:jc w:val="both"/>
        <w:rPr>
          <w:rFonts w:ascii="Arial Narrow" w:hAnsi="Arial Narrow"/>
          <w:sz w:val="20"/>
          <w:szCs w:val="20"/>
        </w:rPr>
      </w:pPr>
      <w:r>
        <w:rPr>
          <w:rFonts w:ascii="Arial Narrow" w:hAnsi="Arial Narrow"/>
          <w:sz w:val="20"/>
          <w:szCs w:val="20"/>
        </w:rPr>
        <w:t xml:space="preserve">Pažeist</w:t>
      </w:r>
      <w:r>
        <w:rPr>
          <w:rFonts w:ascii="Arial Narrow" w:hAnsi="Arial Narrow"/>
          <w:sz w:val="20"/>
          <w:szCs w:val="20"/>
        </w:rPr>
        <w:t xml:space="preserve">ų</w:t>
      </w:r>
      <w:r>
        <w:rPr>
          <w:rFonts w:ascii="Arial Narrow" w:hAnsi="Arial Narrow"/>
          <w:sz w:val="20"/>
          <w:szCs w:val="20"/>
        </w:rPr>
        <w:t xml:space="preserve"> asfalto dangos viet</w:t>
      </w:r>
      <w:r>
        <w:rPr>
          <w:rFonts w:ascii="Arial Narrow" w:hAnsi="Arial Narrow"/>
          <w:sz w:val="20"/>
          <w:szCs w:val="20"/>
        </w:rPr>
        <w:t xml:space="preserve">ų</w:t>
      </w:r>
      <w:r>
        <w:rPr>
          <w:rFonts w:ascii="Arial Narrow" w:hAnsi="Arial Narrow"/>
          <w:sz w:val="20"/>
          <w:szCs w:val="20"/>
        </w:rPr>
        <w:t xml:space="preserve"> (</w:t>
      </w:r>
      <w:r>
        <w:rPr>
          <w:rFonts w:ascii="Arial Narrow" w:hAnsi="Arial Narrow"/>
          <w:b/>
          <w:bCs/>
          <w:sz w:val="20"/>
          <w:szCs w:val="20"/>
        </w:rPr>
        <w:t xml:space="preserve">išdaužos, plyšių tinklas, nutrupėję dangos kraštai</w:t>
      </w:r>
      <w:r>
        <w:rPr>
          <w:rFonts w:ascii="Arial Narrow" w:hAnsi="Arial Narrow"/>
          <w:sz w:val="20"/>
          <w:szCs w:val="20"/>
        </w:rPr>
        <w:t xml:space="preserve">) iš</w:t>
      </w:r>
      <w:r>
        <w:rPr>
          <w:rFonts w:ascii="Arial Narrow" w:hAnsi="Arial Narrow"/>
          <w:sz w:val="20"/>
          <w:szCs w:val="20"/>
        </w:rPr>
        <w:t xml:space="preserve">frezavimas</w:t>
      </w:r>
      <w:r>
        <w:rPr>
          <w:rFonts w:ascii="Arial Narrow" w:hAnsi="Arial Narrow"/>
          <w:sz w:val="20"/>
          <w:szCs w:val="20"/>
        </w:rPr>
        <w:t xml:space="preserve"> ir užtaisy</w:t>
      </w:r>
      <w:r>
        <w:rPr>
          <w:rFonts w:ascii="Arial Narrow" w:hAnsi="Arial Narrow"/>
          <w:sz w:val="20"/>
          <w:szCs w:val="20"/>
        </w:rPr>
        <w:t xml:space="preserve">mas</w:t>
      </w:r>
      <w:r>
        <w:rPr>
          <w:rFonts w:ascii="Arial Narrow" w:hAnsi="Arial Narrow"/>
          <w:sz w:val="20"/>
          <w:szCs w:val="20"/>
        </w:rPr>
        <w:t xml:space="preserve"> asfalto mišiniu pagal ĮT APM </w:t>
      </w:r>
      <w:r>
        <w:rPr>
          <w:rFonts w:ascii="Arial Narrow" w:hAnsi="Arial Narrow"/>
          <w:sz w:val="20"/>
          <w:szCs w:val="20"/>
        </w:rPr>
        <w:t xml:space="preserve">25</w:t>
      </w:r>
      <w:r>
        <w:rPr>
          <w:rFonts w:ascii="Arial Narrow" w:hAnsi="Arial Narrow"/>
          <w:sz w:val="20"/>
          <w:szCs w:val="20"/>
        </w:rPr>
        <w:t xml:space="preserve">, </w:t>
      </w:r>
      <w:r>
        <w:rPr>
          <w:rFonts w:ascii="Arial Narrow" w:hAnsi="Arial Narrow"/>
          <w:b/>
          <w:bCs/>
          <w:sz w:val="20"/>
          <w:szCs w:val="20"/>
        </w:rPr>
        <w:t xml:space="preserve">visu esamu asfalto dangos storiu</w:t>
      </w:r>
      <w:r>
        <w:rPr>
          <w:rFonts w:ascii="Arial Narrow" w:hAnsi="Arial Narrow"/>
          <w:sz w:val="20"/>
          <w:szCs w:val="20"/>
        </w:rPr>
        <w:t xml:space="preserve">.</w:t>
      </w:r>
    </w:p>
    <w:p w14:paraId="0042CD6B">
      <w:pPr>
        <w:pStyle w:val="Bodytext1"/>
        <w:numPr>
          <w:ilvl w:val="3"/>
          <w:numId w:val="19"/>
        </w:numPr>
        <w:shd w:val="clear" w:color="auto" w:fill="auto"/>
        <w:tabs>
          <w:tab w:val="left" w:pos="426"/>
        </w:tabs>
        <w:spacing w:before="0" w:after="0" w:line="240" w:lineRule="auto"/>
        <w:ind w:left="709" w:right="55" w:hanging="709"/>
        <w:jc w:val="both"/>
        <w:rPr>
          <w:rFonts w:ascii="Arial Narrow" w:hAnsi="Arial Narrow"/>
          <w:sz w:val="20"/>
          <w:szCs w:val="20"/>
        </w:rPr>
      </w:pPr>
      <w:r>
        <w:rPr>
          <w:rFonts w:ascii="Arial Narrow" w:hAnsi="Arial Narrow"/>
          <w:sz w:val="20"/>
          <w:szCs w:val="20"/>
        </w:rPr>
        <w:t xml:space="preserve">Susiformavusios provėžos išstumtas asfaltas gali būti išfrezuojamas ir užtaisomas mišiniu pagal ĮT APM </w:t>
      </w:r>
      <w:r>
        <w:rPr>
          <w:rFonts w:ascii="Arial Narrow" w:hAnsi="Arial Narrow"/>
          <w:sz w:val="20"/>
          <w:szCs w:val="20"/>
        </w:rPr>
        <w:t xml:space="preserve">25</w:t>
      </w:r>
      <w:r>
        <w:rPr>
          <w:rFonts w:ascii="Arial Narrow" w:hAnsi="Arial Narrow"/>
          <w:sz w:val="20"/>
          <w:szCs w:val="20"/>
        </w:rPr>
        <w:t xml:space="preserve">, </w:t>
      </w:r>
      <w:r>
        <w:rPr>
          <w:rFonts w:ascii="Arial Narrow" w:hAnsi="Arial Narrow"/>
          <w:b/>
          <w:bCs/>
          <w:sz w:val="20"/>
          <w:szCs w:val="20"/>
        </w:rPr>
        <w:t xml:space="preserve">visu esamu asfalto dangos storiu</w:t>
      </w:r>
      <w:r>
        <w:rPr>
          <w:rFonts w:ascii="Arial Narrow" w:hAnsi="Arial Narrow"/>
          <w:sz w:val="20"/>
          <w:szCs w:val="20"/>
        </w:rPr>
        <w:t xml:space="preserve">.</w:t>
      </w:r>
    </w:p>
    <w:p w14:paraId="5663A315">
      <w:pPr>
        <w:pStyle w:val="Bodytext1"/>
        <w:numPr>
          <w:ilvl w:val="3"/>
          <w:numId w:val="19"/>
        </w:numPr>
        <w:shd w:val="clear" w:color="auto" w:fill="auto"/>
        <w:tabs>
          <w:tab w:val="left" w:pos="426"/>
        </w:tabs>
        <w:spacing w:before="0" w:after="0" w:line="240" w:lineRule="auto"/>
        <w:ind w:left="709" w:right="55" w:hanging="709"/>
        <w:jc w:val="both"/>
        <w:rPr>
          <w:rFonts w:ascii="Arial Narrow" w:hAnsi="Arial Narrow"/>
          <w:sz w:val="20"/>
          <w:szCs w:val="20"/>
        </w:rPr>
      </w:pPr>
      <w:r>
        <w:rPr>
          <w:rFonts w:ascii="Arial Narrow" w:hAnsi="Arial Narrow"/>
          <w:sz w:val="20"/>
          <w:szCs w:val="20"/>
        </w:rPr>
        <w:t xml:space="preserve">I</w:t>
      </w:r>
      <w:r>
        <w:rPr>
          <w:rFonts w:ascii="Arial Narrow" w:hAnsi="Arial Narrow"/>
          <w:sz w:val="20"/>
          <w:szCs w:val="20"/>
        </w:rPr>
        <w:t xml:space="preserve">šilgin</w:t>
      </w:r>
      <w:r>
        <w:rPr>
          <w:rFonts w:ascii="Arial Narrow" w:hAnsi="Arial Narrow"/>
          <w:sz w:val="20"/>
          <w:szCs w:val="20"/>
        </w:rPr>
        <w:t xml:space="preserve">iame profilyje kelio nusėd</w:t>
      </w:r>
      <w:r>
        <w:rPr>
          <w:rFonts w:ascii="Arial Narrow" w:hAnsi="Arial Narrow"/>
          <w:sz w:val="20"/>
          <w:szCs w:val="20"/>
        </w:rPr>
        <w:t xml:space="preserve">imai (nelygumai) sutvarkomi</w:t>
      </w:r>
      <w:r>
        <w:rPr>
          <w:rFonts w:ascii="Arial Narrow" w:hAnsi="Arial Narrow"/>
          <w:sz w:val="20"/>
          <w:szCs w:val="20"/>
        </w:rPr>
        <w:t xml:space="preserve">, išfrezuojant asfaltą </w:t>
      </w:r>
      <w:r>
        <w:rPr>
          <w:rFonts w:ascii="Arial Narrow" w:hAnsi="Arial Narrow"/>
          <w:sz w:val="20"/>
          <w:szCs w:val="20"/>
        </w:rPr>
        <w:t xml:space="preserve">ir įrengiant </w:t>
      </w:r>
      <w:r>
        <w:rPr>
          <w:rFonts w:ascii="Arial Narrow" w:hAnsi="Arial Narrow"/>
          <w:b/>
          <w:bCs/>
          <w:sz w:val="20"/>
          <w:szCs w:val="20"/>
        </w:rPr>
        <w:t xml:space="preserve">ne mažesnio nei esamas asfalto </w:t>
      </w:r>
      <w:r>
        <w:rPr>
          <w:rFonts w:ascii="Arial Narrow" w:hAnsi="Arial Narrow"/>
          <w:b/>
          <w:bCs/>
          <w:sz w:val="20"/>
          <w:szCs w:val="20"/>
        </w:rPr>
        <w:t xml:space="preserve">dangos storis</w:t>
      </w:r>
      <w:r>
        <w:rPr>
          <w:rFonts w:ascii="Arial Narrow" w:hAnsi="Arial Narrow"/>
          <w:sz w:val="20"/>
          <w:szCs w:val="20"/>
        </w:rPr>
        <w:t xml:space="preserve"> asfalto pagrindo sluoksnį</w:t>
      </w:r>
      <w:r>
        <w:rPr>
          <w:rFonts w:ascii="Arial Narrow" w:hAnsi="Arial Narrow"/>
          <w:sz w:val="20"/>
          <w:szCs w:val="20"/>
        </w:rPr>
        <w:t xml:space="preserve"> su išlyginamuoju (</w:t>
      </w:r>
      <w:r>
        <w:rPr>
          <w:rFonts w:ascii="Arial Narrow" w:hAnsi="Arial Narrow"/>
          <w:sz w:val="20"/>
          <w:szCs w:val="20"/>
        </w:rPr>
        <w:t xml:space="preserve">AC16PD /</w:t>
      </w:r>
      <w:r>
        <w:rPr>
          <w:rFonts w:ascii="Arial Narrow" w:hAnsi="Arial Narrow"/>
          <w:sz w:val="20"/>
          <w:szCs w:val="20"/>
        </w:rPr>
        <w:t xml:space="preserve">AC22P</w:t>
      </w:r>
      <w:r>
        <w:rPr>
          <w:rFonts w:ascii="Arial Narrow" w:hAnsi="Arial Narrow"/>
          <w:sz w:val="20"/>
          <w:szCs w:val="20"/>
        </w:rPr>
        <w:t xml:space="preserve">N</w:t>
      </w:r>
      <w:r>
        <w:rPr>
          <w:rFonts w:ascii="Arial Narrow" w:hAnsi="Arial Narrow"/>
          <w:sz w:val="20"/>
          <w:szCs w:val="20"/>
        </w:rPr>
        <w:t xml:space="preserve"> /</w:t>
      </w:r>
      <w:r>
        <w:rPr>
          <w:rFonts w:ascii="Arial Narrow" w:hAnsi="Arial Narrow"/>
          <w:sz w:val="20"/>
          <w:szCs w:val="20"/>
        </w:rPr>
        <w:t xml:space="preserve"> AC32P</w:t>
      </w:r>
      <w:r>
        <w:rPr>
          <w:rFonts w:ascii="Arial Narrow" w:hAnsi="Arial Narrow"/>
          <w:sz w:val="20"/>
          <w:szCs w:val="20"/>
        </w:rPr>
        <w:t xml:space="preserve">N</w:t>
      </w:r>
      <w:r>
        <w:rPr>
          <w:rFonts w:ascii="Arial Narrow" w:hAnsi="Arial Narrow"/>
          <w:sz w:val="20"/>
          <w:szCs w:val="20"/>
        </w:rPr>
        <w:t xml:space="preserve">)</w:t>
      </w:r>
      <w:r>
        <w:rPr>
          <w:rFonts w:ascii="Arial Narrow" w:hAnsi="Arial Narrow"/>
          <w:sz w:val="20"/>
          <w:szCs w:val="20"/>
        </w:rPr>
        <w:t xml:space="preserve">. Papildomam išlyginimui gali būti naudojamas</w:t>
      </w:r>
      <w:r>
        <w:rPr>
          <w:rFonts w:ascii="Arial Narrow" w:hAnsi="Arial Narrow"/>
          <w:sz w:val="20"/>
          <w:szCs w:val="20"/>
        </w:rPr>
        <w:t xml:space="preserve"> išlyginamasis skaldos pagrindo sluoksnis </w:t>
      </w:r>
      <w:r>
        <w:rPr>
          <w:rFonts w:ascii="Arial Narrow" w:hAnsi="Arial Narrow"/>
          <w:sz w:val="20"/>
          <w:szCs w:val="20"/>
        </w:rPr>
        <w:t xml:space="preserve">vadovaujantis </w:t>
      </w:r>
      <w:r>
        <w:rPr>
          <w:rFonts w:ascii="Arial Narrow" w:hAnsi="Arial Narrow"/>
          <w:sz w:val="20"/>
          <w:szCs w:val="20"/>
        </w:rPr>
        <w:t xml:space="preserve">ĮT SBR 19 (deformacijos modulis Ev2 ≥1</w:t>
      </w:r>
      <w:r>
        <w:rPr>
          <w:rFonts w:ascii="Arial Narrow" w:hAnsi="Arial Narrow"/>
          <w:sz w:val="20"/>
          <w:szCs w:val="20"/>
        </w:rPr>
        <w:t xml:space="preserve">5</w:t>
      </w:r>
      <w:r>
        <w:rPr>
          <w:rFonts w:ascii="Arial Narrow" w:hAnsi="Arial Narrow"/>
          <w:sz w:val="20"/>
          <w:szCs w:val="20"/>
        </w:rPr>
        <w:t xml:space="preserve">0 MPa) reikalavimais</w:t>
      </w:r>
      <w:r>
        <w:rPr>
          <w:rFonts w:ascii="Arial Narrow" w:hAnsi="Arial Narrow"/>
          <w:sz w:val="20"/>
          <w:szCs w:val="20"/>
        </w:rPr>
        <w:t xml:space="preserve">.</w:t>
      </w:r>
    </w:p>
    <w:p w14:paraId="42E9B175">
      <w:pPr>
        <w:pStyle w:val="Bodytext1"/>
        <w:shd w:val="clear" w:color="auto" w:fill="auto"/>
        <w:tabs>
          <w:tab w:val="left" w:pos="0"/>
        </w:tabs>
        <w:spacing w:before="0" w:after="0" w:line="240" w:lineRule="auto"/>
        <w:ind w:left="284" w:right="55" w:firstLine="0"/>
        <w:jc w:val="both"/>
        <w:rPr>
          <w:rFonts w:ascii="Arial Narrow" w:hAnsi="Arial Narrow"/>
          <w:sz w:val="20"/>
          <w:szCs w:val="20"/>
        </w:rPr>
      </w:pPr>
    </w:p>
    <w:p w14:paraId="411BE279">
      <w:pPr>
        <w:pStyle w:val="Bodytext1"/>
        <w:numPr>
          <w:ilvl w:val="1"/>
          <w:numId w:val="19"/>
        </w:numPr>
        <w:shd w:val="clear" w:color="auto" w:fill="auto"/>
        <w:tabs>
          <w:tab w:val="left" w:pos="0"/>
        </w:tabs>
        <w:spacing w:before="0" w:after="0" w:line="240" w:lineRule="auto"/>
        <w:ind w:left="284" w:right="55" w:hanging="284"/>
        <w:jc w:val="both"/>
        <w:rPr>
          <w:rFonts w:ascii="Arial Narrow" w:hAnsi="Arial Narrow"/>
          <w:b/>
          <w:bCs/>
          <w:sz w:val="20"/>
          <w:szCs w:val="20"/>
        </w:rPr>
      </w:pPr>
      <w:r>
        <w:rPr>
          <w:rFonts w:ascii="Arial Narrow" w:hAnsi="Arial Narrow"/>
          <w:b/>
          <w:bCs/>
          <w:sz w:val="20"/>
          <w:szCs w:val="20"/>
        </w:rPr>
        <w:t xml:space="preserve">Kelkraščiai</w:t>
      </w:r>
    </w:p>
    <w:p w14:paraId="494D7539">
      <w:pPr>
        <w:pStyle w:val="Bodytext1"/>
        <w:shd w:val="clear" w:color="auto" w:fill="auto"/>
        <w:tabs>
          <w:tab w:val="left" w:pos="0"/>
        </w:tabs>
        <w:spacing w:before="0" w:after="0" w:line="240" w:lineRule="auto"/>
        <w:ind w:right="55" w:firstLine="0"/>
        <w:jc w:val="both"/>
        <w:rPr>
          <w:rFonts w:ascii="Arial Narrow" w:hAnsi="Arial Narrow"/>
          <w:b/>
          <w:bCs/>
          <w:sz w:val="20"/>
          <w:szCs w:val="20"/>
        </w:rPr>
      </w:pPr>
      <w:r>
        <w:rPr>
          <w:rFonts w:ascii="Arial Narrow" w:hAnsi="Arial Narrow"/>
          <w:sz w:val="20"/>
          <w:szCs w:val="20"/>
        </w:rPr>
        <w:t xml:space="preserve">Įrengti viršutinio kelkraščio sluoksnį 1,</w:t>
      </w:r>
      <w:r>
        <w:rPr>
          <w:rFonts w:ascii="Arial Narrow" w:hAnsi="Arial Narrow"/>
          <w:sz w:val="20"/>
          <w:szCs w:val="20"/>
        </w:rPr>
        <w:t xml:space="preserve">0</w:t>
      </w:r>
      <w:r>
        <w:rPr>
          <w:rFonts w:ascii="Arial Narrow" w:hAnsi="Arial Narrow"/>
          <w:sz w:val="20"/>
          <w:szCs w:val="20"/>
        </w:rPr>
        <w:t xml:space="preserve"> m pločiu 8% skersiniu nuolydžiu. Jei trūksta esamo kelkraščio pločio, kelkraštį įrengti iki esamos kelio briaunos. Tuo atveju kai esamas kelkraštis platesnis nei 1,</w:t>
      </w:r>
      <w:r>
        <w:rPr>
          <w:rFonts w:ascii="Arial Narrow" w:hAnsi="Arial Narrow"/>
          <w:sz w:val="20"/>
          <w:szCs w:val="20"/>
        </w:rPr>
        <w:t xml:space="preserve">0</w:t>
      </w:r>
      <w:r>
        <w:rPr>
          <w:rFonts w:ascii="Arial Narrow" w:hAnsi="Arial Narrow"/>
          <w:sz w:val="20"/>
          <w:szCs w:val="20"/>
        </w:rPr>
        <w:t xml:space="preserve"> m, likusioje netvirtinamo kelkraščio dalyje suformuoti ≥8,0% nuolydį iki kelio briaunos, pašalinant užaukštėjusias kelkraščių briaunas, trukdančios nutekėti vandeniui, jei tokių yra, ir sustiprinant suformuotą šlaitą neplonesniu nei 6 cm storio dirvožemio sluoksniu apsėjant žole. Kelkraščiai turi būti įrengti pagal ĮT SBR 19, TRA SBR 19 reikalavimus ir pridedamą schemą (žr. </w:t>
      </w:r>
      <w:r>
        <w:rPr>
          <w:rFonts w:ascii="Arial Narrow" w:hAnsi="Arial Narrow"/>
          <w:sz w:val="20"/>
          <w:szCs w:val="20"/>
        </w:rPr>
        <w:t xml:space="preserve">1 pav.</w:t>
      </w:r>
      <w:r>
        <w:rPr>
          <w:rFonts w:ascii="Arial Narrow" w:hAnsi="Arial Narrow"/>
          <w:sz w:val="20"/>
          <w:szCs w:val="20"/>
        </w:rPr>
        <w:t xml:space="preserve">). Turi būti įrengtas ne plonesnis nei </w:t>
      </w:r>
      <w:r>
        <w:rPr>
          <w:rFonts w:ascii="Arial Narrow" w:hAnsi="Arial Narrow"/>
          <w:sz w:val="20"/>
          <w:szCs w:val="20"/>
        </w:rPr>
        <w:t xml:space="preserve">6</w:t>
      </w:r>
      <w:r>
        <w:rPr>
          <w:rFonts w:ascii="Arial Narrow" w:hAnsi="Arial Narrow"/>
          <w:sz w:val="20"/>
          <w:szCs w:val="20"/>
        </w:rPr>
        <w:t xml:space="preserve"> cm storio viršutinis kelkraščio sluoksnis naudojant skaldažolės mišinius nurodytus TRA SBR 19 63.2 ir 65 punktuose, pridedant 15 % dirvožemio. Jeigu yra didelis projektinės dangos paaukštėjimas, leidžiama įrengti ir apatinį kelkraščio sluoksnį vadovaujantis ĮT SBR 19 ir TRA SBR 19 reikalavimais</w:t>
      </w:r>
      <w:r>
        <w:rPr>
          <w:rFonts w:ascii="Arial Narrow" w:hAnsi="Arial Narrow"/>
          <w:sz w:val="20"/>
          <w:szCs w:val="20"/>
        </w:rPr>
        <w:t xml:space="preserve">.</w:t>
      </w:r>
    </w:p>
    <w:p w14:paraId="5E4EA32B">
      <w:pPr>
        <w:pStyle w:val="Bodytext1"/>
        <w:shd w:val="clear" w:color="auto" w:fill="auto"/>
        <w:tabs>
          <w:tab w:val="left" w:pos="0"/>
        </w:tabs>
        <w:spacing w:before="0" w:after="0" w:line="240" w:lineRule="auto"/>
        <w:ind w:left="284" w:right="55" w:firstLine="0"/>
        <w:jc w:val="both"/>
        <w:rPr>
          <w:rFonts w:ascii="Arial Narrow" w:hAnsi="Arial Narrow"/>
          <w:b/>
          <w:bCs/>
          <w:sz w:val="20"/>
          <w:szCs w:val="20"/>
        </w:rPr>
      </w:pPr>
    </w:p>
    <w:p w14:paraId="1494D400">
      <w:pPr>
        <w:pStyle w:val="Bodytext1"/>
        <w:shd w:val="clear" w:color="auto" w:fill="auto"/>
        <w:tabs>
          <w:tab w:val="left" w:pos="0"/>
        </w:tabs>
        <w:spacing w:before="0" w:after="0" w:line="240" w:lineRule="auto"/>
        <w:ind w:right="55" w:firstLine="0"/>
        <w:jc w:val="both"/>
        <w:rPr>
          <w:rFonts w:ascii="Arial Narrow" w:hAnsi="Arial Narrow"/>
          <w:sz w:val="20"/>
          <w:szCs w:val="20"/>
        </w:rPr>
      </w:pPr>
      <w:r>
        <w:rPr>
          <w:rFonts w:ascii="Arial Narrow" w:hAnsi="Arial Narrow"/>
          <w:sz w:val="20"/>
          <w:szCs w:val="20"/>
        </w:rPr>
        <w:t xml:space="preserve">1 pav. Kelkraščių tvarkymo principinė schema.</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trPr/>
        <w:tc>
          <w:tcPr>
            <w:tcW w:type="dxa" w:w="4814"/>
            <w:tcBorders/>
          </w:tcPr>
          <w:p>
            <w:pPr>
              <w:pStyle w:val="Bodytext1"/>
              <w:shd w:val="clear" w:color="auto" w:fill="auto"/>
              <w:tabs>
                <w:tab w:val="left" w:pos="0"/>
              </w:tabs>
              <w:spacing w:before="0" w:after="0" w:line="240" w:lineRule="auto"/>
              <w:ind w:right="55" w:firstLine="0"/>
              <w:jc w:val="both"/>
              <w:rPr>
                <w:rFonts w:ascii="Arial Narrow" w:hAnsi="Arial Narrow"/>
                <w:sz w:val="20"/>
                <w:szCs w:val="20"/>
              </w:rPr>
            </w:pPr>
          </w:p>
        </w:tc>
        <w:tc>
          <w:tcPr>
            <w:tcW w:type="dxa" w:w="4814"/>
            <w:tcBorders/>
          </w:tcPr>
          <w:p>
            <w:pPr>
              <w:pStyle w:val="Bodytext1"/>
              <w:shd w:val="clear" w:color="auto" w:fill="auto"/>
              <w:tabs>
                <w:tab w:val="left" w:pos="0"/>
              </w:tabs>
              <w:spacing w:before="0" w:after="0" w:line="240" w:lineRule="auto"/>
              <w:ind w:right="55" w:firstLine="0"/>
              <w:jc w:val="both"/>
              <w:rPr>
                <w:rFonts w:ascii="Arial Narrow" w:hAnsi="Arial Narrow"/>
                <w:sz w:val="20"/>
                <w:szCs w:val="20"/>
              </w:rPr>
            </w:pPr>
          </w:p>
        </w:tc>
      </w:tr>
    </w:tbl>
    <w:p w14:paraId="3966C764">
      <w:pPr>
        <w:pStyle w:val="Bodytext1"/>
        <w:shd w:val="clear" w:color="auto" w:fill="auto"/>
        <w:tabs>
          <w:tab w:val="left" w:pos="0"/>
        </w:tabs>
        <w:spacing w:before="0" w:after="0" w:line="240" w:lineRule="auto"/>
        <w:ind w:right="55" w:firstLine="0"/>
        <w:jc w:val="both"/>
        <w:rPr>
          <w:rFonts w:ascii="Arial Narrow" w:hAnsi="Arial Narrow"/>
          <w:sz w:val="20"/>
          <w:szCs w:val="20"/>
        </w:rPr>
      </w:pPr>
      <w:r>
        <w:rPr>
          <w:rFonts w:ascii="Arial Narrow" w:hAnsi="Arial Narrow"/>
          <w:noProof/>
          <w:sz w:val="20"/>
          <w:szCs w:val="20"/>
        </w:rPr>
        <w:drawing>
          <wp:inline>
            <wp:extent cx="3095955" cy="1256306"/>
            <wp:effectExtent xmlns:wp="http://schemas.openxmlformats.org/drawingml/2006/wordprocessingDrawing" l="0" t="0" r="0" b="1270"/>
            <wp:docPr id="1" descr="Paveikslėlis, kuriame yra tekstas, ekrano kopija, Šriftas, diagrama&#10;&#10;Automatiškai sugeneruotas aprašymas"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
                    <a:srcRect/>
                    <a:stretch>
                      <a:fillRect/>
                    </a:stretch>
                  </pic:blipFill>
                  <pic:spPr bwMode="auto">
                    <a:xfrm>
                      <a:off x="0" y="0"/>
                      <a:ext cx="3095955" cy="1256306"/>
                    </a:xfrm>
                    <a:prstGeom prst="rect">
                      <a:avLst/>
                    </a:prstGeom>
                  </pic:spPr>
                </pic:pic>
              </a:graphicData>
            </a:graphic>
          </wp:inline>
        </w:drawing>
      </w:r>
      <w:r>
        <w:rPr>
          <w:rFonts w:ascii="Arial Narrow" w:hAnsi="Arial Narrow"/>
          <w:noProof/>
          <w:sz w:val="20"/>
          <w:szCs w:val="20"/>
        </w:rPr>
        <w:drawing>
          <wp:inline>
            <wp:extent cx="2802422" cy="1190902"/>
            <wp:effectExtent xmlns:wp="http://schemas.openxmlformats.org/drawingml/2006/wordprocessingDrawing" l="0" t="0" r="0" b="9525"/>
            <wp:docPr id="2" descr="Paveikslėlis, kuriame yra tekstas, ekrano kopija, linija, diagrama&#10;&#10;Automatiškai sugeneruotas aprašymas" name="Paveikslėli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
                    <a:srcRect/>
                    <a:stretch>
                      <a:fillRect/>
                    </a:stretch>
                  </pic:blipFill>
                  <pic:spPr bwMode="auto">
                    <a:xfrm>
                      <a:off x="0" y="0"/>
                      <a:ext cx="2802422" cy="1190902"/>
                    </a:xfrm>
                    <a:prstGeom prst="rect">
                      <a:avLst/>
                    </a:prstGeom>
                  </pic:spPr>
                </pic:pic>
              </a:graphicData>
            </a:graphic>
          </wp:inline>
        </w:drawing>
      </w:r>
    </w:p>
    <w:p w14:paraId="7F8BD791">
      <w:pPr>
        <w:pStyle w:val="Bodytext1"/>
        <w:shd w:val="clear" w:color="auto" w:fill="auto"/>
        <w:tabs>
          <w:tab w:val="left" w:pos="0"/>
        </w:tabs>
        <w:spacing w:before="0" w:after="0" w:line="240" w:lineRule="auto"/>
        <w:ind w:left="284" w:right="55" w:firstLine="0"/>
        <w:jc w:val="both"/>
        <w:rPr>
          <w:rFonts w:ascii="Arial Narrow" w:hAnsi="Arial Narrow"/>
          <w:b/>
          <w:bCs/>
          <w:sz w:val="20"/>
          <w:szCs w:val="20"/>
        </w:rPr>
      </w:pPr>
    </w:p>
    <w:p w14:paraId="00C0CC04">
      <w:pPr>
        <w:pStyle w:val="Bodytext1"/>
        <w:shd w:val="clear" w:color="auto" w:fill="auto"/>
        <w:tabs>
          <w:tab w:val="left" w:pos="0"/>
        </w:tabs>
        <w:spacing w:before="0" w:after="0" w:line="240" w:lineRule="auto"/>
        <w:ind w:left="284" w:right="55" w:firstLine="0"/>
        <w:jc w:val="both"/>
        <w:rPr>
          <w:rFonts w:ascii="Arial Narrow" w:hAnsi="Arial Narrow"/>
          <w:b/>
          <w:bCs/>
          <w:sz w:val="20"/>
          <w:szCs w:val="20"/>
        </w:rPr>
      </w:pPr>
    </w:p>
    <w:p w14:paraId="0FCAE6F9">
      <w:pPr>
        <w:pStyle w:val="Bodytext1"/>
        <w:numPr>
          <w:ilvl w:val="1"/>
          <w:numId w:val="19"/>
        </w:numPr>
        <w:shd w:val="clear" w:color="auto" w:fill="auto"/>
        <w:tabs>
          <w:tab w:val="left" w:pos="0"/>
        </w:tabs>
        <w:spacing w:before="0" w:after="0" w:line="240" w:lineRule="auto"/>
        <w:ind w:left="284" w:right="55" w:hanging="284"/>
        <w:jc w:val="both"/>
        <w:rPr>
          <w:rFonts w:ascii="Arial Narrow" w:hAnsi="Arial Narrow"/>
          <w:b/>
          <w:bCs/>
          <w:sz w:val="20"/>
          <w:szCs w:val="20"/>
        </w:rPr>
      </w:pPr>
      <w:r>
        <w:rPr>
          <w:rFonts w:ascii="Arial Narrow" w:hAnsi="Arial Narrow"/>
          <w:b/>
          <w:bCs/>
          <w:sz w:val="20"/>
          <w:szCs w:val="20"/>
        </w:rPr>
        <w:t xml:space="preserve">Sankryžos ir nuovažos</w:t>
      </w:r>
    </w:p>
    <w:p w14:paraId="760B8A96">
      <w:pPr>
        <w:pStyle w:val="Bodytext1"/>
        <w:numPr>
          <w:ilvl w:val="2"/>
          <w:numId w:val="19"/>
        </w:numPr>
        <w:shd w:val="clear" w:color="auto" w:fill="auto"/>
        <w:tabs>
          <w:tab w:val="left" w:pos="426"/>
        </w:tabs>
        <w:spacing w:before="0" w:after="0" w:line="240" w:lineRule="auto"/>
        <w:ind w:left="0" w:right="55" w:firstLine="0"/>
        <w:jc w:val="both"/>
        <w:rPr>
          <w:rFonts w:ascii="Arial Narrow" w:hAnsi="Arial Narrow"/>
          <w:color w:val="FF0000"/>
          <w:sz w:val="20"/>
          <w:szCs w:val="20"/>
        </w:rPr>
      </w:pPr>
      <w:r>
        <w:rPr>
          <w:rFonts w:ascii="Arial Narrow" w:hAnsi="Arial Narrow"/>
          <w:sz w:val="20"/>
          <w:szCs w:val="20"/>
        </w:rPr>
        <w:t xml:space="preserve">Atnaujinti sankryžų/nuovažų su asfalto danga viršutinį sluoksnį, sklandžiai suvedant dangas iki </w:t>
      </w:r>
      <w:r>
        <w:rPr>
          <w:rFonts w:ascii="Arial Narrow" w:hAnsi="Arial Narrow"/>
          <w:sz w:val="20"/>
          <w:szCs w:val="20"/>
        </w:rPr>
        <w:t xml:space="preserve">kelio juostos ribų</w:t>
      </w:r>
      <w:r>
        <w:rPr>
          <w:rFonts w:ascii="Arial Narrow" w:hAnsi="Arial Narrow"/>
          <w:sz w:val="20"/>
          <w:szCs w:val="20"/>
        </w:rPr>
        <w:t xml:space="preserve"> vadovaujantis ĮT APM 10</w:t>
      </w:r>
      <w:r>
        <w:rPr>
          <w:rFonts w:ascii="Arial Narrow" w:hAnsi="Arial Narrow"/>
          <w:sz w:val="20"/>
          <w:szCs w:val="20"/>
        </w:rPr>
        <w:t xml:space="preserve">.</w:t>
      </w:r>
      <w:r>
        <w:rPr>
          <w:rFonts w:ascii="Arial Narrow" w:hAnsi="Arial Narrow"/>
          <w:sz w:val="20"/>
          <w:szCs w:val="20"/>
        </w:rPr>
        <w:t xml:space="preserve"> </w:t>
      </w:r>
      <w:r>
        <w:rPr>
          <w:rFonts w:ascii="Arial Narrow" w:hAnsi="Arial Narrow"/>
          <w:sz w:val="20"/>
          <w:szCs w:val="20"/>
        </w:rPr>
        <w:t xml:space="preserve">Netaisyklingos geometrijos sankryžos/ nuovažos su asfalto danga, turi būti koreguojamos, kad atitiktų R36-01</w:t>
      </w:r>
      <w:r>
        <w:rPr>
          <w:rFonts w:ascii="Arial Narrow" w:hAnsi="Arial Narrow"/>
          <w:sz w:val="20"/>
          <w:szCs w:val="20"/>
        </w:rPr>
        <w:t xml:space="preserve"> ar </w:t>
      </w:r>
      <w:r>
        <w:rPr>
          <w:rFonts w:ascii="Arial Narrow" w:hAnsi="Arial Narrow"/>
          <w:sz w:val="20"/>
          <w:szCs w:val="20"/>
        </w:rPr>
        <w:t xml:space="preserve"> </w:t>
      </w:r>
      <w:r>
        <w:rPr>
          <w:rFonts w:ascii="Arial Narrow" w:hAnsi="Arial Narrow"/>
          <w:sz w:val="20"/>
          <w:szCs w:val="20"/>
        </w:rPr>
        <w:t xml:space="preserve">STR 2.06.04:2014</w:t>
      </w:r>
      <w:r>
        <w:rPr>
          <w:rFonts w:ascii="Arial Narrow" w:hAnsi="Arial Narrow"/>
          <w:sz w:val="20"/>
          <w:szCs w:val="20"/>
        </w:rPr>
        <w:t xml:space="preserve"> </w:t>
      </w:r>
      <w:r>
        <w:rPr>
          <w:rFonts w:ascii="Arial Narrow" w:hAnsi="Arial Narrow"/>
          <w:sz w:val="20"/>
          <w:szCs w:val="20"/>
        </w:rPr>
        <w:t xml:space="preserve">reikalavimus. Pagrįstais atvejais, kai sankryžos/nuovažos techninius parametrus sudėtinga atstatyti pagal R36-01</w:t>
      </w:r>
      <w:r>
        <w:rPr>
          <w:rFonts w:ascii="Arial Narrow" w:hAnsi="Arial Narrow"/>
          <w:sz w:val="20"/>
          <w:szCs w:val="20"/>
        </w:rPr>
        <w:t xml:space="preserve"> ar </w:t>
      </w:r>
      <w:r>
        <w:rPr>
          <w:rFonts w:ascii="Arial Narrow" w:hAnsi="Arial Narrow"/>
          <w:sz w:val="20"/>
          <w:szCs w:val="20"/>
        </w:rPr>
        <w:t xml:space="preserve"> </w:t>
      </w:r>
      <w:r>
        <w:rPr>
          <w:rFonts w:ascii="Arial Narrow" w:hAnsi="Arial Narrow"/>
          <w:sz w:val="20"/>
          <w:szCs w:val="20"/>
        </w:rPr>
        <w:t xml:space="preserve">STR 2.06.04:2014</w:t>
      </w:r>
      <w:r>
        <w:rPr>
          <w:rFonts w:ascii="Arial Narrow" w:hAnsi="Arial Narrow"/>
          <w:sz w:val="20"/>
          <w:szCs w:val="20"/>
        </w:rPr>
        <w:t xml:space="preserve"> reikalavimus (riboja kelio sklypo ribos, esama sankasa, neįmanoma tvarkingai suvesti su vietiniu keliu ir kt.), tokios sankryžos/nuovažos koreguojamos maksimaliai kiek tai leidžia esamos sąlygos (minėti atvejai projektuotojo turi būti pagrįsti)</w:t>
      </w:r>
      <w:r>
        <w:rPr>
          <w:rFonts w:ascii="Arial Narrow" w:hAnsi="Arial Narrow"/>
          <w:sz w:val="20"/>
          <w:szCs w:val="20"/>
        </w:rPr>
        <w:t xml:space="preserve">.</w:t>
      </w:r>
    </w:p>
    <w:p w14:paraId="65040B3D">
      <w:pPr>
        <w:pStyle w:val="Bodytext1"/>
        <w:numPr>
          <w:ilvl w:val="2"/>
          <w:numId w:val="19"/>
        </w:numPr>
        <w:shd w:val="clear" w:color="auto" w:fill="auto"/>
        <w:tabs>
          <w:tab w:val="left" w:pos="426"/>
        </w:tabs>
        <w:spacing w:before="0" w:after="0" w:line="240" w:lineRule="auto"/>
        <w:ind w:left="0" w:right="55" w:firstLine="0"/>
        <w:jc w:val="both"/>
        <w:rPr>
          <w:rFonts w:ascii="Arial Narrow" w:hAnsi="Arial Narrow"/>
          <w:color w:val="FF0000"/>
          <w:sz w:val="20"/>
          <w:szCs w:val="20"/>
        </w:rPr>
      </w:pPr>
      <w:r>
        <w:rPr>
          <w:rFonts w:ascii="Arial Narrow" w:hAnsi="Arial Narrow"/>
          <w:sz w:val="20"/>
          <w:szCs w:val="20"/>
        </w:rPr>
        <w:t xml:space="preserve">Išasfaltuoti </w:t>
      </w:r>
      <w:r>
        <w:rPr>
          <w:rFonts w:ascii="Arial Narrow" w:hAnsi="Arial Narrow"/>
          <w:sz w:val="20"/>
          <w:szCs w:val="20"/>
        </w:rPr>
        <w:t xml:space="preserve">esamas nuovažas/sankryžas</w:t>
      </w:r>
      <w:r>
        <w:rPr>
          <w:rFonts w:ascii="Arial Narrow" w:hAnsi="Arial Narrow"/>
          <w:sz w:val="20"/>
          <w:szCs w:val="20"/>
        </w:rPr>
        <w:t xml:space="preserve"> į vietinės reikšmės kelius/gatves</w:t>
      </w:r>
      <w:r>
        <w:rPr>
          <w:rFonts w:ascii="Arial Narrow" w:hAnsi="Arial Narrow"/>
          <w:sz w:val="20"/>
          <w:szCs w:val="20"/>
        </w:rPr>
        <w:t xml:space="preserve"> su žvyro danga</w:t>
      </w:r>
      <w:r>
        <w:rPr>
          <w:rFonts w:ascii="Arial Narrow" w:hAnsi="Arial Narrow"/>
          <w:sz w:val="20"/>
          <w:szCs w:val="20"/>
        </w:rPr>
        <w:t xml:space="preserve"> iki kelio sklypo ribos</w:t>
      </w:r>
      <w:r>
        <w:rPr>
          <w:rFonts w:ascii="Arial Narrow" w:hAnsi="Arial Narrow"/>
          <w:sz w:val="20"/>
          <w:szCs w:val="20"/>
        </w:rPr>
        <w:t xml:space="preserve"> pagal </w:t>
      </w:r>
      <w:r>
        <w:rPr>
          <w:rFonts w:ascii="Arial Narrow" w:hAnsi="Arial Narrow"/>
          <w:sz w:val="20"/>
          <w:szCs w:val="20"/>
        </w:rPr>
        <w:t xml:space="preserve">R 36-01</w:t>
      </w:r>
      <w:r>
        <w:rPr>
          <w:rFonts w:ascii="Arial Narrow" w:hAnsi="Arial Narrow"/>
          <w:sz w:val="20"/>
          <w:szCs w:val="20"/>
        </w:rPr>
        <w:t xml:space="preserve"> ar </w:t>
      </w:r>
      <w:r>
        <w:rPr>
          <w:rFonts w:ascii="Arial Narrow" w:hAnsi="Arial Narrow"/>
          <w:sz w:val="20"/>
          <w:szCs w:val="20"/>
        </w:rPr>
        <w:t xml:space="preserve"> </w:t>
      </w:r>
      <w:r>
        <w:rPr>
          <w:rFonts w:ascii="Arial Narrow" w:hAnsi="Arial Narrow"/>
          <w:sz w:val="20"/>
          <w:szCs w:val="20"/>
        </w:rPr>
        <w:t xml:space="preserve">STR 2.06.04:2014</w:t>
      </w:r>
      <w:r>
        <w:rPr>
          <w:rFonts w:ascii="Arial Narrow" w:hAnsi="Arial Narrow"/>
          <w:sz w:val="20"/>
          <w:szCs w:val="20"/>
        </w:rPr>
        <w:t xml:space="preserve"> reikalavim</w:t>
      </w:r>
      <w:r>
        <w:rPr>
          <w:rFonts w:ascii="Arial Narrow" w:hAnsi="Arial Narrow"/>
          <w:sz w:val="20"/>
          <w:szCs w:val="20"/>
        </w:rPr>
        <w:t xml:space="preserve">us</w:t>
      </w:r>
      <w:r>
        <w:rPr>
          <w:rFonts w:ascii="Arial Narrow" w:hAnsi="Arial Narrow"/>
          <w:sz w:val="20"/>
          <w:szCs w:val="20"/>
        </w:rPr>
        <w:t xml:space="preserve">. Dangos konstrukciją parenkant pagal </w:t>
      </w:r>
      <w:r>
        <w:rPr>
          <w:rFonts w:ascii="Arial Narrow" w:hAnsi="Arial Narrow"/>
          <w:sz w:val="20"/>
          <w:szCs w:val="20"/>
        </w:rPr>
        <w:t xml:space="preserve">Automobilių kelių standartizuotų dangų konstrukcijų projektavimo taisyk</w:t>
      </w:r>
      <w:r>
        <w:rPr>
          <w:rFonts w:ascii="Arial Narrow" w:hAnsi="Arial Narrow"/>
          <w:sz w:val="20"/>
          <w:szCs w:val="20"/>
        </w:rPr>
        <w:t xml:space="preserve">lių</w:t>
      </w:r>
      <w:r>
        <w:rPr>
          <w:rFonts w:ascii="Arial Narrow" w:hAnsi="Arial Narrow"/>
          <w:sz w:val="20"/>
          <w:szCs w:val="20"/>
        </w:rPr>
        <w:t xml:space="preserve"> </w:t>
      </w:r>
      <w:r>
        <w:rPr>
          <w:rFonts w:ascii="Arial Narrow" w:hAnsi="Arial Narrow"/>
          <w:sz w:val="20"/>
          <w:szCs w:val="20"/>
        </w:rPr>
        <w:t xml:space="preserve">reikalavimus</w:t>
      </w:r>
      <w:r>
        <w:rPr>
          <w:rFonts w:ascii="Arial Narrow" w:hAnsi="Arial Narrow"/>
          <w:sz w:val="20"/>
          <w:szCs w:val="20"/>
        </w:rPr>
        <w:t xml:space="preserve">.</w:t>
      </w:r>
      <w:r>
        <w:rPr>
          <w:rFonts w:ascii="Arial Narrow" w:hAnsi="Arial Narrow"/>
          <w:sz w:val="20"/>
          <w:szCs w:val="20"/>
        </w:rPr>
        <w:t xml:space="preserve"> Esant poreikiui įrengti pralaidas ne mažesnio diametro nei d400. N</w:t>
      </w:r>
      <w:r>
        <w:rPr>
          <w:rFonts w:ascii="Arial Narrow" w:hAnsi="Arial Narrow"/>
          <w:sz w:val="20"/>
          <w:szCs w:val="20"/>
        </w:rPr>
        <w:t xml:space="preserve">etaisyklingos geometrijos sankryžos/ nuovažos su </w:t>
      </w:r>
      <w:r>
        <w:rPr>
          <w:rFonts w:ascii="Arial Narrow" w:hAnsi="Arial Narrow"/>
          <w:sz w:val="20"/>
          <w:szCs w:val="20"/>
        </w:rPr>
        <w:t xml:space="preserve">žvyro</w:t>
      </w:r>
      <w:r>
        <w:rPr>
          <w:rFonts w:ascii="Arial Narrow" w:hAnsi="Arial Narrow"/>
          <w:sz w:val="20"/>
          <w:szCs w:val="20"/>
        </w:rPr>
        <w:t xml:space="preserve"> danga, turi būti koreguojamos, kad atitiktų R36-01 reikalavimus. Pagrįstais atvejais, kai sankryžos/nuovažos techninius parametrus sudėtinga atstatyti pagal R36-01 reikalavimus (riboja kelio sklypo ribos, esama sankasa, neįmanoma tvarkingai suvesti su vietiniu keliu ir kt.), tokios sankryžos/nuovažos koreguojamos maksimaliai kiek tai leidžia esamos sąlygos (minėti atvejai projektuotojo turi būti pagrįsti)</w:t>
      </w:r>
      <w:r>
        <w:rPr>
          <w:rFonts w:ascii="Arial Narrow" w:hAnsi="Arial Narrow"/>
          <w:sz w:val="20"/>
          <w:szCs w:val="20"/>
        </w:rPr>
        <w:t xml:space="preserve">.</w:t>
      </w:r>
    </w:p>
    <w:p w14:paraId="35F3C842">
      <w:pPr>
        <w:pStyle w:val="Bodytext1"/>
        <w:numPr>
          <w:ilvl w:val="2"/>
          <w:numId w:val="19"/>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Įrengti remontuojamo kelio asfalto dangos išplatinimą 1 m pločiu </w:t>
      </w:r>
      <w:r>
        <w:rPr>
          <w:rFonts w:ascii="Arial Narrow" w:hAnsi="Arial Narrow"/>
          <w:sz w:val="20"/>
          <w:szCs w:val="20"/>
        </w:rPr>
        <w:t xml:space="preserve">e</w:t>
      </w:r>
      <w:r>
        <w:rPr>
          <w:rFonts w:ascii="Arial Narrow" w:hAnsi="Arial Narrow"/>
          <w:sz w:val="20"/>
          <w:szCs w:val="20"/>
        </w:rPr>
        <w:t xml:space="preserve">samų</w:t>
      </w:r>
      <w:r>
        <w:rPr>
          <w:rFonts w:ascii="Arial Narrow" w:hAnsi="Arial Narrow"/>
          <w:sz w:val="20"/>
          <w:szCs w:val="20"/>
        </w:rPr>
        <w:t xml:space="preserve"> nuovažų</w:t>
      </w:r>
      <w:r>
        <w:rPr>
          <w:rFonts w:ascii="Arial Narrow" w:hAnsi="Arial Narrow"/>
          <w:sz w:val="20"/>
          <w:szCs w:val="20"/>
        </w:rPr>
        <w:t xml:space="preserve"> į sodybas/sklypus</w:t>
      </w:r>
      <w:r>
        <w:rPr>
          <w:rFonts w:ascii="Arial Narrow" w:hAnsi="Arial Narrow"/>
          <w:sz w:val="20"/>
          <w:szCs w:val="20"/>
        </w:rPr>
        <w:t xml:space="preserve"> su žvyro danga ribose ant esamos dangos (nemažesnio nei 6 cm storio viensluoksnę asfalto dangą (iš mišinio AC16PD) arba dvisluoksnę asfalto dangą (apatiniams sluoksniams turi būti naudojami asfalto pagrindo mišiniai pagal ĮT Asfaltas </w:t>
      </w:r>
      <w:r>
        <w:rPr>
          <w:rFonts w:ascii="Arial Narrow" w:hAnsi="Arial Narrow"/>
          <w:sz w:val="20"/>
          <w:szCs w:val="20"/>
        </w:rPr>
        <w:t xml:space="preserve">2</w:t>
      </w:r>
      <w:r>
        <w:rPr>
          <w:rFonts w:ascii="Arial Narrow" w:hAnsi="Arial Narrow"/>
          <w:sz w:val="20"/>
          <w:szCs w:val="20"/>
        </w:rPr>
        <w:t xml:space="preserve">5</w:t>
      </w:r>
      <w:r>
        <w:rPr>
          <w:rFonts w:ascii="Arial Narrow" w:hAnsi="Arial Narrow"/>
          <w:sz w:val="20"/>
          <w:szCs w:val="20"/>
        </w:rPr>
        <w:t xml:space="preserve"> reikalavimus, skirti įrengti ant nesurištųjų medžiagų mišinio pagrindo sluoksnio), sklandžiai suvedant dangas. Likusioje nuovažų/sankryžų su žvyro danga dalyje įrengti sklandų žvyro </w:t>
      </w:r>
      <w:r>
        <w:rPr>
          <w:rFonts w:ascii="Arial Narrow" w:hAnsi="Arial Narrow"/>
          <w:sz w:val="20"/>
          <w:szCs w:val="20"/>
        </w:rPr>
        <w:t xml:space="preserve">dangos sujungimą iki remontuojamo kelio posūkių atlankų spindulių pabaigos ar iki kelio juostos ribos pagal ĮT SBR 19 reikalavimus.</w:t>
      </w:r>
    </w:p>
    <w:p w14:paraId="3C528129">
      <w:pPr>
        <w:pStyle w:val="Bodytext1"/>
        <w:numPr>
          <w:ilvl w:val="2"/>
          <w:numId w:val="19"/>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7,174 km ir 7,205 km esančiose sankryžose numatyti šalutinių kelių važiuojamosios dalies siaurinimą horizontaliuoju kelio ženklinimu.</w:t>
      </w:r>
    </w:p>
    <w:p w14:paraId="67301965">
      <w:pPr>
        <w:pStyle w:val="Bodytext1"/>
        <w:shd w:val="clear" w:color="auto" w:fill="auto"/>
        <w:tabs>
          <w:tab w:val="left" w:pos="709"/>
        </w:tabs>
        <w:spacing w:before="0" w:after="0" w:line="240" w:lineRule="auto"/>
        <w:ind w:right="55" w:firstLine="0"/>
        <w:jc w:val="both"/>
        <w:rPr>
          <w:rFonts w:ascii="Arial Narrow" w:hAnsi="Arial Narrow"/>
          <w:sz w:val="20"/>
          <w:szCs w:val="20"/>
        </w:rPr>
      </w:pPr>
      <w:r>
        <w:rPr>
          <w:rFonts w:ascii="Arial Narrow" w:hAnsi="Arial Narrow"/>
          <w:b/>
          <w:bCs/>
          <w:sz w:val="20"/>
          <w:szCs w:val="20"/>
        </w:rPr>
        <w:t xml:space="preserve">Pastaba. </w:t>
      </w:r>
      <w:r>
        <w:rPr>
          <w:rFonts w:ascii="Arial Narrow" w:hAnsi="Arial Narrow"/>
          <w:sz w:val="20"/>
          <w:szCs w:val="20"/>
        </w:rPr>
        <w:t xml:space="preserve">Tiekėjas turi</w:t>
      </w:r>
      <w:r>
        <w:rPr>
          <w:rFonts w:ascii="Arial Narrow" w:hAnsi="Arial Narrow"/>
          <w:b/>
          <w:bCs/>
          <w:sz w:val="20"/>
          <w:szCs w:val="20"/>
        </w:rPr>
        <w:t xml:space="preserve"> išanalizuoti </w:t>
      </w:r>
      <w:r>
        <w:rPr>
          <w:rFonts w:ascii="Arial Narrow" w:hAnsi="Arial Narrow"/>
          <w:sz w:val="20"/>
          <w:szCs w:val="20"/>
        </w:rPr>
        <w:t xml:space="preserve">kiekvienos nuovažos esamą situaciją, kadastro duomenis, žemėtvarkos planavimo dokumentus, patalpintus informacinėse sistemose (</w:t>
      </w:r>
      <w:r>
        <w:rPr/>
        <w:fldChar w:fldCharType="begin"/>
      </w:r>
      <w:r>
        <w:rPr/>
        <w:instrText xml:space="preserve">HYPERLINK "http://www.zpdris.lt" </w:instrText>
      </w:r>
      <w:r>
        <w:rPr/>
        <w:fldChar w:fldCharType="separate"/>
      </w:r>
      <w:r>
        <w:rPr>
          <w:rStyle w:val="Hyperlink"/>
          <w:rFonts w:ascii="Arial Narrow" w:hAnsi="Arial Narrow"/>
          <w:color w:val="auto"/>
          <w:sz w:val="20"/>
          <w:szCs w:val="20"/>
        </w:rPr>
        <w:t xml:space="preserve">www.zpdris.lt</w:t>
      </w:r>
      <w:r>
        <w:rPr/>
        <w:fldChar w:fldCharType="end"/>
      </w:r>
      <w:r>
        <w:rPr>
          <w:rFonts w:ascii="Arial Narrow" w:hAnsi="Arial Narrow"/>
          <w:sz w:val="20"/>
          <w:szCs w:val="20"/>
        </w:rPr>
        <w:t xml:space="preserve">), ir teritorijų planavimo dokumentus viešai prieinamose informacinėse sistemose (www.tpdr.lt ar www.tpdris.lt).</w:t>
      </w:r>
    </w:p>
    <w:p w14:paraId="058A2831">
      <w:pPr>
        <w:pStyle w:val="Bodytext1"/>
        <w:shd w:val="clear" w:color="auto" w:fill="auto"/>
        <w:tabs>
          <w:tab w:val="left" w:pos="0"/>
        </w:tabs>
        <w:spacing w:before="0" w:after="0" w:line="240" w:lineRule="auto"/>
        <w:ind w:right="55" w:firstLine="0"/>
        <w:jc w:val="both"/>
        <w:rPr>
          <w:rFonts w:ascii="Arial Narrow" w:hAnsi="Arial Narrow"/>
          <w:b/>
          <w:bCs/>
          <w:sz w:val="20"/>
          <w:szCs w:val="20"/>
        </w:rPr>
      </w:pPr>
    </w:p>
    <w:p w14:paraId="1BE7A693">
      <w:pPr>
        <w:pStyle w:val="Bodytext1"/>
        <w:numPr>
          <w:ilvl w:val="1"/>
          <w:numId w:val="19"/>
        </w:numPr>
        <w:shd w:val="clear" w:color="auto" w:fill="auto"/>
        <w:tabs>
          <w:tab w:val="left" w:pos="0"/>
        </w:tabs>
        <w:spacing w:before="0" w:after="0" w:line="240" w:lineRule="auto"/>
        <w:ind w:left="284" w:right="55" w:hanging="284"/>
        <w:jc w:val="both"/>
        <w:rPr>
          <w:rFonts w:ascii="Arial Narrow" w:hAnsi="Arial Narrow"/>
          <w:b/>
          <w:bCs/>
          <w:color w:val="000000"/>
          <w:sz w:val="20"/>
          <w:szCs w:val="20"/>
        </w:rPr>
      </w:pPr>
      <w:r>
        <w:rPr>
          <w:rFonts w:ascii="Arial Narrow" w:hAnsi="Arial Narrow"/>
          <w:b/>
          <w:bCs/>
          <w:color w:val="000000"/>
          <w:sz w:val="20"/>
          <w:szCs w:val="20"/>
        </w:rPr>
        <w:t xml:space="preserve">Autobusų sustojimo peronai</w:t>
      </w:r>
    </w:p>
    <w:p w14:paraId="40E18121">
      <w:pPr>
        <w:pStyle w:val="Bodytext1"/>
        <w:numPr>
          <w:ilvl w:val="2"/>
          <w:numId w:val="19"/>
        </w:numPr>
        <w:shd w:val="clear" w:color="auto" w:fill="auto"/>
        <w:tabs>
          <w:tab w:val="left" w:pos="426"/>
        </w:tabs>
        <w:spacing w:before="0" w:after="0" w:line="240" w:lineRule="auto"/>
        <w:ind w:left="0" w:right="55" w:firstLine="0"/>
        <w:jc w:val="both"/>
        <w:rPr>
          <w:rFonts w:ascii="Arial Narrow" w:hAnsi="Arial Narrow"/>
          <w:b/>
          <w:bCs/>
          <w:sz w:val="20"/>
          <w:szCs w:val="20"/>
        </w:rPr>
      </w:pPr>
      <w:r>
        <w:rPr>
          <w:rFonts w:ascii="Arial Narrow" w:hAnsi="Arial Narrow"/>
          <w:sz w:val="20"/>
          <w:szCs w:val="20"/>
        </w:rPr>
        <w:t xml:space="preserve">E</w:t>
      </w:r>
      <w:r>
        <w:rPr>
          <w:rFonts w:ascii="Arial Narrow" w:hAnsi="Arial Narrow"/>
          <w:sz w:val="20"/>
          <w:szCs w:val="20"/>
        </w:rPr>
        <w:t xml:space="preserve">sam</w:t>
      </w:r>
      <w:r>
        <w:rPr>
          <w:rFonts w:ascii="Arial Narrow" w:hAnsi="Arial Narrow"/>
          <w:sz w:val="20"/>
          <w:szCs w:val="20"/>
        </w:rPr>
        <w:t xml:space="preserve">i</w:t>
      </w:r>
      <w:r>
        <w:rPr>
          <w:rFonts w:ascii="Arial Narrow" w:hAnsi="Arial Narrow"/>
          <w:sz w:val="20"/>
          <w:szCs w:val="20"/>
        </w:rPr>
        <w:t xml:space="preserve"> autobusų sustojimų  peronai demontuojami ir naujai įrengiami</w:t>
      </w:r>
      <w:r>
        <w:rPr>
          <w:rFonts w:ascii="Arial Narrow" w:hAnsi="Arial Narrow"/>
          <w:color w:val="000000"/>
          <w:sz w:val="20"/>
          <w:szCs w:val="20"/>
        </w:rPr>
        <w:t xml:space="preserve">, vadovaujantis ĮT TRINKELĖS 14, peronų danga pritaikoma žmonių su negalia reikmėms pagal STR 2.03.01:2019. Tiekėjas turi nusimatyti naujų kelio elementų (šiukšliadėžė, suoliukas, ženklas) įrengimą</w:t>
      </w:r>
      <w:r>
        <w:rPr>
          <w:rFonts w:ascii="Arial Narrow" w:hAnsi="Arial Narrow"/>
          <w:color w:val="000000"/>
          <w:sz w:val="20"/>
          <w:szCs w:val="20"/>
        </w:rPr>
        <w:t xml:space="preserve">.</w:t>
      </w:r>
    </w:p>
    <w:p w14:paraId="10033757">
      <w:pPr>
        <w:pStyle w:val="Bodytext1"/>
        <w:numPr>
          <w:ilvl w:val="2"/>
          <w:numId w:val="19"/>
        </w:numPr>
        <w:shd w:val="clear" w:color="auto" w:fill="auto"/>
        <w:tabs>
          <w:tab w:val="left" w:pos="426"/>
          <w:tab w:val="left" w:pos="720"/>
        </w:tabs>
        <w:spacing w:before="0" w:after="0" w:line="240" w:lineRule="auto"/>
        <w:ind w:left="0" w:right="55" w:firstLine="0"/>
        <w:jc w:val="both"/>
        <w:rPr>
          <w:rFonts w:ascii="Arial Narrow" w:hAnsi="Arial Narrow"/>
          <w:sz w:val="20"/>
          <w:szCs w:val="20"/>
        </w:rPr>
      </w:pPr>
      <w:r>
        <w:rPr>
          <w:rFonts w:ascii="Arial Narrow" w:hAnsi="Arial Narrow"/>
          <w:sz w:val="20"/>
        </w:rPr>
        <w:t xml:space="preserve">Reikalavimai suoliukams: vientisas, ne trumpesnis kaip 2000 mm ilgio. Sėdimoji dalis iš impregnuotos klijuotos arba vientisos dažytos medienos (kietmedžio). Suoliukas turi išlaikyti ne mažesnį kaip 100 kg svorį į 400 mm ilgį (pvz. 2000 mm ilgio suoliukas turi išlaikyti ne mažesnį kaip 500 kg svorį)</w:t>
      </w:r>
      <w:r>
        <w:rPr>
          <w:rFonts w:ascii="Arial Narrow" w:hAnsi="Arial Narrow"/>
          <w:sz w:val="20"/>
        </w:rPr>
        <w:t xml:space="preserve">.</w:t>
      </w:r>
    </w:p>
    <w:p w14:paraId="6BC10F5A">
      <w:pPr>
        <w:pStyle w:val="Bodytext1"/>
        <w:numPr>
          <w:ilvl w:val="2"/>
          <w:numId w:val="19"/>
        </w:numPr>
        <w:shd w:val="clear" w:color="auto" w:fill="auto"/>
        <w:tabs>
          <w:tab w:val="left" w:pos="426"/>
          <w:tab w:val="left" w:pos="567"/>
        </w:tabs>
        <w:spacing w:before="0" w:after="0" w:line="240" w:lineRule="auto"/>
        <w:ind w:left="0" w:right="55" w:firstLine="0"/>
        <w:jc w:val="both"/>
        <w:rPr>
          <w:rFonts w:ascii="Arial Narrow" w:hAnsi="Arial Narrow"/>
          <w:sz w:val="20"/>
        </w:rPr>
      </w:pPr>
      <w:r>
        <w:rPr>
          <w:rFonts w:ascii="Arial Narrow" w:hAnsi="Arial Narrow"/>
          <w:sz w:val="20"/>
        </w:rPr>
        <w:t xml:space="preserve">Reikalavimai šiukšlių dėžėms: medžiagos – betonas su cinkuotos skardos išimamu įdėklu ir pelenine; tūris ne mažesnis kaip 40 l ir ne didesnis kaip 70 l; svoris ne mažesnis kaip 100 kg; su stogeliu, dangčiu ar kita apsauga, kad vėjas ar paukščiai neišnešiotų šiukšlių.</w:t>
      </w:r>
    </w:p>
    <w:p w14:paraId="36AC22A7">
      <w:pPr>
        <w:pStyle w:val="Bodytext1"/>
        <w:shd w:val="clear" w:color="auto" w:fill="auto"/>
        <w:tabs>
          <w:tab w:val="left" w:pos="0"/>
        </w:tabs>
        <w:spacing w:before="0" w:after="0" w:line="240" w:lineRule="auto"/>
        <w:ind w:right="55" w:firstLine="0"/>
        <w:jc w:val="both"/>
        <w:rPr>
          <w:rFonts w:ascii="Arial Narrow" w:hAnsi="Arial Narrow"/>
          <w:b/>
          <w:bCs/>
          <w:sz w:val="20"/>
          <w:szCs w:val="20"/>
        </w:rPr>
      </w:pPr>
    </w:p>
    <w:p w14:paraId="71646E8E">
      <w:pPr>
        <w:pStyle w:val="Bodytext1"/>
        <w:numPr>
          <w:ilvl w:val="1"/>
          <w:numId w:val="19"/>
        </w:numPr>
        <w:shd w:val="clear" w:color="auto" w:fill="auto"/>
        <w:tabs>
          <w:tab w:val="left" w:pos="0"/>
        </w:tabs>
        <w:spacing w:before="0" w:after="0" w:line="240" w:lineRule="auto"/>
        <w:ind w:left="284" w:right="55" w:hanging="284"/>
        <w:jc w:val="both"/>
        <w:rPr>
          <w:rFonts w:ascii="Arial Narrow" w:hAnsi="Arial Narrow"/>
          <w:b/>
          <w:bCs/>
          <w:sz w:val="20"/>
          <w:szCs w:val="20"/>
        </w:rPr>
      </w:pPr>
      <w:r>
        <w:rPr>
          <w:rFonts w:ascii="Arial Narrow" w:hAnsi="Arial Narrow"/>
          <w:b/>
          <w:bCs/>
          <w:sz w:val="20"/>
          <w:szCs w:val="20"/>
        </w:rPr>
        <w:t xml:space="preserve">Eismo reguliavimo priemonės</w:t>
      </w:r>
    </w:p>
    <w:p w14:paraId="264DA79A">
      <w:pPr>
        <w:pStyle w:val="Bodytext1"/>
        <w:numPr>
          <w:ilvl w:val="2"/>
          <w:numId w:val="19"/>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Įrengti naujus signalinius stulpelius, jei jų trūksta ar yra pažeisti, vadovaujantis TRAT SST 14 reikalavimais. Perstatyti esamus geros būklės signalinius stulpelius, jeigu jie trukdo vykdomų remonto darbų technologiniams procesams arba esama pastatymo vieta neatitinka TRAT SST 14 reikalavimų. Esant netaisyklingam važiuojamosios dalies ir kelkraščio planui ir išilginiam profiliui nauji signaliniai stulpeliai turi būti įrengiami taip, jog sklandžiai išsidėstytų kelio plane ir išilginiame profilyje</w:t>
      </w:r>
      <w:r>
        <w:rPr>
          <w:rFonts w:ascii="Arial Narrow" w:hAnsi="Arial Narrow"/>
          <w:sz w:val="20"/>
          <w:szCs w:val="20"/>
        </w:rPr>
        <w:t xml:space="preserve">.</w:t>
      </w:r>
    </w:p>
    <w:p w14:paraId="4C8774A0">
      <w:pPr>
        <w:pStyle w:val="Bodytext1"/>
        <w:numPr>
          <w:ilvl w:val="2"/>
          <w:numId w:val="19"/>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Perstatyti esamus kelio ženklus, jeigu jie trukdo vykdomų remonto darbų technologiniams procesams</w:t>
      </w:r>
      <w:r>
        <w:rPr>
          <w:rFonts w:ascii="Arial Narrow" w:hAnsi="Arial Narrow"/>
          <w:sz w:val="20"/>
          <w:szCs w:val="20"/>
        </w:rPr>
        <w:t xml:space="preserve"> arba esama pastatymo vieta neatitinka reikalavimų</w:t>
      </w:r>
      <w:r>
        <w:rPr>
          <w:rFonts w:ascii="Arial Narrow" w:hAnsi="Arial Narrow"/>
          <w:sz w:val="20"/>
          <w:szCs w:val="20"/>
        </w:rPr>
        <w:t xml:space="preserve">.</w:t>
      </w:r>
      <w:r>
        <w:rPr>
          <w:rFonts w:ascii="Arial Narrow" w:hAnsi="Arial Narrow"/>
          <w:sz w:val="20"/>
          <w:szCs w:val="20"/>
        </w:rPr>
        <w:t xml:space="preserve"> Numatyti trūkstamus kelio ženklus </w:t>
      </w:r>
      <w:r>
        <w:rPr>
          <w:rFonts w:ascii="Arial Narrow" w:hAnsi="Arial Narrow"/>
          <w:sz w:val="20"/>
          <w:szCs w:val="20"/>
        </w:rPr>
        <w:t xml:space="preserve">vadovaujantis Kelio ženklų įrengimo ir vertikaliojo ženklinimo taisyklėmis</w:t>
      </w:r>
      <w:r>
        <w:rPr>
          <w:rFonts w:ascii="Arial Narrow" w:hAnsi="Arial Narrow"/>
          <w:sz w:val="20"/>
          <w:szCs w:val="20"/>
        </w:rPr>
        <w:t xml:space="preserve">.</w:t>
      </w:r>
    </w:p>
    <w:p w14:paraId="5E5B492E">
      <w:pPr>
        <w:pStyle w:val="Bodytext1"/>
        <w:numPr>
          <w:ilvl w:val="2"/>
          <w:numId w:val="19"/>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 </w:t>
      </w:r>
      <w:r>
        <w:rPr>
          <w:rFonts w:ascii="Arial Narrow" w:hAnsi="Arial Narrow"/>
          <w:sz w:val="20"/>
          <w:szCs w:val="20"/>
        </w:rPr>
        <w:t xml:space="preserve">Numatyti trapecinės formos greičio mažinimo kalnelių įrengimą šiose vietose: apie 6,289 km; 6,660 km; 7,060 km</w:t>
      </w:r>
      <w:r>
        <w:rPr>
          <w:rFonts w:ascii="Arial Narrow" w:hAnsi="Arial Narrow"/>
          <w:sz w:val="20"/>
          <w:szCs w:val="20"/>
        </w:rPr>
        <w:t xml:space="preserve"> vietoje (esant poreikiui, vietos gali būti tikslinamos).</w:t>
      </w:r>
    </w:p>
    <w:p w14:paraId="1433A808">
      <w:pPr>
        <w:pStyle w:val="Bodytext1"/>
        <w:numPr>
          <w:ilvl w:val="2"/>
          <w:numId w:val="19"/>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 </w:t>
      </w:r>
      <w:r>
        <w:rPr>
          <w:rFonts w:ascii="Arial Narrow" w:hAnsi="Arial Narrow"/>
          <w:sz w:val="20"/>
          <w:szCs w:val="20"/>
        </w:rPr>
        <w:t xml:space="preserve">N</w:t>
      </w:r>
      <w:r>
        <w:rPr>
          <w:rFonts w:ascii="Arial Narrow" w:hAnsi="Arial Narrow"/>
          <w:sz w:val="20"/>
          <w:szCs w:val="20"/>
        </w:rPr>
        <w:t xml:space="preserve">umatyti </w:t>
      </w:r>
      <w:r>
        <w:rPr>
          <w:rFonts w:ascii="Arial Narrow" w:hAnsi="Arial Narrow"/>
          <w:sz w:val="20"/>
          <w:szCs w:val="20"/>
        </w:rPr>
        <w:t xml:space="preserve">ne mažesnio nei 1,</w:t>
      </w:r>
      <w:r>
        <w:rPr>
          <w:rFonts w:ascii="Arial Narrow" w:hAnsi="Arial Narrow"/>
          <w:sz w:val="20"/>
          <w:szCs w:val="20"/>
        </w:rPr>
        <w:t xml:space="preserve">5</w:t>
      </w:r>
      <w:r>
        <w:rPr>
          <w:rFonts w:ascii="Arial Narrow" w:hAnsi="Arial Narrow"/>
          <w:sz w:val="20"/>
          <w:szCs w:val="20"/>
        </w:rPr>
        <w:t xml:space="preserve"> m pločio privedimo (tako/šaligatvio)</w:t>
      </w:r>
      <w:r>
        <w:rPr>
          <w:rFonts w:ascii="Arial Narrow" w:hAnsi="Arial Narrow"/>
          <w:sz w:val="20"/>
          <w:szCs w:val="20"/>
        </w:rPr>
        <w:t xml:space="preserve"> nuo</w:t>
      </w:r>
      <w:r>
        <w:rPr>
          <w:rFonts w:ascii="Arial Narrow" w:hAnsi="Arial Narrow"/>
          <w:sz w:val="20"/>
          <w:szCs w:val="20"/>
        </w:rPr>
        <w:t xml:space="preserve"> esamo autobusų sustojimo perono </w:t>
      </w:r>
      <w:r>
        <w:rPr>
          <w:rFonts w:ascii="Arial Narrow" w:hAnsi="Arial Narrow"/>
          <w:sz w:val="20"/>
          <w:szCs w:val="20"/>
        </w:rPr>
        <w:t xml:space="preserve">iki artimiausios nuovažos, taip pat nežymėtą pėsčiųjų perėją, sutapatintą su trapecinės formos greičio mažinimo kalneliu</w:t>
      </w:r>
      <w:r>
        <w:rPr>
          <w:rFonts w:ascii="Arial Narrow" w:hAnsi="Arial Narrow"/>
          <w:sz w:val="20"/>
          <w:szCs w:val="20"/>
        </w:rPr>
        <w:t xml:space="preserve">, </w:t>
      </w:r>
      <w:r>
        <w:rPr>
          <w:rFonts w:ascii="Arial Narrow" w:hAnsi="Arial Narrow"/>
          <w:sz w:val="20"/>
          <w:szCs w:val="20"/>
        </w:rPr>
        <w:t xml:space="preserve">vadovaujantis ĮT TRINKELĖS 14, dangą pritaikant žmonių su negalia reikmėms pagal STR 2.03.01:2019</w:t>
      </w:r>
      <w:r>
        <w:rPr>
          <w:rFonts w:ascii="Arial Narrow" w:hAnsi="Arial Narrow"/>
          <w:sz w:val="20"/>
          <w:szCs w:val="20"/>
        </w:rPr>
        <w:t xml:space="preserve">. </w:t>
      </w:r>
      <w:r>
        <w:rPr>
          <w:rFonts w:ascii="Arial Narrow" w:hAnsi="Arial Narrow"/>
          <w:sz w:val="20"/>
          <w:szCs w:val="20"/>
        </w:rPr>
        <w:t xml:space="preserve">Privedimo dangos konstrukciją parenkama pagal Automobilių kelių standartizuotų dangų konstrukcijų projektavimo taisyklių reikalavimus</w:t>
      </w:r>
      <w:r>
        <w:rPr>
          <w:rFonts w:ascii="Arial Narrow" w:hAnsi="Arial Narrow"/>
          <w:sz w:val="20"/>
          <w:szCs w:val="20"/>
        </w:rPr>
        <w:t xml:space="preserve">.</w:t>
      </w:r>
    </w:p>
    <w:p w14:paraId="12712067">
      <w:pPr>
        <w:pStyle w:val="Bodytext1"/>
        <w:numPr>
          <w:ilvl w:val="2"/>
          <w:numId w:val="19"/>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Numatyti pėsčiųjų perėjos, esančios </w:t>
      </w:r>
      <w:r>
        <w:rPr>
          <w:rFonts w:ascii="Arial Narrow" w:hAnsi="Arial Narrow"/>
          <w:sz w:val="20"/>
          <w:szCs w:val="20"/>
        </w:rPr>
        <w:t xml:space="preserve">7,16 </w:t>
      </w:r>
      <w:r>
        <w:rPr>
          <w:rFonts w:ascii="Arial Narrow" w:hAnsi="Arial Narrow"/>
          <w:sz w:val="20"/>
          <w:szCs w:val="20"/>
        </w:rPr>
        <w:t xml:space="preserve">km, prieigų sutvarkymą</w:t>
      </w:r>
      <w:r>
        <w:rPr>
          <w:rFonts w:ascii="Arial Narrow" w:hAnsi="Arial Narrow"/>
          <w:sz w:val="20"/>
          <w:szCs w:val="20"/>
        </w:rPr>
        <w:t xml:space="preserve">, įrengiant nužemintą kelio bortą ir dangą </w:t>
      </w:r>
      <w:r>
        <w:rPr>
          <w:rFonts w:ascii="Arial Narrow" w:hAnsi="Arial Narrow"/>
          <w:sz w:val="20"/>
          <w:szCs w:val="20"/>
        </w:rPr>
        <w:t xml:space="preserve">pritaikant žmonių su negalia reikmėms pagal STR 2.03.01:2019</w:t>
      </w:r>
      <w:r>
        <w:rPr>
          <w:rFonts w:ascii="Arial Narrow" w:hAnsi="Arial Narrow"/>
          <w:sz w:val="20"/>
          <w:szCs w:val="20"/>
        </w:rPr>
        <w:t xml:space="preserve">.</w:t>
      </w:r>
    </w:p>
    <w:p w14:paraId="03837FD0">
      <w:pPr>
        <w:pStyle w:val="Bodytext1"/>
        <w:numPr>
          <w:ilvl w:val="2"/>
          <w:numId w:val="19"/>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Įrengti kelio dangos horizontalųjį ženklinimą vadovaujantis Kelių horizontaliojo ženklinimo taisyklių, ĮT ŽM 12 ir KET reikalavimais.</w:t>
      </w:r>
      <w:r>
        <w:rPr>
          <w:rFonts w:ascii="Arial Narrow" w:hAnsi="Arial Narrow"/>
          <w:sz w:val="20"/>
          <w:szCs w:val="20"/>
        </w:rPr>
        <w:t xml:space="preserve"> 7,1</w:t>
      </w:r>
      <w:r>
        <w:rPr>
          <w:rFonts w:ascii="Arial Narrow" w:hAnsi="Arial Narrow"/>
          <w:sz w:val="20"/>
          <w:szCs w:val="20"/>
        </w:rPr>
        <w:t xml:space="preserve">8 km esančioje stovėjimo aikštelėje </w:t>
      </w:r>
      <w:r>
        <w:rPr>
          <w:rFonts w:ascii="Arial Narrow" w:hAnsi="Arial Narrow"/>
          <w:sz w:val="20"/>
          <w:szCs w:val="20"/>
        </w:rPr>
        <w:t xml:space="preserve">numatyti stovėjimo vietų horizontalųjį ženklinimą, taip pat pažymėti vietas, kuriose sustoti ir stovėti draudžiama</w:t>
      </w:r>
      <w:r>
        <w:rPr>
          <w:rFonts w:ascii="Arial Narrow" w:hAnsi="Arial Narrow"/>
          <w:sz w:val="20"/>
          <w:szCs w:val="20"/>
        </w:rPr>
        <w:t xml:space="preserve">.</w:t>
      </w:r>
      <w:r>
        <w:rPr>
          <w:rFonts w:ascii="Arial Narrow" w:hAnsi="Arial Narrow"/>
          <w:sz w:val="20"/>
          <w:szCs w:val="20"/>
        </w:rPr>
        <w:t xml:space="preserve"> Dangos ženklinimui turi būti naudojamos reaktyviosios arba termoplastinės medžiagos</w:t>
      </w:r>
      <w:r>
        <w:rPr>
          <w:rFonts w:ascii="Arial Narrow" w:hAnsi="Arial Narrow"/>
          <w:sz w:val="20"/>
          <w:szCs w:val="20"/>
        </w:rPr>
        <w:t xml:space="preserve">.</w:t>
      </w:r>
    </w:p>
    <w:p w14:paraId="0A7D25EB">
      <w:pPr>
        <w:pStyle w:val="Bodytext1"/>
        <w:numPr>
          <w:ilvl w:val="2"/>
          <w:numId w:val="19"/>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Perstatyti esamas saugaus eismo saleles jeigu </w:t>
      </w:r>
      <w:r>
        <w:rPr>
          <w:rFonts w:ascii="Arial Narrow" w:hAnsi="Arial Narrow"/>
          <w:sz w:val="20"/>
          <w:szCs w:val="20"/>
        </w:rPr>
        <w:t xml:space="preserve">jos</w:t>
      </w:r>
      <w:r>
        <w:rPr>
          <w:rFonts w:ascii="Arial Narrow" w:hAnsi="Arial Narrow"/>
          <w:sz w:val="20"/>
          <w:szCs w:val="20"/>
        </w:rPr>
        <w:t xml:space="preserve"> trukdo vykdomų remonto darbų technologiniams procesams</w:t>
      </w:r>
      <w:r>
        <w:rPr>
          <w:rFonts w:ascii="Arial Narrow" w:hAnsi="Arial Narrow"/>
          <w:sz w:val="20"/>
          <w:szCs w:val="20"/>
        </w:rPr>
        <w:t xml:space="preserve">.</w:t>
      </w:r>
    </w:p>
    <w:p w14:paraId="1811883E">
      <w:pPr>
        <w:pStyle w:val="Bodytext1"/>
        <w:numPr>
          <w:ilvl w:val="2"/>
          <w:numId w:val="19"/>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Projektavimo metu parengtą eismo organizavimo schemą derinti </w:t>
      </w:r>
      <w:r>
        <w:rPr/>
        <w:fldChar w:fldCharType="begin"/>
      </w:r>
      <w:r>
        <w:rPr/>
        <w:instrText xml:space="preserve">HYPERLINK "mailto:eos@lakd.lt" </w:instrText>
      </w:r>
      <w:r>
        <w:rPr/>
        <w:fldChar w:fldCharType="separate"/>
      </w:r>
      <w:r>
        <w:rPr>
          <w:rStyle w:val="Hyperlink"/>
          <w:rFonts w:ascii="Arial Narrow" w:hAnsi="Arial Narrow"/>
          <w:sz w:val="20"/>
          <w:szCs w:val="20"/>
        </w:rPr>
        <w:t xml:space="preserve">eos@lakd.lt</w:t>
      </w:r>
      <w:r>
        <w:rPr/>
        <w:fldChar w:fldCharType="end"/>
      </w:r>
      <w:r>
        <w:rPr>
          <w:rFonts w:ascii="Arial Narrow" w:hAnsi="Arial Narrow"/>
          <w:sz w:val="20"/>
          <w:szCs w:val="20"/>
        </w:rPr>
        <w:t xml:space="preserve">.</w:t>
      </w:r>
    </w:p>
    <w:p w14:paraId="632F107E">
      <w:pPr>
        <w:pStyle w:val="Bodytext1"/>
        <w:numPr>
          <w:ilvl w:val="2"/>
          <w:numId w:val="19"/>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Perstatyti esamus plieninius apsauginius atitvarus, panaudojant esamas atitvarų sijas (pakeičiant tik sulankstytas sijas naujomis) ir nepažeistus statramsčius (jeigu traukimo metu nebuvo sulankstyti ar kitaip pažeisti, perkalant juos naujai) į 75 cm aukštį nuo asfalto dangos briaunos jeigu tai reikalinga Tiekėjo taikomiems technologiniams procesams ar jeigu dėl Tiekėjo įgyvendinamų vertikalaus planavimo sprendinių esamų plieninių apsauginių atitvarų aukštis nuo atitvaro sijos viršaus iki suremontuotos asfalto dangos briaunos liktų mažesnis kaip </w:t>
      </w:r>
      <w:r>
        <w:rPr>
          <w:rFonts w:ascii="Arial Narrow" w:hAnsi="Arial Narrow"/>
          <w:sz w:val="20"/>
          <w:szCs w:val="20"/>
        </w:rPr>
        <w:t xml:space="preserve">70</w:t>
      </w:r>
      <w:r>
        <w:rPr>
          <w:rFonts w:ascii="Arial Narrow" w:hAnsi="Arial Narrow"/>
          <w:sz w:val="20"/>
          <w:szCs w:val="20"/>
        </w:rPr>
        <w:t xml:space="preserve"> cm. Taip pat perkelti, kai dėl atliktų paprastojo remonto darbų atstumas nuo dangos krašto iki atitvaro nebetenkina normatyvinių reikalavimų.</w:t>
      </w:r>
    </w:p>
    <w:p w14:paraId="21FF057F">
      <w:pPr>
        <w:pStyle w:val="Bodytext1"/>
        <w:shd w:val="clear" w:color="auto" w:fill="auto"/>
        <w:tabs>
          <w:tab w:val="left" w:pos="0"/>
        </w:tabs>
        <w:spacing w:before="0" w:after="0" w:line="240" w:lineRule="auto"/>
        <w:ind w:right="55" w:firstLine="0"/>
        <w:jc w:val="both"/>
        <w:rPr>
          <w:rFonts w:ascii="Arial Narrow" w:hAnsi="Arial Narrow"/>
          <w:b/>
          <w:bCs/>
          <w:sz w:val="20"/>
          <w:szCs w:val="20"/>
        </w:rPr>
      </w:pPr>
    </w:p>
    <w:p w14:paraId="105EBCB2">
      <w:pPr>
        <w:pStyle w:val="Bodytext1"/>
        <w:numPr>
          <w:ilvl w:val="1"/>
          <w:numId w:val="19"/>
        </w:numPr>
        <w:shd w:val="clear" w:color="auto" w:fill="auto"/>
        <w:tabs>
          <w:tab w:val="left" w:pos="0"/>
        </w:tabs>
        <w:spacing w:before="0" w:after="0" w:line="240" w:lineRule="auto"/>
        <w:ind w:left="284" w:right="55" w:hanging="284"/>
        <w:jc w:val="both"/>
        <w:rPr>
          <w:rFonts w:ascii="Arial Narrow" w:hAnsi="Arial Narrow"/>
          <w:b/>
          <w:bCs/>
          <w:sz w:val="20"/>
          <w:szCs w:val="20"/>
        </w:rPr>
      </w:pPr>
      <w:r>
        <w:rPr>
          <w:rFonts w:ascii="Arial Narrow" w:hAnsi="Arial Narrow"/>
          <w:b/>
          <w:bCs/>
          <w:sz w:val="20"/>
          <w:szCs w:val="20"/>
        </w:rPr>
        <w:t xml:space="preserve">Vandens nuvedimo įrenginiai</w:t>
      </w:r>
    </w:p>
    <w:p w14:paraId="1D79B38F">
      <w:pPr>
        <w:pStyle w:val="Bodytext1"/>
        <w:numPr>
          <w:ilvl w:val="2"/>
          <w:numId w:val="19"/>
        </w:numPr>
        <w:shd w:val="clear" w:color="auto" w:fill="auto"/>
        <w:tabs>
          <w:tab w:val="left" w:pos="567"/>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Nusimatyti esamų pralaidų po keliu ir po sankryžomis/nuovažomis, užneštų sąnašomis, valymą ir šalia šių pralaidų esamų griovių, kurie neužtikrina tinkamo vandens nuvedimo, atstatymą (išvalymą) iki 25 m atstumu nuo pralaidos centro į abi puses arba kol bus užtikrintas sklandus vandens nuvedimas</w:t>
      </w:r>
      <w:r>
        <w:rPr>
          <w:rFonts w:ascii="Arial Narrow" w:hAnsi="Arial Narrow"/>
          <w:sz w:val="20"/>
          <w:szCs w:val="20"/>
        </w:rPr>
        <w:t xml:space="preserve">.</w:t>
      </w:r>
    </w:p>
    <w:p w14:paraId="60EA45F2">
      <w:pPr>
        <w:pStyle w:val="Bodytext1"/>
        <w:numPr>
          <w:ilvl w:val="2"/>
          <w:numId w:val="19"/>
        </w:numPr>
        <w:shd w:val="clear" w:color="auto" w:fill="auto"/>
        <w:tabs>
          <w:tab w:val="left" w:pos="567"/>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Nusimatyti </w:t>
      </w:r>
      <w:r>
        <w:rPr>
          <w:rFonts w:ascii="Arial Narrow" w:hAnsi="Arial Narrow"/>
          <w:sz w:val="20"/>
          <w:szCs w:val="20"/>
        </w:rPr>
        <w:t xml:space="preserve">esamų</w:t>
      </w:r>
      <w:r>
        <w:rPr>
          <w:rFonts w:ascii="Arial Narrow" w:hAnsi="Arial Narrow"/>
          <w:sz w:val="20"/>
          <w:szCs w:val="20"/>
        </w:rPr>
        <w:t xml:space="preserve"> blogos būklės</w:t>
      </w:r>
      <w:r>
        <w:rPr>
          <w:rFonts w:ascii="Arial Narrow" w:hAnsi="Arial Narrow"/>
          <w:sz w:val="20"/>
          <w:szCs w:val="20"/>
        </w:rPr>
        <w:t xml:space="preserve"> pralaidų po sankryžomis/nuovažomis</w:t>
      </w:r>
      <w:r>
        <w:rPr>
          <w:rFonts w:ascii="Arial Narrow" w:hAnsi="Arial Narrow"/>
          <w:sz w:val="20"/>
          <w:szCs w:val="20"/>
        </w:rPr>
        <w:t xml:space="preserve"> pakeitimą naujomis, nemažesnio diametro nei esamos. Pra</w:t>
      </w:r>
      <w:r>
        <w:rPr>
          <w:rFonts w:ascii="Arial Narrow" w:hAnsi="Arial Narrow"/>
          <w:sz w:val="20"/>
          <w:szCs w:val="20"/>
        </w:rPr>
        <w:t xml:space="preserve">laidų medžiaga – metalas, plastikas arba gelžbetonis</w:t>
      </w:r>
      <w:r>
        <w:rPr>
          <w:rFonts w:ascii="Arial Narrow" w:hAnsi="Arial Narrow"/>
          <w:sz w:val="20"/>
          <w:szCs w:val="20"/>
        </w:rPr>
        <w:t xml:space="preserve">. </w:t>
      </w:r>
    </w:p>
    <w:p w14:paraId="317399E9">
      <w:pPr>
        <w:pStyle w:val="Bodytext1"/>
        <w:shd w:val="clear" w:color="auto" w:fill="auto"/>
        <w:tabs>
          <w:tab w:val="left" w:pos="0"/>
        </w:tabs>
        <w:spacing w:before="0" w:after="0" w:line="240" w:lineRule="auto"/>
        <w:ind w:right="55" w:firstLine="0"/>
        <w:jc w:val="both"/>
        <w:rPr>
          <w:rFonts w:ascii="Arial Narrow" w:hAnsi="Arial Narrow"/>
          <w:b/>
          <w:bCs/>
          <w:sz w:val="20"/>
          <w:szCs w:val="20"/>
        </w:rPr>
      </w:pPr>
    </w:p>
    <w:p w14:paraId="7F78919B">
      <w:pPr>
        <w:pStyle w:val="Bodytext1"/>
        <w:numPr>
          <w:ilvl w:val="1"/>
          <w:numId w:val="19"/>
        </w:numPr>
        <w:shd w:val="clear" w:color="auto" w:fill="auto"/>
        <w:tabs>
          <w:tab w:val="left" w:pos="0"/>
        </w:tabs>
        <w:spacing w:before="0" w:after="0" w:line="240" w:lineRule="auto"/>
        <w:ind w:left="284" w:right="55" w:hanging="284"/>
        <w:jc w:val="both"/>
        <w:rPr>
          <w:rFonts w:ascii="Arial Narrow" w:hAnsi="Arial Narrow"/>
          <w:b/>
          <w:bCs/>
          <w:sz w:val="20"/>
          <w:szCs w:val="20"/>
        </w:rPr>
      </w:pPr>
      <w:r>
        <w:rPr>
          <w:rFonts w:ascii="Arial Narrow" w:hAnsi="Arial Narrow"/>
          <w:b/>
          <w:bCs/>
          <w:sz w:val="20"/>
          <w:szCs w:val="20"/>
        </w:rPr>
        <w:t xml:space="preserve">Krūmai kelio juostos ribose.</w:t>
      </w:r>
    </w:p>
    <w:p w14:paraId="4F76E4BD">
      <w:pPr>
        <w:pStyle w:val="Bodytext1"/>
        <w:shd w:val="clear" w:color="auto" w:fill="auto"/>
        <w:tabs>
          <w:tab w:val="left" w:pos="0"/>
        </w:tabs>
        <w:spacing w:before="0" w:after="0" w:line="240" w:lineRule="auto"/>
        <w:ind w:right="55" w:firstLine="0"/>
        <w:jc w:val="both"/>
        <w:rPr>
          <w:rFonts w:ascii="Arial Narrow" w:hAnsi="Arial Narrow"/>
          <w:sz w:val="20"/>
          <w:szCs w:val="20"/>
        </w:rPr>
      </w:pPr>
      <w:r>
        <w:rPr>
          <w:rFonts w:ascii="Arial Narrow" w:hAnsi="Arial Narrow"/>
          <w:sz w:val="20"/>
          <w:szCs w:val="20"/>
        </w:rPr>
        <w:t xml:space="preserve">Numatyti savaime užaugusių krūmų pašalinimą kelio juostos (sklypo) ribose.</w:t>
      </w:r>
    </w:p>
    <w:p w14:paraId="5FACB3BF">
      <w:pPr>
        <w:pStyle w:val="Bodytext1"/>
        <w:shd w:val="clear" w:color="auto" w:fill="auto"/>
        <w:tabs>
          <w:tab w:val="left" w:pos="0"/>
        </w:tabs>
        <w:spacing w:before="0" w:after="0" w:line="240" w:lineRule="auto"/>
        <w:ind w:right="55" w:firstLine="0"/>
        <w:jc w:val="both"/>
        <w:rPr>
          <w:rFonts w:ascii="Arial Narrow" w:hAnsi="Arial Narrow"/>
          <w:b/>
          <w:bCs/>
          <w:sz w:val="20"/>
          <w:szCs w:val="20"/>
        </w:rPr>
      </w:pPr>
    </w:p>
    <w:p w14:paraId="24E17AA1">
      <w:pPr>
        <w:spacing/>
        <w:jc w:val="left"/>
        <w:rPr>
          <w:rFonts w:ascii="Arial Narrow" w:hAnsi="Arial Narrow"/>
          <w:b/>
          <w:caps/>
        </w:rPr>
      </w:pPr>
    </w:p>
    <w:p w14:paraId="6C1A8F50">
      <w:pPr>
        <w:spacing/>
        <w:jc w:val="left"/>
        <w:rPr>
          <w:rFonts w:ascii="Arial Narrow" w:hAnsi="Arial Narrow"/>
          <w:b/>
          <w:caps/>
        </w:rPr>
      </w:pPr>
    </w:p>
    <w:p w14:paraId="520D01BA">
      <w:pPr>
        <w:spacing/>
        <w:jc w:val="left"/>
        <w:rPr>
          <w:rFonts w:ascii="Arial Narrow" w:hAnsi="Arial Narrow"/>
          <w:b/>
          <w:caps/>
        </w:rPr>
      </w:pPr>
    </w:p>
    <w:p w14:paraId="1A241BBC">
      <w:pPr>
        <w:spacing/>
        <w:jc w:val="left"/>
        <w:rPr>
          <w:rFonts w:ascii="Arial Narrow" w:hAnsi="Arial Narrow"/>
          <w:b/>
          <w:caps/>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8"/>
      </w:tblGrid>
      <w:tr>
        <w:trPr>
          <w:trHeight w:val="416" w:hRule="atLeast"/>
        </w:trPr>
        <w:tc>
          <w:tcPr>
            <w:tcW w:type="dxa" w:w="9628"/>
            <w:tcBorders/>
            <w:shd w:fill="005063" w:color="auto" w:val="clear"/>
            <w:vAlign w:val="center"/>
          </w:tcPr>
          <w:p>
            <w:pPr>
              <w:spacing/>
              <w:jc w:val="left"/>
              <w:rPr>
                <w:rFonts w:ascii="Arial Narrow" w:hAnsi="Arial Narrow"/>
                <w:b/>
                <w:caps/>
                <w:color w:val="FFFFFF"/>
                <w:sz w:val="20"/>
                <w:szCs w:val="16"/>
              </w:rPr>
            </w:pPr>
            <w:bookmarkStart w:id="3" w:name="_Hlk80275011"/>
            <w:r>
              <w:rPr>
                <w:rFonts w:ascii="Arial Narrow" w:hAnsi="Arial Narrow"/>
                <w:b/>
                <w:caps/>
                <w:color w:val="FFFFFF"/>
                <w:sz w:val="20"/>
                <w:szCs w:val="16"/>
              </w:rPr>
              <w:t xml:space="preserve">5</w:t>
            </w:r>
            <w:r>
              <w:rPr>
                <w:rFonts w:ascii="Arial Narrow" w:hAnsi="Arial Narrow"/>
                <w:b/>
                <w:caps/>
                <w:color w:val="FFFFFF"/>
                <w:sz w:val="20"/>
                <w:szCs w:val="16"/>
              </w:rPr>
              <w:t xml:space="preserve">. </w:t>
            </w:r>
            <w:r>
              <w:rPr>
                <w:rFonts w:ascii="Arial Narrow" w:hAnsi="Arial Narrow"/>
                <w:b/>
                <w:caps/>
                <w:color w:val="FFFFFF"/>
                <w:sz w:val="20"/>
                <w:szCs w:val="16"/>
              </w:rPr>
              <w:t xml:space="preserve">garantinis terminas</w:t>
            </w:r>
          </w:p>
        </w:tc>
      </w:tr>
      <w:bookmarkEnd w:id="3"/>
    </w:tbl>
    <w:p w14:paraId="76EB6F2E">
      <w:pPr>
        <w:spacing/>
        <w:jc w:val="left"/>
        <w:rPr>
          <w:rFonts w:ascii="Arial Narrow" w:hAnsi="Arial Narrow"/>
          <w:b/>
          <w:caps/>
        </w:rPr>
      </w:pPr>
    </w:p>
    <w:p w14:paraId="303C3135">
      <w:pPr>
        <w:pStyle w:val="Bodytext1"/>
        <w:tabs>
          <w:tab w:val="left" w:pos="0"/>
        </w:tabs>
        <w:spacing w:before="0" w:after="0" w:line="240" w:lineRule="auto"/>
        <w:ind w:right="57" w:firstLine="0"/>
        <w:jc w:val="both"/>
        <w:rPr>
          <w:rFonts w:ascii="Arial Narrow" w:hAnsi="Arial Narrow"/>
          <w:sz w:val="20"/>
          <w:szCs w:val="20"/>
        </w:rPr>
      </w:pPr>
      <w:r>
        <w:rPr>
          <w:rFonts w:ascii="Arial Narrow" w:hAnsi="Arial Narrow"/>
          <w:sz w:val="20"/>
          <w:szCs w:val="20"/>
        </w:rPr>
        <w:t xml:space="preserve">Visiems atliktiems statybos darbams, įskaitant jiems panaudotas medžiagas, priemones bei visas jų sudedamąsias dalis, Rangovas </w:t>
      </w:r>
      <w:r>
        <w:rPr>
          <w:rFonts w:ascii="Arial Narrow" w:hAnsi="Arial Narrow"/>
          <w:sz w:val="20"/>
          <w:szCs w:val="20"/>
        </w:rPr>
        <w:t xml:space="preserve">suteikia </w:t>
      </w:r>
      <w:r>
        <w:rPr>
          <w:rFonts w:ascii="Arial Narrow" w:hAnsi="Arial Narrow"/>
          <w:sz w:val="20"/>
          <w:szCs w:val="20"/>
        </w:rPr>
        <w:t xml:space="preserve">Sutartyje nurodytą garantinį terminą.</w:t>
      </w:r>
    </w:p>
    <w:p w14:paraId="1A9D3DA4">
      <w:pPr>
        <w:pStyle w:val="Bodytext1"/>
        <w:shd w:val="clear" w:color="auto" w:fill="auto"/>
        <w:tabs>
          <w:tab w:val="left" w:pos="0"/>
        </w:tabs>
        <w:spacing w:before="0" w:after="0" w:line="240" w:lineRule="auto"/>
        <w:ind w:right="57" w:firstLine="0"/>
        <w:jc w:val="both"/>
        <w:rPr>
          <w:rFonts w:ascii="Arial Narrow" w:hAnsi="Arial Narrow"/>
          <w:sz w:val="20"/>
          <w:szCs w:val="20"/>
        </w:rPr>
      </w:pPr>
      <w:r>
        <w:rPr>
          <w:rFonts w:ascii="Arial Narrow" w:hAnsi="Arial Narrow"/>
          <w:sz w:val="20"/>
          <w:szCs w:val="20"/>
        </w:rPr>
        <w:t xml:space="preserve">Rangovas nebus atsakingas už garantinio laikotarpio metu atsiradusius defektus, kurių priežastis nėra susijusi su Techninėje specifikacijoje numatytais ir Rangovo kokybiškai atliktais darbais</w:t>
      </w:r>
      <w:r>
        <w:rPr>
          <w:rFonts w:ascii="Arial Narrow" w:hAnsi="Arial Narrow"/>
          <w:sz w:val="20"/>
          <w:szCs w:val="20"/>
        </w:rPr>
        <w:t xml:space="preserve">.</w:t>
      </w:r>
    </w:p>
    <w:p w14:paraId="46D69650">
      <w:pPr>
        <w:pStyle w:val="Bodytext1"/>
        <w:shd w:val="clear" w:color="auto" w:fill="auto"/>
        <w:tabs>
          <w:tab w:val="left" w:pos="0"/>
        </w:tabs>
        <w:spacing w:before="0" w:after="0" w:line="240" w:lineRule="auto"/>
        <w:ind w:right="55" w:firstLine="0"/>
        <w:jc w:val="both"/>
        <w:rPr>
          <w:rFonts w:ascii="Arial Narrow" w:hAnsi="Arial Narrow"/>
          <w:sz w:val="20"/>
          <w:szCs w:val="20"/>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8"/>
      </w:tblGrid>
      <w:tr>
        <w:trPr>
          <w:trHeight w:val="416" w:hRule="atLeast"/>
        </w:trPr>
        <w:tc>
          <w:tcPr>
            <w:tcW w:type="dxa" w:w="9628"/>
            <w:tcBorders/>
            <w:shd w:fill="005063" w:color="auto" w:val="clear"/>
            <w:vAlign w:val="center"/>
          </w:tcPr>
          <w:p>
            <w:pPr>
              <w:spacing/>
              <w:jc w:val="left"/>
              <w:rPr>
                <w:rFonts w:ascii="Arial Narrow" w:hAnsi="Arial Narrow"/>
                <w:b/>
                <w:caps/>
                <w:color w:val="FFFFFF"/>
                <w:sz w:val="20"/>
                <w:szCs w:val="16"/>
              </w:rPr>
            </w:pPr>
            <w:r>
              <w:rPr>
                <w:rFonts w:ascii="Arial Narrow" w:hAnsi="Arial Narrow"/>
                <w:b/>
                <w:caps/>
                <w:color w:val="FFFFFF"/>
                <w:sz w:val="20"/>
                <w:szCs w:val="16"/>
              </w:rPr>
              <w:t xml:space="preserve">6</w:t>
            </w:r>
            <w:r>
              <w:rPr>
                <w:rFonts w:ascii="Arial Narrow" w:hAnsi="Arial Narrow"/>
                <w:b/>
                <w:caps/>
                <w:color w:val="FFFFFF"/>
                <w:sz w:val="20"/>
                <w:szCs w:val="16"/>
              </w:rPr>
              <w:t xml:space="preserve">. </w:t>
            </w:r>
            <w:r>
              <w:rPr>
                <w:rFonts w:ascii="Arial Narrow" w:hAnsi="Arial Narrow"/>
                <w:b/>
                <w:caps/>
                <w:color w:val="FFFFFF"/>
                <w:sz w:val="20"/>
                <w:szCs w:val="16"/>
              </w:rPr>
              <w:t xml:space="preserve">DARBŲ ORGANIZAVIMAS</w:t>
            </w:r>
          </w:p>
        </w:tc>
      </w:tr>
    </w:tbl>
    <w:p w14:paraId="7A644056">
      <w:pPr>
        <w:spacing/>
        <w:jc w:val="left"/>
        <w:rPr>
          <w:rFonts w:ascii="Arial Narrow" w:hAnsi="Arial Narrow"/>
          <w:b/>
          <w:caps/>
        </w:rPr>
      </w:pPr>
    </w:p>
    <w:p w14:paraId="22B711ED">
      <w:pPr>
        <w:numPr>
          <w:ilvl w:val="1"/>
          <w:numId w:val="36"/>
        </w:numPr>
        <w:tabs>
          <w:tab w:val="left" w:pos="426"/>
        </w:tabs>
        <w:spacing/>
        <w:ind w:left="0" w:firstLine="0"/>
        <w:rPr>
          <w:rFonts w:ascii="Arial Narrow" w:hAnsi="Arial Narrow" w:eastAsiaTheme="minorHAnsi" w:cstheme="minorBidi"/>
          <w:i/>
          <w:noProof/>
          <w:sz w:val="20"/>
          <w:szCs w:val="24"/>
        </w:rPr>
      </w:pPr>
      <w:r>
        <w:rPr>
          <w:rFonts w:ascii="Arial Narrow" w:hAnsi="Arial Narrow" w:eastAsiaTheme="minorHAnsi" w:cstheme="minorBidi"/>
          <w:noProof/>
          <w:sz w:val="20"/>
          <w:szCs w:val="24"/>
        </w:rPr>
        <w:t xml:space="preserve">Kelio ruožų paprastojo remonto darbai turi būti organizuojami taip, kad nebūtų nutraukiamas transporto eismas. Pasirinkta remonto darbų vykdymo metodika turi užtikrinti kuo mažesnes kliūtis pagalbos tarnybų automobilių privažiavimui ar pravažiavimui ir viešojo transporto eismui. Turi būti užtikrintas patekimas į teritorijas, kurios ribojasi su remontuojamu keliu. Kelio ruože, kuriame vykdomi statybos darbai, transporto eismas gali būti nutrauktas tik suderinus apylankas.</w:t>
      </w:r>
    </w:p>
    <w:p w14:paraId="64376519">
      <w:pPr>
        <w:numPr>
          <w:ilvl w:val="1"/>
          <w:numId w:val="36"/>
        </w:numPr>
        <w:tabs>
          <w:tab w:val="left" w:pos="426"/>
        </w:tabs>
        <w:spacing/>
        <w:ind w:left="0" w:firstLine="0"/>
        <w:rPr>
          <w:rFonts w:ascii="Arial Narrow" w:hAnsi="Arial Narrow" w:eastAsiaTheme="minorHAnsi" w:cstheme="minorBidi"/>
          <w:i/>
          <w:noProof/>
          <w:sz w:val="20"/>
          <w:szCs w:val="24"/>
        </w:rPr>
      </w:pPr>
      <w:r>
        <w:rPr>
          <w:rFonts w:ascii="Arial Narrow" w:hAnsi="Arial Narrow" w:eastAsiaTheme="minorHAnsi" w:cstheme="minorBidi"/>
          <w:noProof/>
          <w:sz w:val="20"/>
          <w:szCs w:val="24"/>
        </w:rPr>
        <w:t xml:space="preserve">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(visais atvejais apylankoms taikomas ne žemesnis nei 4 priežiūros lygis),  taip pat šalinti apylankos eksploatacijos metu atsiradusias naujas pažaidas  ir defektus kelio dangoje bei kituose kelio elementuose.</w:t>
      </w:r>
    </w:p>
    <w:p w14:paraId="6578766F">
      <w:pPr>
        <w:numPr>
          <w:ilvl w:val="1"/>
          <w:numId w:val="36"/>
        </w:numPr>
        <w:tabs>
          <w:tab w:val="left" w:pos="426"/>
        </w:tabs>
        <w:spacing/>
        <w:ind w:left="0" w:firstLine="0"/>
        <w:rPr>
          <w:rFonts w:ascii="Arial Narrow" w:hAnsi="Arial Narrow" w:eastAsiaTheme="minorHAnsi" w:cstheme="minorBidi"/>
          <w:i/>
          <w:noProof/>
          <w:sz w:val="20"/>
          <w:szCs w:val="24"/>
        </w:rPr>
      </w:pPr>
      <w:r>
        <w:rPr>
          <w:rFonts w:ascii="Arial Narrow" w:hAnsi="Arial Narrow" w:eastAsiaTheme="minorHAnsi" w:cstheme="minorBidi"/>
          <w:noProof/>
          <w:sz w:val="20"/>
          <w:szCs w:val="24"/>
        </w:rPr>
        <w:t xml:space="preserve">Eismo organizavimą darbų metu vykdyti vadovaujantis T DVAER 12 reikalavimais. Visi kaštai susiję su darbų organizavimu ir laikinu eismo ribojimu turi būti įvertinti Tiekėjo pasiūlyme.</w:t>
      </w:r>
    </w:p>
    <w:p w14:paraId="71E07826">
      <w:pPr>
        <w:tabs>
          <w:tab w:val="left" w:pos="426"/>
        </w:tabs>
        <w:spacing/>
        <w:rPr>
          <w:rFonts w:ascii="Arial Narrow" w:hAnsi="Arial Narrow" w:eastAsiaTheme="minorHAnsi" w:cstheme="minorBidi"/>
          <w:i/>
          <w:iCs/>
          <w:noProof/>
          <w:sz w:val="20"/>
          <w:szCs w:val="24"/>
        </w:rPr>
      </w:pPr>
      <w:r>
        <w:rPr>
          <w:rFonts w:ascii="Arial Narrow" w:hAnsi="Arial Narrow" w:eastAsiaTheme="minorHAnsi" w:cstheme="minorBidi"/>
          <w:i/>
          <w:iCs/>
          <w:noProof/>
          <w:sz w:val="20"/>
          <w:szCs w:val="24"/>
        </w:rPr>
        <w:t xml:space="preserve">Pastaba: 1. Darbo vietas reikia planuoti taip, kad jų buvimo trukmė ir išdėstymas kelio zonoje kuo mažiau trikdytų eismo procesą. Jei darbai laikinai neatliekami arba pagal aplinkybes kartkartėmis galima juos palengvinti, tuo laikotarpiu reikia nuimti ribojamąsias </w:t>
      </w:r>
      <w:r>
        <w:rPr>
          <w:rFonts w:ascii="Arial Narrow" w:hAnsi="Arial Narrow" w:eastAsiaTheme="minorHAnsi" w:cstheme="minorBidi"/>
          <w:i/>
          <w:iCs/>
          <w:noProof/>
          <w:sz w:val="20"/>
          <w:szCs w:val="24"/>
        </w:rPr>
        <w:t xml:space="preserve">priemones arba sumažinti jų kiekį. Kai darbai neatliekami, ypač turi būti siekiama pašalinti ribojamąsias arba draudžiamąsias priemones, kurių reikia tik darbų metu (pvz., veiksmingai saugančias darbų zoną).</w:t>
      </w:r>
    </w:p>
    <w:p w14:paraId="12E0CE3B">
      <w:pPr>
        <w:pStyle w:val="ListParagraph"/>
        <w:numPr>
          <w:ilvl w:val="1"/>
          <w:numId w:val="36"/>
        </w:numPr>
        <w:tabs>
          <w:tab w:val="left" w:pos="284"/>
        </w:tabs>
        <w:suppressAutoHyphens/>
        <w:spacing/>
        <w:ind w:hanging="1080"/>
        <w:jc w:val="both"/>
        <w:rPr>
          <w:noProof/>
          <w:color w:val="FF0000"/>
          <w:szCs w:val="24"/>
        </w:rPr>
      </w:pPr>
      <w:r>
        <w:rPr>
          <w:noProof/>
          <w:szCs w:val="24"/>
        </w:rPr>
        <w:t xml:space="preserve">Laikinas </w:t>
      </w:r>
      <w:r>
        <w:rPr>
          <w:noProof/>
          <w:szCs w:val="24"/>
        </w:rPr>
        <w:t xml:space="preserve">horizontalusis ženklinimas turi būti </w:t>
      </w:r>
      <w:r>
        <w:rPr>
          <w:noProof/>
          <w:szCs w:val="24"/>
        </w:rPr>
        <w:t xml:space="preserve">įrengiamas naudojant l</w:t>
      </w:r>
      <w:r>
        <w:rPr>
          <w:noProof/>
          <w:szCs w:val="24"/>
        </w:rPr>
        <w:t xml:space="preserve">aikin</w:t>
      </w:r>
      <w:r>
        <w:rPr>
          <w:noProof/>
          <w:szCs w:val="24"/>
        </w:rPr>
        <w:t xml:space="preserve">ą</w:t>
      </w:r>
      <w:r>
        <w:rPr>
          <w:noProof/>
          <w:szCs w:val="24"/>
        </w:rPr>
        <w:t xml:space="preserve"> nuimam</w:t>
      </w:r>
      <w:r>
        <w:rPr>
          <w:noProof/>
          <w:szCs w:val="24"/>
        </w:rPr>
        <w:t xml:space="preserve">ą</w:t>
      </w:r>
      <w:r>
        <w:rPr>
          <w:noProof/>
          <w:szCs w:val="24"/>
        </w:rPr>
        <w:t xml:space="preserve"> kelių ženklinimo plėvel</w:t>
      </w:r>
      <w:r>
        <w:rPr>
          <w:noProof/>
          <w:szCs w:val="24"/>
        </w:rPr>
        <w:t xml:space="preserve">ę (juostą).</w:t>
      </w:r>
    </w:p>
    <w:p w14:paraId="572CF086">
      <w:pPr>
        <w:numPr>
          <w:ilvl w:val="1"/>
          <w:numId w:val="36"/>
        </w:numPr>
        <w:tabs>
          <w:tab w:val="left" w:pos="426"/>
        </w:tabs>
        <w:spacing/>
        <w:ind w:left="0" w:firstLine="0"/>
        <w:rPr>
          <w:rFonts w:ascii="Arial Narrow" w:hAnsi="Arial Narrow" w:eastAsiaTheme="minorHAnsi" w:cstheme="minorBidi"/>
          <w:noProof/>
          <w:sz w:val="20"/>
          <w:szCs w:val="24"/>
        </w:rPr>
      </w:pPr>
      <w:r>
        <w:rPr>
          <w:rFonts w:ascii="Arial Narrow" w:hAnsi="Arial Narrow" w:eastAsiaTheme="minorHAnsi" w:cstheme="minorBidi"/>
          <w:noProof/>
          <w:sz w:val="20"/>
          <w:szCs w:val="24"/>
        </w:rPr>
        <w:t xml:space="preserve">Reikalavimai eismo reguliavimo įrangai darbų metu:</w:t>
      </w:r>
    </w:p>
    <w:p w14:paraId="72143BE3">
      <w:pPr>
        <w:numPr>
          <w:ilvl w:val="2"/>
          <w:numId w:val="36"/>
        </w:numPr>
        <w:tabs>
          <w:tab w:val="left" w:pos="567"/>
        </w:tabs>
        <w:spacing/>
        <w:ind w:left="0" w:firstLine="0"/>
        <w:rPr>
          <w:rFonts w:ascii="Arial Narrow" w:hAnsi="Arial Narrow" w:eastAsiaTheme="minorHAnsi" w:cstheme="minorBidi"/>
          <w:noProof/>
          <w:sz w:val="20"/>
          <w:szCs w:val="24"/>
        </w:rPr>
      </w:pPr>
      <w:r>
        <w:rPr>
          <w:rFonts w:ascii="Arial Narrow" w:hAnsi="Arial Narrow" w:eastAsiaTheme="minorHAnsi" w:cstheme="minorBidi"/>
          <w:noProof/>
          <w:sz w:val="20"/>
          <w:szCs w:val="24"/>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 </w:t>
      </w:r>
    </w:p>
    <w:p w14:paraId="0D4A734C">
      <w:pPr>
        <w:numPr>
          <w:ilvl w:val="2"/>
          <w:numId w:val="36"/>
        </w:numPr>
        <w:tabs>
          <w:tab w:val="left" w:pos="567"/>
        </w:tabs>
        <w:spacing/>
        <w:ind w:left="0" w:firstLine="0"/>
        <w:rPr>
          <w:rFonts w:ascii="Arial Narrow" w:hAnsi="Arial Narrow" w:eastAsiaTheme="minorHAnsi" w:cstheme="minorBidi"/>
          <w:noProof/>
          <w:sz w:val="20"/>
          <w:szCs w:val="24"/>
        </w:rPr>
      </w:pPr>
      <w:r>
        <w:rPr>
          <w:rFonts w:ascii="Arial Narrow" w:hAnsi="Arial Narrow" w:eastAsiaTheme="minorHAnsi" w:cstheme="minorBidi"/>
          <w:noProof/>
          <w:sz w:val="20"/>
          <w:szCs w:val="24"/>
        </w:rPr>
        <w:t xml:space="preserve">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7C35D996">
      <w:pPr>
        <w:numPr>
          <w:ilvl w:val="2"/>
          <w:numId w:val="36"/>
        </w:numPr>
        <w:tabs>
          <w:tab w:val="left" w:pos="567"/>
        </w:tabs>
        <w:spacing/>
        <w:ind w:left="0" w:firstLine="0"/>
        <w:rPr>
          <w:rFonts w:ascii="Arial Narrow" w:hAnsi="Arial Narrow" w:eastAsiaTheme="minorHAnsi" w:cstheme="minorBidi"/>
          <w:noProof/>
          <w:sz w:val="20"/>
          <w:szCs w:val="24"/>
        </w:rPr>
      </w:pPr>
      <w:r>
        <w:rPr>
          <w:rFonts w:ascii="Arial Narrow" w:hAnsi="Arial Narrow" w:eastAsiaTheme="minorHAnsi" w:cstheme="minorBidi"/>
          <w:noProof/>
          <w:sz w:val="20"/>
          <w:szCs w:val="24"/>
        </w:rPr>
        <w:t xml:space="preserve">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 </w:t>
      </w:r>
    </w:p>
    <w:p w14:paraId="1DDA25F2">
      <w:pPr>
        <w:numPr>
          <w:ilvl w:val="2"/>
          <w:numId w:val="36"/>
        </w:numPr>
        <w:tabs>
          <w:tab w:val="left" w:pos="567"/>
        </w:tabs>
        <w:spacing/>
        <w:ind w:left="0" w:firstLine="0"/>
        <w:rPr>
          <w:rFonts w:ascii="Arial Narrow" w:hAnsi="Arial Narrow" w:eastAsiaTheme="minorHAnsi" w:cstheme="minorBidi"/>
          <w:noProof/>
          <w:sz w:val="20"/>
          <w:szCs w:val="24"/>
        </w:rPr>
      </w:pPr>
      <w:r>
        <w:rPr>
          <w:rFonts w:ascii="Arial Narrow" w:hAnsi="Arial Narrow" w:eastAsiaTheme="minorHAnsi" w:cstheme="minorBidi"/>
          <w:noProof/>
          <w:sz w:val="20"/>
          <w:szCs w:val="24"/>
        </w:rPr>
        <w:t xml:space="preserve">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 </w:t>
      </w:r>
    </w:p>
    <w:p w14:paraId="6B450A3F">
      <w:pPr>
        <w:numPr>
          <w:ilvl w:val="2"/>
          <w:numId w:val="36"/>
        </w:numPr>
        <w:tabs>
          <w:tab w:val="left" w:pos="567"/>
        </w:tabs>
        <w:spacing/>
        <w:ind w:left="0" w:firstLine="0"/>
        <w:rPr>
          <w:rFonts w:ascii="Arial Narrow" w:hAnsi="Arial Narrow" w:eastAsiaTheme="minorHAnsi" w:cstheme="minorBidi"/>
          <w:noProof/>
          <w:sz w:val="20"/>
          <w:szCs w:val="24"/>
        </w:rPr>
      </w:pPr>
      <w:r>
        <w:rPr>
          <w:rFonts w:ascii="Arial Narrow" w:hAnsi="Arial Narrow" w:eastAsiaTheme="minorHAnsi" w:cstheme="minorBidi"/>
          <w:noProof/>
          <w:sz w:val="20"/>
          <w:szCs w:val="24"/>
        </w:rPr>
        <w:t xml:space="preserve">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5CDF0B31">
      <w:pPr>
        <w:spacing/>
        <w:ind w:left="2160"/>
        <w:jc w:val="left"/>
        <w:rPr>
          <w:rFonts w:ascii="Arial Narrow" w:hAnsi="Arial Narrow" w:eastAsiaTheme="minorHAnsi" w:cstheme="minorBidi"/>
          <w:noProof/>
          <w:sz w:val="20"/>
          <w:szCs w:val="24"/>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8"/>
      </w:tblGrid>
      <w:tr>
        <w:trPr>
          <w:trHeight w:val="416" w:hRule="atLeast"/>
        </w:trPr>
        <w:tc>
          <w:tcPr>
            <w:tcW w:type="dxa" w:w="9628"/>
            <w:tcBorders/>
            <w:shd w:fill="005063" w:color="auto" w:val="clear"/>
            <w:vAlign w:val="center"/>
          </w:tcPr>
          <w:p>
            <w:pPr>
              <w:spacing/>
              <w:jc w:val="left"/>
              <w:rPr>
                <w:rFonts w:ascii="Arial Narrow" w:hAnsi="Arial Narrow"/>
                <w:b/>
                <w:caps/>
                <w:color w:val="FFFFFF"/>
                <w:sz w:val="20"/>
                <w:szCs w:val="16"/>
              </w:rPr>
            </w:pPr>
            <w:r>
              <w:rPr>
                <w:rFonts w:ascii="Arial Narrow" w:hAnsi="Arial Narrow"/>
                <w:b/>
                <w:caps/>
                <w:color w:val="FFFFFF"/>
                <w:sz w:val="20"/>
                <w:szCs w:val="16"/>
              </w:rPr>
              <w:t xml:space="preserve">7</w:t>
            </w:r>
            <w:r>
              <w:rPr>
                <w:rFonts w:ascii="Arial Narrow" w:hAnsi="Arial Narrow"/>
                <w:b/>
                <w:caps/>
                <w:color w:val="FFFFFF"/>
                <w:sz w:val="20"/>
                <w:szCs w:val="16"/>
              </w:rPr>
              <w:t xml:space="preserve">. </w:t>
            </w:r>
            <w:r>
              <w:rPr>
                <w:rFonts w:ascii="Arial Narrow" w:hAnsi="Arial Narrow"/>
                <w:b/>
                <w:caps/>
                <w:color w:val="FFFFFF"/>
                <w:sz w:val="20"/>
                <w:szCs w:val="16"/>
              </w:rPr>
              <w:t xml:space="preserve">darbų kokybė</w:t>
            </w:r>
          </w:p>
        </w:tc>
      </w:tr>
    </w:tbl>
    <w:p w14:paraId="68B99105">
      <w:pPr>
        <w:spacing/>
        <w:jc w:val="left"/>
        <w:rPr>
          <w:rFonts w:ascii="Arial Narrow" w:hAnsi="Arial Narrow"/>
          <w:b/>
          <w:caps/>
        </w:rPr>
      </w:pPr>
    </w:p>
    <w:p w14:paraId="36BD1D4A">
      <w:pPr>
        <w:pStyle w:val="Bodytext1"/>
        <w:numPr>
          <w:ilvl w:val="1"/>
          <w:numId w:val="16"/>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Darbų priėmimo metu bus matuojami ir vertinami </w:t>
      </w:r>
      <w:r>
        <w:rPr>
          <w:rFonts w:ascii="Arial Narrow" w:hAnsi="Arial Narrow"/>
          <w:sz w:val="20"/>
          <w:szCs w:val="20"/>
        </w:rPr>
        <w:t xml:space="preserve">visi privalomi kokybiniai rodikliai</w:t>
      </w:r>
      <w:r>
        <w:rPr>
          <w:rFonts w:ascii="Arial Narrow" w:hAnsi="Arial Narrow"/>
          <w:sz w:val="20"/>
          <w:szCs w:val="20"/>
        </w:rPr>
        <w:t xml:space="preserve"> vadovaujantis ĮT ASFALTAS </w:t>
      </w:r>
      <w:r>
        <w:rPr>
          <w:rFonts w:ascii="Arial Narrow" w:hAnsi="Arial Narrow"/>
          <w:sz w:val="20"/>
          <w:szCs w:val="20"/>
        </w:rPr>
        <w:t xml:space="preserve">25</w:t>
      </w:r>
      <w:r>
        <w:rPr>
          <w:rFonts w:ascii="Arial Narrow" w:hAnsi="Arial Narrow"/>
          <w:sz w:val="20"/>
          <w:szCs w:val="20"/>
        </w:rPr>
        <w:t xml:space="preserve"> ir ĮT APM 25</w:t>
      </w:r>
      <w:r>
        <w:rPr>
          <w:rFonts w:ascii="Arial Narrow" w:hAnsi="Arial Narrow"/>
          <w:sz w:val="20"/>
          <w:szCs w:val="20"/>
        </w:rPr>
        <w:t xml:space="preserve">.</w:t>
      </w:r>
    </w:p>
    <w:p w14:paraId="6DAB7D51">
      <w:pPr>
        <w:pStyle w:val="Bodytext1"/>
        <w:numPr>
          <w:ilvl w:val="1"/>
          <w:numId w:val="16"/>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Darbų priėmimo metu dangos nelygumai matuojami pagal TN IRI 22 reikalavimus, neturi viršyti </w:t>
      </w:r>
      <w:r>
        <w:rPr>
          <w:rFonts w:ascii="Arial Narrow" w:hAnsi="Arial Narrow"/>
          <w:sz w:val="20"/>
          <w:szCs w:val="20"/>
        </w:rPr>
        <w:t xml:space="preserve">ĮT APM 25</w:t>
      </w:r>
      <w:r>
        <w:rPr>
          <w:rFonts w:ascii="Arial Narrow" w:hAnsi="Arial Narrow"/>
          <w:sz w:val="20"/>
          <w:szCs w:val="20"/>
        </w:rPr>
        <w:t xml:space="preserve"> nustatytų</w:t>
      </w:r>
      <w:r>
        <w:rPr>
          <w:rFonts w:ascii="Arial Narrow" w:hAnsi="Arial Narrow"/>
          <w:sz w:val="20"/>
          <w:szCs w:val="20"/>
        </w:rPr>
        <w:t xml:space="preserve"> </w:t>
      </w:r>
      <w:r>
        <w:rPr>
          <w:rFonts w:ascii="Arial Narrow" w:hAnsi="Arial Narrow"/>
          <w:sz w:val="20"/>
          <w:szCs w:val="20"/>
        </w:rPr>
        <w:t xml:space="preserve">išilginio lygumo </w:t>
      </w:r>
      <w:r>
        <w:rPr>
          <w:rFonts w:ascii="Arial Narrow" w:hAnsi="Arial Narrow"/>
          <w:sz w:val="20"/>
          <w:szCs w:val="20"/>
        </w:rPr>
        <w:t xml:space="preserve">IRI </w:t>
      </w:r>
      <w:r>
        <w:rPr>
          <w:rFonts w:ascii="Arial Narrow" w:hAnsi="Arial Narrow"/>
          <w:sz w:val="20"/>
          <w:szCs w:val="20"/>
        </w:rPr>
        <w:t xml:space="preserve">ribinių verčių</w:t>
      </w:r>
      <w:r>
        <w:rPr>
          <w:rFonts w:ascii="Arial Narrow" w:hAnsi="Arial Narrow"/>
          <w:sz w:val="20"/>
          <w:szCs w:val="20"/>
        </w:rPr>
        <w:t xml:space="preserve">.</w:t>
      </w:r>
    </w:p>
    <w:p w14:paraId="121078F7">
      <w:pPr>
        <w:pStyle w:val="Bodytext1"/>
        <w:numPr>
          <w:ilvl w:val="1"/>
          <w:numId w:val="16"/>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Asfalto išlyginamojo sluoksnio storis turi atitikti ĮT APM</w:t>
      </w:r>
      <w:r>
        <w:rPr>
          <w:rFonts w:ascii="Arial Narrow" w:hAnsi="Arial Narrow"/>
          <w:sz w:val="20"/>
          <w:szCs w:val="20"/>
        </w:rPr>
        <w:t xml:space="preserve"> 25</w:t>
      </w:r>
      <w:r>
        <w:rPr>
          <w:rFonts w:ascii="Arial Narrow" w:hAnsi="Arial Narrow"/>
          <w:sz w:val="20"/>
          <w:szCs w:val="20"/>
        </w:rPr>
        <w:t xml:space="preserve"> reikalavimus</w:t>
      </w:r>
      <w:r>
        <w:rPr>
          <w:rFonts w:ascii="Arial Narrow" w:hAnsi="Arial Narrow"/>
          <w:sz w:val="20"/>
          <w:szCs w:val="20"/>
        </w:rPr>
        <w:t xml:space="preserve">.</w:t>
      </w:r>
    </w:p>
    <w:p w14:paraId="144EEC6A">
      <w:pPr>
        <w:pStyle w:val="Bodytext1"/>
        <w:numPr>
          <w:ilvl w:val="1"/>
          <w:numId w:val="16"/>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Asfalto išlyginamojo sluoksnio sutankinimo rodiklis ne mažiau nei 96,0%</w:t>
      </w:r>
      <w:r>
        <w:rPr>
          <w:rFonts w:ascii="Arial Narrow" w:hAnsi="Arial Narrow"/>
          <w:sz w:val="20"/>
          <w:szCs w:val="20"/>
        </w:rPr>
        <w:t xml:space="preserve">.</w:t>
      </w:r>
    </w:p>
    <w:p w14:paraId="699D433F">
      <w:pPr>
        <w:pStyle w:val="Bodytext1"/>
        <w:numPr>
          <w:ilvl w:val="1"/>
          <w:numId w:val="16"/>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Darbų priėmimo metu kelio dangos paviršiaus atsparumo slydimui rodikli</w:t>
      </w:r>
      <w:r>
        <w:rPr>
          <w:rFonts w:ascii="Arial Narrow" w:hAnsi="Arial Narrow"/>
          <w:sz w:val="20"/>
          <w:szCs w:val="20"/>
        </w:rPr>
        <w:t xml:space="preserve">s turi atitikti ĮT APM 25 reikalavimus.</w:t>
      </w:r>
    </w:p>
    <w:p w14:paraId="5A36F939">
      <w:pPr>
        <w:pStyle w:val="Bodytext1"/>
        <w:numPr>
          <w:ilvl w:val="1"/>
          <w:numId w:val="16"/>
        </w:numPr>
        <w:tabs>
          <w:tab w:val="left" w:pos="284"/>
        </w:tabs>
        <w:spacing w:before="0" w:after="0" w:line="240" w:lineRule="auto"/>
        <w:ind w:left="0" w:right="57" w:firstLine="0"/>
        <w:jc w:val="both"/>
        <w:rPr>
          <w:rFonts w:ascii="Arial Narrow" w:hAnsi="Arial Narrow"/>
          <w:sz w:val="20"/>
          <w:szCs w:val="20"/>
        </w:rPr>
      </w:pPr>
      <w:r>
        <w:rPr>
          <w:rFonts w:ascii="Arial Narrow" w:hAnsi="Arial Narrow"/>
          <w:sz w:val="20"/>
          <w:szCs w:val="20"/>
        </w:rPr>
        <w:t xml:space="preserve">Naudojami produktai turi būti tinkamai paženklinti</w:t>
      </w:r>
      <w:r>
        <w:rPr>
          <w:rFonts w:ascii="Arial Narrow" w:hAnsi="Arial Narrow"/>
          <w:sz w:val="20"/>
          <w:szCs w:val="20"/>
        </w:rPr>
        <w:t xml:space="preserve">.</w:t>
      </w:r>
    </w:p>
    <w:p w14:paraId="580255B3">
      <w:pPr>
        <w:pStyle w:val="Bodytext1"/>
        <w:numPr>
          <w:ilvl w:val="1"/>
          <w:numId w:val="16"/>
        </w:numPr>
        <w:tabs>
          <w:tab w:val="left" w:pos="426"/>
        </w:tabs>
        <w:spacing w:before="0" w:after="0" w:line="240" w:lineRule="auto"/>
        <w:ind w:left="0" w:right="57" w:firstLine="0"/>
        <w:jc w:val="both"/>
        <w:rPr>
          <w:rFonts w:ascii="Arial Narrow" w:hAnsi="Arial Narrow"/>
          <w:sz w:val="20"/>
          <w:szCs w:val="20"/>
        </w:rPr>
      </w:pPr>
      <w:r>
        <w:rPr>
          <w:rFonts w:ascii="Arial Narrow" w:hAnsi="Arial Narrow"/>
          <w:sz w:val="20"/>
          <w:szCs w:val="20"/>
        </w:rPr>
        <w:t xml:space="preserve">Visi gaminiai, įranga, medžiagos ir priedai turi atitikti reikalavimus, nurodytus Aprašo techninėje dokumentacijoje. Medžiagos turi būti pateiktos su gamintojo rekvizitais, specifikacija, naudojimo instrukcija, pagaminimo data. Statytojas (Užsakovas) turi teisę atmesti medžiagą ar gaminį, jei ji neatitinka pirkimo dokumentų ir Aprašo techninės specifikacijos reikalavimų</w:t>
      </w:r>
      <w:r>
        <w:rPr>
          <w:rFonts w:ascii="Arial Narrow" w:hAnsi="Arial Narrow"/>
          <w:sz w:val="20"/>
          <w:szCs w:val="20"/>
        </w:rPr>
        <w:t xml:space="preserve">.</w:t>
      </w:r>
    </w:p>
    <w:p w14:paraId="1BC6F51D">
      <w:pPr>
        <w:spacing/>
        <w:jc w:val="left"/>
        <w:rPr>
          <w:rFonts w:ascii="Arial Narrow" w:hAnsi="Arial Narrow"/>
          <w:b/>
          <w:caps/>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8"/>
      </w:tblGrid>
      <w:tr>
        <w:trPr>
          <w:trHeight w:val="416" w:hRule="atLeast"/>
        </w:trPr>
        <w:tc>
          <w:tcPr>
            <w:tcW w:type="dxa" w:w="9628"/>
            <w:tcBorders/>
            <w:shd w:fill="005063" w:color="auto" w:val="clear"/>
            <w:vAlign w:val="center"/>
          </w:tcPr>
          <w:p>
            <w:pPr>
              <w:spacing/>
              <w:jc w:val="left"/>
              <w:rPr>
                <w:rFonts w:ascii="Arial Narrow" w:hAnsi="Arial Narrow"/>
                <w:b/>
                <w:caps/>
                <w:color w:val="FFFFFF"/>
                <w:sz w:val="20"/>
                <w:szCs w:val="16"/>
              </w:rPr>
            </w:pPr>
            <w:r>
              <w:rPr>
                <w:rFonts w:ascii="Arial Narrow" w:hAnsi="Arial Narrow"/>
                <w:b/>
                <w:caps/>
                <w:color w:val="FFFFFF"/>
                <w:sz w:val="20"/>
                <w:szCs w:val="16"/>
              </w:rPr>
              <w:t xml:space="preserve">8</w:t>
            </w:r>
            <w:r>
              <w:rPr>
                <w:rFonts w:ascii="Arial Narrow" w:hAnsi="Arial Narrow"/>
                <w:b/>
                <w:caps/>
                <w:color w:val="FFFFFF"/>
                <w:sz w:val="20"/>
                <w:szCs w:val="16"/>
              </w:rPr>
              <w:t xml:space="preserve">. </w:t>
            </w:r>
            <w:r>
              <w:rPr>
                <w:rFonts w:ascii="Arial Narrow" w:hAnsi="Arial Narrow"/>
                <w:b/>
                <w:caps/>
                <w:color w:val="FFFFFF"/>
                <w:sz w:val="20"/>
                <w:szCs w:val="16"/>
              </w:rPr>
              <w:t xml:space="preserve">STATYBINĖS IR NEGRĄŽINAMOS MEDŽIAGOS, STATYBINĖS ATLIEKOS</w:t>
            </w:r>
          </w:p>
        </w:tc>
      </w:tr>
    </w:tbl>
    <w:p w14:paraId="78752189">
      <w:pPr>
        <w:spacing/>
        <w:jc w:val="left"/>
        <w:rPr>
          <w:rFonts w:ascii="Arial Narrow" w:hAnsi="Arial Narrow"/>
          <w:b/>
          <w:caps/>
        </w:rPr>
      </w:pPr>
    </w:p>
    <w:p w14:paraId="318F0208">
      <w:pPr>
        <w:pStyle w:val="Bodytext1"/>
        <w:numPr>
          <w:ilvl w:val="1"/>
          <w:numId w:val="22"/>
        </w:numPr>
        <w:shd w:val="clear" w:color="auto" w:fill="auto"/>
        <w:tabs>
          <w:tab w:val="left" w:pos="284"/>
        </w:tabs>
        <w:spacing w:before="0" w:after="0" w:line="240" w:lineRule="auto"/>
        <w:ind w:left="0" w:right="55" w:firstLine="0"/>
        <w:jc w:val="both"/>
        <w:rPr>
          <w:rFonts w:ascii="Arial Narrow" w:hAnsi="Arial Narrow"/>
          <w:b/>
          <w:bCs/>
          <w:sz w:val="20"/>
          <w:szCs w:val="20"/>
        </w:rPr>
      </w:pPr>
      <w:r>
        <w:rPr>
          <w:rFonts w:ascii="Arial Narrow" w:hAnsi="Arial Narrow"/>
          <w:b/>
          <w:bCs/>
          <w:sz w:val="20"/>
          <w:szCs w:val="20"/>
        </w:rPr>
        <w:t xml:space="preserve">Statybinės medžiagos</w:t>
      </w:r>
    </w:p>
    <w:p w14:paraId="564DAB78">
      <w:pPr>
        <w:pStyle w:val="Bodytext1"/>
        <w:numPr>
          <w:ilvl w:val="2"/>
          <w:numId w:val="22"/>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V</w:t>
      </w:r>
      <w:r>
        <w:rPr>
          <w:rFonts w:ascii="Arial Narrow" w:hAnsi="Arial Narrow"/>
          <w:sz w:val="20"/>
          <w:szCs w:val="20"/>
        </w:rPr>
        <w:t xml:space="preserve">ykdant valstybinės reikšmės kelio paprastojo remonto darbus </w:t>
      </w:r>
      <w:r>
        <w:rPr>
          <w:rFonts w:ascii="Arial Narrow" w:hAnsi="Arial Narrow"/>
          <w:sz w:val="20"/>
          <w:szCs w:val="20"/>
        </w:rPr>
        <w:t xml:space="preserve">darbų metu nuardyti kelio elementai (toliau – medžiagos), įvertinus jų būklę, turi būti maksimaliai panaudojami pakartotinai tame pačiame </w:t>
      </w:r>
      <w:r>
        <w:rPr>
          <w:rFonts w:ascii="Arial Narrow" w:hAnsi="Arial Narrow"/>
          <w:sz w:val="20"/>
          <w:szCs w:val="20"/>
        </w:rPr>
        <w:t xml:space="preserve">projekte.</w:t>
      </w:r>
    </w:p>
    <w:p w14:paraId="7CB80E21">
      <w:pPr>
        <w:pStyle w:val="Bodytext1"/>
        <w:numPr>
          <w:ilvl w:val="2"/>
          <w:numId w:val="22"/>
        </w:numPr>
        <w:shd w:val="clear" w:color="auto" w:fill="auto"/>
        <w:tabs>
          <w:tab w:val="left" w:pos="567"/>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S</w:t>
      </w:r>
      <w:r>
        <w:rPr>
          <w:rFonts w:ascii="Arial Narrow" w:hAnsi="Arial Narrow"/>
          <w:sz w:val="20"/>
          <w:szCs w:val="20"/>
        </w:rPr>
        <w:t xml:space="preserve">usidarančios medžiagos, kurios nenaudojamos</w:t>
      </w:r>
      <w:r>
        <w:rPr>
          <w:rFonts w:ascii="Arial Narrow" w:hAnsi="Arial Narrow"/>
          <w:sz w:val="20"/>
          <w:szCs w:val="20"/>
        </w:rPr>
        <w:t xml:space="preserve"> projekte </w:t>
      </w:r>
      <w:r>
        <w:rPr>
          <w:rFonts w:ascii="Arial Narrow" w:hAnsi="Arial Narrow"/>
          <w:sz w:val="20"/>
          <w:szCs w:val="20"/>
        </w:rPr>
        <w:t xml:space="preserve"> ir nėra priskiriamos negražinamoms medžiagoms transportuojamos į AB „Via Lietuva“ nurodytas sandėliavimo vietą (-as), parenkant optimaliausią atstumą</w:t>
      </w:r>
      <w:r>
        <w:rPr>
          <w:rFonts w:ascii="Arial Narrow" w:hAnsi="Arial Narrow"/>
          <w:sz w:val="20"/>
          <w:szCs w:val="20"/>
        </w:rPr>
        <w:t xml:space="preserve">:</w:t>
      </w:r>
    </w:p>
    <w:p w14:paraId="3C030BA3">
      <w:pPr>
        <w:pStyle w:val="Bodytext1"/>
        <w:tabs>
          <w:tab w:val="left" w:pos="709"/>
        </w:tabs>
        <w:spacing w:before="0" w:after="0" w:line="240" w:lineRule="auto"/>
        <w:ind w:left="426" w:right="57" w:firstLine="0"/>
        <w:rPr>
          <w:rFonts w:ascii="Arial Narrow" w:hAnsi="Arial Narrow"/>
          <w:sz w:val="20"/>
          <w:szCs w:val="20"/>
        </w:rPr>
      </w:pPr>
      <w:r>
        <w:rPr>
          <w:rFonts w:ascii="Arial Narrow" w:hAnsi="Arial Narrow"/>
          <w:sz w:val="20"/>
          <w:szCs w:val="20"/>
        </w:rPr>
        <w:t xml:space="preserve">1)</w:t>
      </w:r>
      <w:r>
        <w:rPr>
          <w:rFonts w:ascii="Arial Narrow" w:hAnsi="Arial Narrow"/>
          <w:sz w:val="20"/>
          <w:szCs w:val="20"/>
        </w:rPr>
        <w:t xml:space="preserve">AB „Kelių priežiūra“ Ukmergės kelių tarnybos Širvintų meistrija, Zibalų g. 55, Širvintos.</w:t>
      </w:r>
    </w:p>
    <w:p w14:paraId="5BE24B99">
      <w:pPr>
        <w:pStyle w:val="Bodytext1"/>
        <w:tabs>
          <w:tab w:val="left" w:pos="709"/>
        </w:tabs>
        <w:spacing w:before="0" w:after="0" w:line="240" w:lineRule="auto"/>
        <w:ind w:left="426" w:right="57" w:firstLine="0"/>
        <w:rPr>
          <w:rFonts w:ascii="Arial Narrow" w:hAnsi="Arial Narrow"/>
          <w:sz w:val="20"/>
          <w:szCs w:val="20"/>
        </w:rPr>
      </w:pPr>
      <w:r>
        <w:rPr>
          <w:rFonts w:ascii="Arial Narrow" w:hAnsi="Arial Narrow"/>
          <w:sz w:val="20"/>
          <w:szCs w:val="20"/>
        </w:rPr>
        <w:t xml:space="preserve">2) AB „Kelių priežiūra“ Panevėžio kelių tarnybos Panevėžio meistrijos Karsakiškio gamybinė bazė, Kakūnų k., Karsakiškio sen., Panevėžio r.</w:t>
      </w:r>
    </w:p>
    <w:p w14:paraId="137B0F31">
      <w:pPr>
        <w:pStyle w:val="Bodytext1"/>
        <w:tabs>
          <w:tab w:val="left" w:pos="709"/>
        </w:tabs>
        <w:spacing w:before="0" w:after="0" w:line="240" w:lineRule="auto"/>
        <w:ind w:left="426" w:right="57" w:firstLine="0"/>
        <w:rPr>
          <w:rFonts w:ascii="Arial Narrow" w:hAnsi="Arial Narrow"/>
          <w:sz w:val="20"/>
          <w:szCs w:val="20"/>
        </w:rPr>
      </w:pPr>
      <w:r>
        <w:rPr>
          <w:rFonts w:ascii="Arial Narrow" w:hAnsi="Arial Narrow"/>
          <w:sz w:val="20"/>
          <w:szCs w:val="20"/>
        </w:rPr>
        <w:t xml:space="preserve">3) AB „Kelių priežiūra“ Kretingos kelių tarnybos Plungės meistrija, Stoties g. 11a, Plungė.</w:t>
      </w:r>
    </w:p>
    <w:p w14:paraId="73027FC6">
      <w:pPr>
        <w:pStyle w:val="Bodytext1"/>
        <w:tabs>
          <w:tab w:val="left" w:pos="709"/>
        </w:tabs>
        <w:spacing w:before="0" w:after="0" w:line="240" w:lineRule="auto"/>
        <w:ind w:left="426" w:right="57" w:firstLine="0"/>
        <w:rPr>
          <w:rFonts w:ascii="Arial Narrow" w:hAnsi="Arial Narrow"/>
          <w:sz w:val="20"/>
          <w:szCs w:val="20"/>
        </w:rPr>
      </w:pPr>
      <w:r>
        <w:rPr>
          <w:rFonts w:ascii="Arial Narrow" w:hAnsi="Arial Narrow"/>
          <w:sz w:val="20"/>
          <w:szCs w:val="20"/>
        </w:rPr>
        <w:t xml:space="preserve">4) AB „Kelių priežiūra“ Kėdainių kelių tarnybos Kėdainių meistrija, Birutės g. 4, Kėdainiai.</w:t>
      </w:r>
    </w:p>
    <w:p w14:paraId="41ECB8E1">
      <w:pPr>
        <w:pStyle w:val="Bodytext1"/>
        <w:tabs>
          <w:tab w:val="left" w:pos="709"/>
        </w:tabs>
        <w:spacing w:before="0" w:after="0" w:line="240" w:lineRule="auto"/>
        <w:ind w:left="426" w:right="57" w:firstLine="0"/>
        <w:rPr>
          <w:rFonts w:ascii="Arial Narrow" w:hAnsi="Arial Narrow"/>
          <w:sz w:val="20"/>
          <w:szCs w:val="20"/>
        </w:rPr>
      </w:pPr>
      <w:r>
        <w:rPr>
          <w:rFonts w:ascii="Arial Narrow" w:hAnsi="Arial Narrow"/>
          <w:sz w:val="20"/>
          <w:szCs w:val="20"/>
        </w:rPr>
        <w:t xml:space="preserve">5) AB „Kelių priežiūra“ Marijampolės kelių tarnybos Marijampolės meistrija, Gamyklų g. 12, Marijampolė.</w:t>
      </w:r>
    </w:p>
    <w:p w14:paraId="317D6396">
      <w:pPr>
        <w:pStyle w:val="Bodytext1"/>
        <w:tabs>
          <w:tab w:val="left" w:pos="709"/>
        </w:tabs>
        <w:spacing w:before="0" w:after="0" w:line="240" w:lineRule="auto"/>
        <w:ind w:left="426" w:right="57" w:firstLine="0"/>
        <w:rPr>
          <w:rFonts w:ascii="Arial Narrow" w:hAnsi="Arial Narrow"/>
          <w:sz w:val="20"/>
          <w:szCs w:val="20"/>
        </w:rPr>
      </w:pPr>
      <w:r>
        <w:rPr>
          <w:rFonts w:ascii="Arial Narrow" w:hAnsi="Arial Narrow"/>
          <w:sz w:val="20"/>
          <w:szCs w:val="20"/>
        </w:rPr>
        <w:t xml:space="preserve">6) AB „Kelių priežiūra“ Trakų kelių tarnybos Vievio meistrija, Statybininkų g. 16, Vievis</w:t>
      </w:r>
      <w:r>
        <w:rPr>
          <w:rFonts w:ascii="Arial Narrow" w:hAnsi="Arial Narrow"/>
          <w:sz w:val="20"/>
          <w:szCs w:val="20"/>
        </w:rPr>
        <w:t xml:space="preserve">.</w:t>
      </w:r>
    </w:p>
    <w:p w14:paraId="32622EC9">
      <w:pPr>
        <w:pStyle w:val="Bodytext1"/>
        <w:spacing w:before="0" w:after="0" w:line="240" w:lineRule="auto"/>
        <w:ind w:right="57" w:firstLine="0"/>
        <w:rPr>
          <w:rFonts w:ascii="Arial Narrow" w:hAnsi="Arial Narrow"/>
          <w:sz w:val="20"/>
          <w:szCs w:val="20"/>
          <w:u w:val="single"/>
        </w:rPr>
      </w:pPr>
      <w:r>
        <w:rPr>
          <w:rFonts w:ascii="Arial Narrow" w:hAnsi="Arial Narrow"/>
          <w:sz w:val="20"/>
          <w:szCs w:val="20"/>
          <w:u w:val="single"/>
        </w:rPr>
        <w:t xml:space="preserve">Medžiagos, kurios turi būti gabenamos į sandėliavimo vietas:</w:t>
      </w:r>
    </w:p>
    <w:p w14:paraId="7BA99ED2">
      <w:pPr>
        <w:pStyle w:val="Bodytext1"/>
        <w:shd w:val="clear" w:color="auto" w:fill="auto"/>
        <w:spacing w:before="0" w:after="0" w:line="240" w:lineRule="auto"/>
        <w:ind w:right="57" w:firstLine="0"/>
        <w:jc w:val="both"/>
        <w:rPr>
          <w:rFonts w:ascii="Arial Narrow" w:hAnsi="Arial Narrow"/>
          <w:sz w:val="20"/>
          <w:szCs w:val="20"/>
        </w:rPr>
      </w:pPr>
      <w:r>
        <w:rPr>
          <w:rFonts w:ascii="Arial Narrow" w:hAnsi="Arial Narrow"/>
          <w:sz w:val="20"/>
          <w:szCs w:val="20"/>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w:t>
      </w:r>
      <w:r>
        <w:rPr>
          <w:rFonts w:ascii="Arial Narrow" w:hAnsi="Arial Narrow"/>
          <w:sz w:val="20"/>
          <w:szCs w:val="20"/>
        </w:rPr>
        <w:t xml:space="preserve">.</w:t>
      </w:r>
    </w:p>
    <w:p w14:paraId="353EDB45">
      <w:pPr>
        <w:pStyle w:val="Bodytext1"/>
        <w:numPr>
          <w:ilvl w:val="2"/>
          <w:numId w:val="22"/>
        </w:numPr>
        <w:shd w:val="clear" w:color="auto" w:fill="auto"/>
        <w:tabs>
          <w:tab w:val="left" w:pos="426"/>
        </w:tabs>
        <w:spacing w:before="0" w:after="0" w:line="240" w:lineRule="auto"/>
        <w:ind w:left="0" w:right="57" w:firstLine="0"/>
        <w:jc w:val="both"/>
        <w:rPr>
          <w:rFonts w:ascii="Arial Narrow" w:hAnsi="Arial Narrow"/>
          <w:sz w:val="20"/>
          <w:szCs w:val="20"/>
        </w:rPr>
      </w:pPr>
      <w:r>
        <w:rPr>
          <w:rFonts w:ascii="Arial Narrow" w:hAnsi="Arial Narrow"/>
          <w:sz w:val="20"/>
          <w:szCs w:val="20"/>
        </w:rPr>
        <w:t xml:space="preserve">Kitos medžiagos, kurios gali būti panaudotos pakartotinai, gali būti gabenamos į sandėliavimo vietas tik suderinus su AB „Via Lietuva</w:t>
      </w:r>
      <w:r>
        <w:rPr>
          <w:rFonts w:ascii="Arial Narrow" w:hAnsi="Arial Narrow"/>
          <w:sz w:val="20"/>
          <w:szCs w:val="20"/>
        </w:rPr>
        <w:t xml:space="preserve">.</w:t>
      </w:r>
    </w:p>
    <w:p w14:paraId="476EBF02">
      <w:pPr>
        <w:pStyle w:val="Bodytext1"/>
        <w:numPr>
          <w:ilvl w:val="2"/>
          <w:numId w:val="22"/>
        </w:numPr>
        <w:shd w:val="clear" w:color="auto" w:fill="auto"/>
        <w:tabs>
          <w:tab w:val="left" w:pos="426"/>
        </w:tabs>
        <w:spacing w:before="0" w:after="0" w:line="240" w:lineRule="auto"/>
        <w:ind w:left="0" w:right="57" w:firstLine="0"/>
        <w:jc w:val="both"/>
        <w:rPr>
          <w:rFonts w:ascii="Arial Narrow" w:hAnsi="Arial Narrow"/>
          <w:sz w:val="20"/>
          <w:szCs w:val="20"/>
        </w:rPr>
      </w:pPr>
      <w:r>
        <w:rPr>
          <w:rFonts w:ascii="Arial Narrow" w:hAnsi="Arial Narrow"/>
          <w:sz w:val="20"/>
          <w:szCs w:val="20"/>
        </w:rPr>
        <w:t xml:space="preserve">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r>
        <w:rPr>
          <w:rFonts w:ascii="Arial Narrow" w:hAnsi="Arial Narrow"/>
          <w:sz w:val="20"/>
          <w:szCs w:val="20"/>
        </w:rPr>
        <w:t xml:space="preserve">.</w:t>
      </w:r>
    </w:p>
    <w:p w14:paraId="7EA27A80">
      <w:pPr>
        <w:pStyle w:val="Bodytext1"/>
        <w:numPr>
          <w:ilvl w:val="2"/>
          <w:numId w:val="22"/>
        </w:numPr>
        <w:shd w:val="clear" w:color="auto" w:fill="auto"/>
        <w:tabs>
          <w:tab w:val="left" w:pos="426"/>
        </w:tabs>
        <w:spacing w:before="0" w:after="0" w:line="240" w:lineRule="auto"/>
        <w:ind w:left="0" w:right="57" w:firstLine="0"/>
        <w:jc w:val="both"/>
        <w:rPr>
          <w:rFonts w:ascii="Arial Narrow" w:hAnsi="Arial Narrow"/>
          <w:sz w:val="20"/>
          <w:szCs w:val="20"/>
        </w:rPr>
      </w:pPr>
      <w:r>
        <w:rPr>
          <w:rFonts w:ascii="Arial Narrow" w:hAnsi="Arial Narrow"/>
          <w:sz w:val="20"/>
          <w:szCs w:val="20"/>
        </w:rPr>
        <w:t xml:space="preserve">Rangovas</w:t>
      </w:r>
      <w:r>
        <w:rPr>
          <w:rFonts w:ascii="Arial Narrow" w:hAnsi="Arial Narrow"/>
          <w:sz w:val="20"/>
          <w:szCs w:val="20"/>
        </w:rPr>
        <w:t xml:space="preserve">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r>
        <w:rPr>
          <w:rFonts w:ascii="Arial Narrow" w:hAnsi="Arial Narrow"/>
          <w:sz w:val="20"/>
          <w:szCs w:val="20"/>
        </w:rPr>
        <w:t xml:space="preserve">.</w:t>
      </w:r>
    </w:p>
    <w:p w14:paraId="3A428B58">
      <w:pPr>
        <w:pStyle w:val="Bodytext1"/>
        <w:shd w:val="clear" w:color="auto" w:fill="auto"/>
        <w:spacing w:before="0" w:after="0" w:line="240" w:lineRule="auto"/>
        <w:ind w:left="567" w:right="57" w:hanging="283"/>
        <w:jc w:val="both"/>
        <w:rPr>
          <w:rFonts w:ascii="Arial Narrow" w:hAnsi="Arial Narrow"/>
          <w:sz w:val="20"/>
          <w:szCs w:val="20"/>
        </w:rPr>
      </w:pPr>
    </w:p>
    <w:p w14:paraId="25E878C6">
      <w:pPr>
        <w:pStyle w:val="Bodytext1"/>
        <w:numPr>
          <w:ilvl w:val="1"/>
          <w:numId w:val="22"/>
        </w:numPr>
        <w:shd w:val="clear" w:color="auto" w:fill="auto"/>
        <w:tabs>
          <w:tab w:val="left" w:pos="284"/>
        </w:tabs>
        <w:spacing w:before="0" w:after="0" w:line="240" w:lineRule="auto"/>
        <w:ind w:left="0" w:right="55" w:firstLine="0"/>
        <w:jc w:val="both"/>
        <w:rPr>
          <w:rFonts w:ascii="Arial Narrow" w:hAnsi="Arial Narrow"/>
          <w:b/>
          <w:bCs/>
          <w:sz w:val="20"/>
          <w:szCs w:val="20"/>
        </w:rPr>
      </w:pPr>
      <w:r>
        <w:rPr>
          <w:rFonts w:ascii="Arial Narrow" w:hAnsi="Arial Narrow"/>
          <w:b/>
          <w:bCs/>
          <w:sz w:val="20"/>
          <w:szCs w:val="20"/>
        </w:rPr>
        <w:t xml:space="preserve">Negražinamos</w:t>
      </w:r>
      <w:r>
        <w:rPr>
          <w:rFonts w:ascii="Arial Narrow" w:hAnsi="Arial Narrow"/>
          <w:b/>
          <w:bCs/>
          <w:sz w:val="20"/>
          <w:szCs w:val="20"/>
        </w:rPr>
        <w:t xml:space="preserve"> medžiagos</w:t>
      </w:r>
    </w:p>
    <w:p w14:paraId="626E1A8C">
      <w:pPr>
        <w:spacing/>
        <w:rPr>
          <w:rFonts w:ascii="Arial Narrow" w:hAnsi="Arial Narrow" w:eastAsiaTheme="minorHAnsi"/>
          <w:sz w:val="20"/>
        </w:rPr>
      </w:pPr>
      <w:r>
        <w:rPr>
          <w:rFonts w:ascii="Arial Narrow" w:hAnsi="Arial Narrow" w:eastAsiaTheme="minorHAnsi"/>
          <w:sz w:val="20"/>
        </w:rPr>
        <w:t xml:space="preserve">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(-omis) eilute (- ėmis) su minuso ženklu. Šios medžiagos lieka rangovui. Pateikiami jų įkainiai:</w:t>
      </w:r>
    </w:p>
    <w:p w14:paraId="34FD45CD">
      <w:pPr>
        <w:pStyle w:val="ListParagraph"/>
        <w:numPr>
          <w:ilvl w:val="0"/>
          <w:numId w:val="13"/>
        </w:numPr>
        <w:spacing/>
        <w:jc w:val="both"/>
        <w:rPr>
          <w:rFonts w:cs="Times New Roman"/>
          <w:szCs w:val="20"/>
        </w:rPr>
      </w:pPr>
      <w:r>
        <w:rPr>
          <w:rFonts w:cs="Times New Roman"/>
          <w:szCs w:val="20"/>
        </w:rPr>
        <w:t xml:space="preserve">žvyro ir skaldos mišinys, nesurištasis mineralinių medžiagų mišinys – ≤ -4,00 Eur/t arba -6,00 Eur/m3 (santykis 1,5);</w:t>
      </w:r>
    </w:p>
    <w:p w14:paraId="736B9440">
      <w:pPr>
        <w:pStyle w:val="ListParagraph"/>
        <w:numPr>
          <w:ilvl w:val="0"/>
          <w:numId w:val="13"/>
        </w:numPr>
        <w:spacing/>
        <w:jc w:val="both"/>
        <w:rPr>
          <w:rFonts w:cs="Times New Roman"/>
          <w:szCs w:val="20"/>
        </w:rPr>
      </w:pPr>
      <w:r>
        <w:rPr>
          <w:rFonts w:cs="Times New Roman"/>
          <w:szCs w:val="20"/>
        </w:rPr>
        <w:t xml:space="preserve">skalda – ≤ -5,00 Eur/t arba -7,50 Eur/m3 (santykis 1,5);</w:t>
      </w:r>
    </w:p>
    <w:p w14:paraId="01233FBC">
      <w:pPr>
        <w:pStyle w:val="ListParagraph"/>
        <w:numPr>
          <w:ilvl w:val="0"/>
          <w:numId w:val="13"/>
        </w:numPr>
        <w:spacing/>
        <w:jc w:val="both"/>
        <w:rPr>
          <w:rFonts w:cs="Times New Roman"/>
          <w:szCs w:val="20"/>
        </w:rPr>
      </w:pPr>
      <w:r>
        <w:rPr>
          <w:rFonts w:cs="Times New Roman"/>
          <w:szCs w:val="20"/>
        </w:rPr>
        <w:t xml:space="preserve">grindinio akmenys – ≤ -15,00 Eur/t arba -40,50 Eur/m3 (santykis 2,7);</w:t>
      </w:r>
    </w:p>
    <w:p w14:paraId="4050B2BD">
      <w:pPr>
        <w:pStyle w:val="ListParagraph"/>
        <w:numPr>
          <w:ilvl w:val="0"/>
          <w:numId w:val="13"/>
        </w:numPr>
        <w:spacing/>
        <w:jc w:val="both"/>
        <w:rPr>
          <w:rFonts w:cs="Times New Roman"/>
          <w:szCs w:val="20"/>
        </w:rPr>
      </w:pPr>
      <w:r>
        <w:rPr>
          <w:rFonts w:cs="Times New Roman"/>
          <w:szCs w:val="20"/>
        </w:rPr>
        <w:t xml:space="preserve">frezuoto asfalto granulės – ≤ -7,00 Eur/t arba -11,20 Eur/m3 (santykis 1,6);</w:t>
      </w:r>
    </w:p>
    <w:p w14:paraId="72E5D347">
      <w:pPr>
        <w:pStyle w:val="ListParagraph"/>
        <w:numPr>
          <w:ilvl w:val="0"/>
          <w:numId w:val="13"/>
        </w:numPr>
        <w:spacing/>
        <w:jc w:val="both"/>
        <w:rPr>
          <w:rFonts w:cs="Times New Roman"/>
          <w:szCs w:val="20"/>
        </w:rPr>
      </w:pPr>
      <w:r>
        <w:rPr>
          <w:rFonts w:cs="Times New Roman"/>
          <w:szCs w:val="20"/>
        </w:rPr>
        <w:t xml:space="preserve">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75E72F32">
      <w:pPr>
        <w:pStyle w:val="Bodytext1"/>
        <w:shd w:val="clear" w:color="auto" w:fill="auto"/>
        <w:tabs>
          <w:tab w:val="left" w:pos="284"/>
        </w:tabs>
        <w:spacing w:before="0" w:after="0" w:line="240" w:lineRule="auto"/>
        <w:ind w:right="55" w:firstLine="0"/>
        <w:jc w:val="both"/>
        <w:rPr>
          <w:rFonts w:ascii="Arial Narrow" w:hAnsi="Arial Narrow"/>
          <w:sz w:val="20"/>
          <w:szCs w:val="20"/>
        </w:rPr>
      </w:pPr>
      <w:r>
        <w:rPr>
          <w:rFonts w:ascii="Arial Narrow" w:hAnsi="Arial Narrow"/>
          <w:sz w:val="20"/>
          <w:szCs w:val="20"/>
        </w:rPr>
        <w:t xml:space="preserve">. </w:t>
      </w:r>
    </w:p>
    <w:p w14:paraId="410A7A4A">
      <w:pPr>
        <w:pStyle w:val="Bodytext1"/>
        <w:numPr>
          <w:ilvl w:val="1"/>
          <w:numId w:val="22"/>
        </w:numPr>
        <w:shd w:val="clear" w:color="auto" w:fill="auto"/>
        <w:tabs>
          <w:tab w:val="left" w:pos="284"/>
        </w:tabs>
        <w:spacing w:before="0" w:after="0" w:line="240" w:lineRule="auto"/>
        <w:ind w:left="0" w:right="55" w:firstLine="0"/>
        <w:jc w:val="both"/>
        <w:rPr>
          <w:rFonts w:ascii="Arial Narrow" w:hAnsi="Arial Narrow"/>
          <w:b/>
          <w:bCs/>
          <w:sz w:val="20"/>
          <w:szCs w:val="20"/>
        </w:rPr>
      </w:pPr>
      <w:r>
        <w:rPr>
          <w:rFonts w:ascii="Arial Narrow" w:hAnsi="Arial Narrow"/>
          <w:b/>
          <w:bCs/>
          <w:sz w:val="20"/>
          <w:szCs w:val="20"/>
        </w:rPr>
        <w:t xml:space="preserve">Statybinės atliekos</w:t>
      </w:r>
    </w:p>
    <w:p w14:paraId="4A023CBA">
      <w:pPr>
        <w:pStyle w:val="Bodytext1"/>
        <w:shd w:val="clear" w:color="auto" w:fill="auto"/>
        <w:tabs>
          <w:tab w:val="left" w:pos="0"/>
        </w:tabs>
        <w:spacing w:before="0" w:after="0" w:line="240" w:lineRule="auto"/>
        <w:ind w:right="55" w:firstLine="0"/>
        <w:jc w:val="both"/>
        <w:rPr>
          <w:rFonts w:ascii="Arial Narrow" w:hAnsi="Arial Narrow"/>
          <w:sz w:val="20"/>
          <w:szCs w:val="20"/>
        </w:rPr>
      </w:pPr>
      <w:r>
        <w:rPr>
          <w:rFonts w:ascii="Arial Narrow" w:hAnsi="Arial Narrow"/>
          <w:sz w:val="20"/>
          <w:szCs w:val="20"/>
        </w:rPr>
        <w:t xml:space="preserve">Visos medžiagos, nepatenkančios į statybinių ir (ar) negražinamų medžiagų sąrašą ir (ar) kurių neįmanoma panaudoti antrą kartą, kaip atliekos turi būti sutvarkomos rangovo pagal galiojančius aplinkos apsaugos reikalavimus (paslaugos teikėjas privalo įsivertinti visas su tvarkymu susijusias išlaidas).</w:t>
      </w:r>
    </w:p>
    <w:p w14:paraId="6D6E9F7F">
      <w:pPr>
        <w:spacing/>
        <w:jc w:val="left"/>
        <w:rPr>
          <w:rFonts w:ascii="Arial Narrow" w:hAnsi="Arial Narrow"/>
          <w:b/>
          <w:caps/>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8"/>
      </w:tblGrid>
      <w:tr>
        <w:trPr>
          <w:trHeight w:val="416" w:hRule="atLeast"/>
        </w:trPr>
        <w:tc>
          <w:tcPr>
            <w:tcW w:type="dxa" w:w="9628"/>
            <w:tcBorders/>
            <w:shd w:fill="005063" w:color="auto" w:val="clear"/>
            <w:vAlign w:val="center"/>
          </w:tcPr>
          <w:p>
            <w:pPr>
              <w:spacing/>
              <w:jc w:val="left"/>
              <w:rPr>
                <w:rFonts w:ascii="Arial Narrow" w:hAnsi="Arial Narrow"/>
                <w:b/>
                <w:caps/>
                <w:color w:val="FFFFFF"/>
                <w:sz w:val="20"/>
                <w:szCs w:val="16"/>
              </w:rPr>
            </w:pPr>
            <w:r>
              <w:rPr>
                <w:rFonts w:ascii="Arial Narrow" w:hAnsi="Arial Narrow"/>
                <w:b/>
                <w:caps/>
                <w:color w:val="FFFFFF"/>
                <w:sz w:val="20"/>
                <w:szCs w:val="16"/>
              </w:rPr>
              <w:t xml:space="preserve">9</w:t>
            </w:r>
            <w:r>
              <w:rPr>
                <w:rFonts w:ascii="Arial Narrow" w:hAnsi="Arial Narrow"/>
                <w:b/>
                <w:caps/>
                <w:color w:val="FFFFFF"/>
                <w:sz w:val="20"/>
                <w:szCs w:val="16"/>
              </w:rPr>
              <w:t xml:space="preserve">. </w:t>
            </w:r>
            <w:r>
              <w:rPr>
                <w:rFonts w:ascii="Arial Narrow" w:hAnsi="Arial Narrow"/>
                <w:b/>
                <w:caps/>
                <w:color w:val="FFFFFF"/>
                <w:sz w:val="20"/>
                <w:szCs w:val="16"/>
              </w:rPr>
              <w:t xml:space="preserve">DARBŲ PERDAVIMAS</w:t>
            </w:r>
          </w:p>
        </w:tc>
      </w:tr>
    </w:tbl>
    <w:p w14:paraId="0E2EAAA0">
      <w:pPr>
        <w:spacing/>
        <w:jc w:val="left"/>
        <w:rPr>
          <w:rFonts w:ascii="Arial Narrow" w:hAnsi="Arial Narrow"/>
          <w:b/>
          <w:caps/>
        </w:rPr>
      </w:pPr>
    </w:p>
    <w:p w14:paraId="38B70001">
      <w:pPr>
        <w:pStyle w:val="Bodytext1"/>
        <w:tabs>
          <w:tab w:val="left" w:pos="567"/>
        </w:tabs>
        <w:spacing w:before="0" w:after="0" w:line="240" w:lineRule="auto"/>
        <w:ind w:right="57" w:firstLine="0"/>
        <w:rPr>
          <w:rFonts w:ascii="Arial Narrow" w:hAnsi="Arial Narrow"/>
          <w:sz w:val="20"/>
          <w:szCs w:val="20"/>
        </w:rPr>
      </w:pPr>
      <w:r>
        <w:rPr>
          <w:rFonts w:ascii="Arial Narrow" w:hAnsi="Arial Narrow"/>
          <w:sz w:val="20"/>
          <w:szCs w:val="20"/>
        </w:rPr>
        <w:t xml:space="preserve">Baigti darbai Užsakovui perduodami sutarties sąlygose nustatyta tvarka, pasirašant Tiekėjo atliktų statybos darbų perdavimo Statytojui (Užsakovui) aktą. Šis aktas išduodamas tik tada, kai yra įvykdyti sekantys reikalavimai:</w:t>
      </w:r>
    </w:p>
    <w:p w14:paraId="2FC072D3">
      <w:pPr>
        <w:pStyle w:val="Bodytext1"/>
        <w:numPr>
          <w:ilvl w:val="1"/>
          <w:numId w:val="31"/>
        </w:numPr>
        <w:tabs>
          <w:tab w:val="left" w:pos="567"/>
        </w:tabs>
        <w:spacing w:before="0" w:after="0" w:line="240" w:lineRule="auto"/>
        <w:ind w:left="426" w:right="57" w:hanging="426"/>
        <w:rPr>
          <w:rFonts w:ascii="Arial Narrow" w:hAnsi="Arial Narrow"/>
          <w:sz w:val="20"/>
          <w:szCs w:val="20"/>
        </w:rPr>
      </w:pPr>
      <w:r>
        <w:rPr>
          <w:rFonts w:ascii="Arial Narrow" w:hAnsi="Arial Narrow"/>
          <w:sz w:val="20"/>
          <w:szCs w:val="20"/>
        </w:rPr>
        <w:t xml:space="preserve">Visiškai pašalinti Užsakovo ir techninio prižiūrėtojo nustatyti statybos darbų trūkumai, defektai ir (ar) netikslumai;</w:t>
      </w:r>
    </w:p>
    <w:p w14:paraId="4E0E63CA">
      <w:pPr>
        <w:pStyle w:val="Bodytext1"/>
        <w:numPr>
          <w:ilvl w:val="1"/>
          <w:numId w:val="31"/>
        </w:numPr>
        <w:tabs>
          <w:tab w:val="left" w:pos="567"/>
        </w:tabs>
        <w:spacing w:before="0" w:after="0" w:line="240" w:lineRule="auto"/>
        <w:ind w:left="426" w:right="57" w:hanging="426"/>
        <w:rPr>
          <w:rFonts w:ascii="Arial Narrow" w:hAnsi="Arial Narrow"/>
          <w:sz w:val="20"/>
          <w:szCs w:val="20"/>
        </w:rPr>
      </w:pPr>
      <w:r>
        <w:rPr>
          <w:rFonts w:ascii="Arial Narrow" w:hAnsi="Arial Narrow"/>
          <w:sz w:val="20"/>
          <w:szCs w:val="20"/>
        </w:rPr>
        <w:t xml:space="preserve">Statinys atitinka Techninėje specifikacijoje ir Apraše numatytus reikalavimus;</w:t>
      </w:r>
    </w:p>
    <w:p w14:paraId="0289721A">
      <w:pPr>
        <w:pStyle w:val="Bodytext1"/>
        <w:numPr>
          <w:ilvl w:val="1"/>
          <w:numId w:val="31"/>
        </w:numPr>
        <w:tabs>
          <w:tab w:val="left" w:pos="567"/>
        </w:tabs>
        <w:spacing w:before="0" w:after="0" w:line="240" w:lineRule="auto"/>
        <w:ind w:left="426" w:right="57" w:hanging="426"/>
        <w:rPr>
          <w:rFonts w:ascii="Arial Narrow" w:hAnsi="Arial Narrow"/>
          <w:sz w:val="20"/>
          <w:szCs w:val="20"/>
        </w:rPr>
      </w:pPr>
      <w:r>
        <w:rPr>
          <w:rFonts w:ascii="Arial Narrow" w:hAnsi="Arial Narrow"/>
          <w:sz w:val="20"/>
          <w:szCs w:val="20"/>
        </w:rPr>
        <w:t xml:space="preserve">Išpildomoji dokumentacija (išpildomoji geodezinė nuotrauka) yra perduota Užsakovui;</w:t>
      </w:r>
    </w:p>
    <w:p w14:paraId="694DCD1B">
      <w:pPr>
        <w:pStyle w:val="Bodytext1"/>
        <w:numPr>
          <w:ilvl w:val="1"/>
          <w:numId w:val="31"/>
        </w:numPr>
        <w:tabs>
          <w:tab w:val="left" w:pos="567"/>
        </w:tabs>
        <w:spacing w:before="0" w:after="0" w:line="240" w:lineRule="auto"/>
        <w:ind w:left="426" w:right="57" w:hanging="426"/>
        <w:rPr>
          <w:rFonts w:ascii="Arial Narrow" w:hAnsi="Arial Narrow"/>
          <w:sz w:val="20"/>
          <w:szCs w:val="20"/>
        </w:rPr>
      </w:pPr>
      <w:r>
        <w:rPr>
          <w:rFonts w:ascii="Arial Narrow" w:hAnsi="Arial Narrow"/>
          <w:sz w:val="20"/>
          <w:szCs w:val="20"/>
        </w:rPr>
        <w:t xml:space="preserve">Galutinė Aprašo laida, atitinkanti išpildomąją dokumentaciją, yra perduota Užsakovui</w:t>
      </w:r>
      <w:r>
        <w:rPr>
          <w:rFonts w:ascii="Arial Narrow" w:hAnsi="Arial Narrow"/>
          <w:sz w:val="20"/>
          <w:szCs w:val="20"/>
        </w:rPr>
        <w:t xml:space="preserve">;</w:t>
      </w:r>
    </w:p>
    <w:p w14:paraId="2DA6AD4C">
      <w:pPr>
        <w:pStyle w:val="Bodytext1"/>
        <w:numPr>
          <w:ilvl w:val="1"/>
          <w:numId w:val="31"/>
        </w:numPr>
        <w:tabs>
          <w:tab w:val="left" w:pos="567"/>
        </w:tabs>
        <w:spacing w:before="0" w:after="0" w:line="240" w:lineRule="auto"/>
        <w:ind w:left="426" w:right="57" w:hanging="426"/>
        <w:rPr>
          <w:rFonts w:ascii="Arial Narrow" w:hAnsi="Arial Narrow"/>
          <w:sz w:val="20"/>
          <w:szCs w:val="20"/>
        </w:rPr>
      </w:pPr>
      <w:r>
        <w:rPr>
          <w:rFonts w:ascii="Arial Narrow" w:hAnsi="Arial Narrow"/>
          <w:sz w:val="20"/>
          <w:szCs w:val="20"/>
        </w:rPr>
        <w:t xml:space="preserve">Atlikti kontroliniai bandymai;</w:t>
      </w:r>
    </w:p>
    <w:p w14:paraId="5E502C85">
      <w:pPr>
        <w:pStyle w:val="Bodytext1"/>
        <w:numPr>
          <w:ilvl w:val="1"/>
          <w:numId w:val="31"/>
        </w:numPr>
        <w:tabs>
          <w:tab w:val="left" w:pos="567"/>
        </w:tabs>
        <w:spacing w:before="0" w:after="0" w:line="240" w:lineRule="auto"/>
        <w:ind w:left="426" w:right="57" w:hanging="426"/>
        <w:rPr>
          <w:rFonts w:ascii="Arial Narrow" w:hAnsi="Arial Narrow"/>
          <w:sz w:val="20"/>
          <w:szCs w:val="20"/>
        </w:rPr>
      </w:pPr>
      <w:r>
        <w:rPr>
          <w:rFonts w:ascii="Arial Narrow" w:hAnsi="Arial Narrow"/>
          <w:sz w:val="20"/>
          <w:szCs w:val="20"/>
        </w:rPr>
        <w:t xml:space="preserve">Parengta ar atnaujinta kadastrinių matavimų byla;</w:t>
      </w:r>
    </w:p>
    <w:p w14:paraId="62D346CE">
      <w:pPr>
        <w:pStyle w:val="Bodytext1"/>
        <w:numPr>
          <w:ilvl w:val="1"/>
          <w:numId w:val="31"/>
        </w:numPr>
        <w:tabs>
          <w:tab w:val="left" w:pos="567"/>
        </w:tabs>
        <w:spacing w:before="0" w:after="0" w:line="240" w:lineRule="auto"/>
        <w:ind w:left="426" w:right="57" w:hanging="426"/>
        <w:jc w:val="both"/>
        <w:rPr>
          <w:rFonts w:ascii="Arial Narrow" w:hAnsi="Arial Narrow"/>
          <w:sz w:val="20"/>
          <w:szCs w:val="20"/>
        </w:rPr>
      </w:pPr>
      <w:r>
        <w:rPr>
          <w:rFonts w:ascii="Arial Narrow" w:hAnsi="Arial Narrow"/>
          <w:sz w:val="20"/>
          <w:szCs w:val="20"/>
        </w:rPr>
        <w:t xml:space="preserve">Parengta deklaracija apie statybos užbaigimą ir pateikta ją tvirtinti bei įregistruota Lietuvos Respublikos statybos įstatymo nustatyta tvarka;</w:t>
      </w:r>
    </w:p>
    <w:p w14:paraId="5EC9B117">
      <w:pPr>
        <w:pStyle w:val="Bodytext1"/>
        <w:numPr>
          <w:ilvl w:val="1"/>
          <w:numId w:val="31"/>
        </w:numPr>
        <w:tabs>
          <w:tab w:val="left" w:pos="567"/>
        </w:tabs>
        <w:spacing w:before="0" w:after="0" w:line="240" w:lineRule="auto"/>
        <w:ind w:left="426" w:right="57" w:hanging="426"/>
        <w:rPr>
          <w:rFonts w:ascii="Arial Narrow" w:hAnsi="Arial Narrow"/>
          <w:sz w:val="20"/>
          <w:szCs w:val="20"/>
        </w:rPr>
      </w:pPr>
      <w:r>
        <w:rPr>
          <w:rFonts w:ascii="Arial Narrow" w:hAnsi="Arial Narrow"/>
          <w:sz w:val="20"/>
          <w:szCs w:val="20"/>
        </w:rPr>
        <w:t xml:space="preserve">Vadovaujantis Lietuvos automobilių kelių direkcijos prie Susisiekimo ministerijos direktoriaus 2017 m. balandžio 24 d. įsakymu Nr. V-168 „Dėl duomenų teikimo ir tvarkymo valstybinės reikšmės kelių informacinėje sistemoje tvarkos aprašo patvirtinimo“, pateikti ir suderinti su Užsakovu kelių matavimų duomenis</w:t>
      </w:r>
      <w:r>
        <w:rPr>
          <w:rFonts w:ascii="Arial Narrow" w:hAnsi="Arial Narrow"/>
          <w:sz w:val="20"/>
          <w:szCs w:val="20"/>
        </w:rPr>
        <w:t xml:space="preserve">.</w:t>
      </w:r>
    </w:p>
    <w:p w14:paraId="6577EA62">
      <w:pPr>
        <w:spacing/>
        <w:jc w:val="left"/>
        <w:rPr>
          <w:rFonts w:ascii="Arial Narrow" w:hAnsi="Arial Narrow"/>
          <w:b/>
          <w:caps/>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8"/>
      </w:tblGrid>
      <w:tr>
        <w:trPr>
          <w:trHeight w:val="416" w:hRule="atLeast"/>
        </w:trPr>
        <w:tc>
          <w:tcPr>
            <w:tcW w:type="dxa" w:w="9628"/>
            <w:tcBorders/>
            <w:shd w:fill="005063" w:color="auto" w:val="clear"/>
            <w:vAlign w:val="center"/>
          </w:tcPr>
          <w:p>
            <w:pPr>
              <w:spacing/>
              <w:jc w:val="left"/>
              <w:rPr>
                <w:rFonts w:ascii="Arial Narrow" w:hAnsi="Arial Narrow"/>
                <w:b/>
                <w:caps/>
                <w:color w:val="FFFFFF"/>
                <w:sz w:val="20"/>
                <w:szCs w:val="16"/>
              </w:rPr>
            </w:pPr>
            <w:r>
              <w:rPr>
                <w:rFonts w:ascii="Arial Narrow" w:hAnsi="Arial Narrow"/>
                <w:b/>
                <w:caps/>
                <w:color w:val="FFFFFF"/>
                <w:sz w:val="20"/>
                <w:szCs w:val="16"/>
              </w:rPr>
              <w:t xml:space="preserve">10</w:t>
            </w:r>
            <w:r>
              <w:rPr>
                <w:rFonts w:ascii="Arial Narrow" w:hAnsi="Arial Narrow"/>
                <w:b/>
                <w:caps/>
                <w:color w:val="FFFFFF"/>
                <w:sz w:val="20"/>
                <w:szCs w:val="16"/>
              </w:rPr>
              <w:t xml:space="preserve">. </w:t>
            </w:r>
            <w:r>
              <w:rPr>
                <w:rFonts w:ascii="Arial Narrow" w:hAnsi="Arial Narrow"/>
                <w:b/>
                <w:caps/>
                <w:color w:val="FFFFFF"/>
                <w:sz w:val="20"/>
                <w:szCs w:val="16"/>
              </w:rPr>
              <w:t xml:space="preserve">PREDAI</w:t>
            </w:r>
          </w:p>
        </w:tc>
      </w:tr>
    </w:tbl>
    <w:p w14:paraId="2989C262">
      <w:pPr>
        <w:spacing/>
        <w:jc w:val="left"/>
        <w:rPr>
          <w:rFonts w:ascii="Arial Narrow" w:hAnsi="Arial Narrow"/>
          <w:b/>
          <w:caps/>
        </w:rPr>
      </w:pPr>
    </w:p>
    <w:p w14:paraId="730AA97B">
      <w:pPr>
        <w:pStyle w:val="Bodytext1"/>
        <w:numPr>
          <w:ilvl w:val="0"/>
          <w:numId w:val="28"/>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Standartizuoto darbų kiekių žiniaraščio SDKŽ šablonas (.zip formatas</w:t>
      </w:r>
      <w:r>
        <w:rPr>
          <w:rFonts w:ascii="Arial Narrow" w:hAnsi="Arial Narrow"/>
          <w:sz w:val="20"/>
          <w:szCs w:val="20"/>
        </w:rPr>
        <w:t xml:space="preserve">)</w:t>
      </w:r>
    </w:p>
    <w:p w14:paraId="07A515B6">
      <w:pPr>
        <w:pStyle w:val="Bodytext1"/>
        <w:numPr>
          <w:ilvl w:val="0"/>
          <w:numId w:val="28"/>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color w:val="000000"/>
          <w:sz w:val="20"/>
          <w:szCs w:val="20"/>
        </w:rPr>
        <w:t xml:space="preserve">Kadastriniai matavimai (.zip formatas) (pateikiama pasirašius paslaugų sutartį)</w:t>
      </w:r>
    </w:p>
    <w:p w14:paraId="7B14B743">
      <w:pPr>
        <w:pStyle w:val="Bodytext1"/>
        <w:numPr>
          <w:ilvl w:val="0"/>
          <w:numId w:val="28"/>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Dangos konstrukcijos sluoksnių storių matavimo aktas</w:t>
      </w:r>
      <w:r>
        <w:rPr>
          <w:rFonts w:ascii="Arial Narrow" w:hAnsi="Arial Narrow"/>
          <w:sz w:val="20"/>
          <w:szCs w:val="20"/>
        </w:rPr>
        <w:t xml:space="preserve"> </w:t>
      </w:r>
      <w:r>
        <w:rPr>
          <w:rFonts w:ascii="Arial Narrow" w:hAnsi="Arial Narrow"/>
          <w:sz w:val="20"/>
          <w:szCs w:val="20"/>
        </w:rPr>
        <w:t xml:space="preserve">(*.xlsx formatu)</w:t>
      </w:r>
    </w:p>
    <w:p w14:paraId="64C76E9D">
      <w:pPr>
        <w:pStyle w:val="Bodytext1"/>
        <w:numPr>
          <w:ilvl w:val="0"/>
          <w:numId w:val="28"/>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D</w:t>
      </w:r>
      <w:r>
        <w:rPr>
          <w:rFonts w:ascii="Arial Narrow" w:hAnsi="Arial Narrow"/>
          <w:sz w:val="20"/>
          <w:szCs w:val="20"/>
        </w:rPr>
        <w:t xml:space="preserve">angos konstrukcijos sluoksnių storių diagrama</w:t>
      </w:r>
      <w:r>
        <w:rPr>
          <w:rFonts w:ascii="Arial Narrow" w:hAnsi="Arial Narrow"/>
          <w:sz w:val="20"/>
          <w:szCs w:val="20"/>
        </w:rPr>
        <w:t xml:space="preserve"> (*.xlsx formatu)</w:t>
      </w:r>
    </w:p>
    <w:p w14:paraId="51EB5ED1">
      <w:pPr>
        <w:pStyle w:val="Bodytext1"/>
        <w:numPr>
          <w:ilvl w:val="0"/>
          <w:numId w:val="28"/>
        </w:numPr>
        <w:shd w:val="clear" w:color="auto" w:fill="auto"/>
        <w:tabs>
          <w:tab w:val="left" w:pos="284"/>
        </w:tabs>
        <w:spacing w:before="0" w:after="0" w:line="240" w:lineRule="auto"/>
        <w:ind w:right="55" w:hanging="720"/>
        <w:jc w:val="both"/>
        <w:rPr>
          <w:rFonts w:ascii="Arial Narrow" w:hAnsi="Arial Narrow"/>
          <w:sz w:val="20"/>
          <w:szCs w:val="20"/>
        </w:rPr>
      </w:pPr>
      <w:r>
        <w:rPr>
          <w:rFonts w:ascii="Arial Narrow" w:hAnsi="Arial Narrow"/>
          <w:sz w:val="20"/>
          <w:szCs w:val="20"/>
        </w:rPr>
        <w:t xml:space="preserve">Dangos konstrukcijos gręžinių kernų nuotraukos</w:t>
      </w:r>
      <w:r>
        <w:rPr>
          <w:rFonts w:ascii="Arial Narrow" w:hAnsi="Arial Narrow"/>
          <w:sz w:val="20"/>
          <w:szCs w:val="20"/>
        </w:rPr>
        <w:t xml:space="preserve"> </w:t>
      </w:r>
      <w:r>
        <w:rPr>
          <w:rFonts w:ascii="Arial Narrow" w:hAnsi="Arial Narrow"/>
          <w:sz w:val="20"/>
          <w:szCs w:val="20"/>
        </w:rPr>
        <w:t xml:space="preserve">(.zip formatas)</w:t>
      </w:r>
    </w:p>
    <w:p w14:paraId="3955C33F">
      <w:pPr>
        <w:pStyle w:val="Bodytext1"/>
        <w:shd w:val="clear" w:color="auto" w:fill="auto"/>
        <w:tabs>
          <w:tab w:val="left" w:pos="284"/>
        </w:tabs>
        <w:spacing w:before="0" w:after="0" w:line="240" w:lineRule="auto"/>
        <w:ind w:right="55" w:firstLine="0"/>
        <w:jc w:val="both"/>
        <w:rPr>
          <w:rFonts w:ascii="Arial Narrow" w:hAnsi="Arial Narrow"/>
          <w:sz w:val="20"/>
          <w:szCs w:val="20"/>
        </w:rPr>
      </w:pPr>
    </w:p>
    <w:p w14:paraId="507177C0">
      <w:pPr>
        <w:pStyle w:val="Bodytext1"/>
        <w:shd w:val="clear" w:color="auto" w:fill="auto"/>
        <w:tabs>
          <w:tab w:val="left" w:pos="284"/>
        </w:tabs>
        <w:spacing w:before="0" w:after="0" w:line="240" w:lineRule="auto"/>
        <w:ind w:right="55" w:firstLine="0"/>
        <w:jc w:val="both"/>
        <w:rPr>
          <w:rFonts w:ascii="Arial Narrow" w:hAnsi="Arial Narrow"/>
          <w:sz w:val="20"/>
          <w:szCs w:val="20"/>
        </w:rPr>
      </w:pPr>
    </w:p>
    <w:p w14:paraId="15E59BAA">
      <w:pPr>
        <w:pStyle w:val="Bodytext1"/>
        <w:shd w:val="clear" w:color="auto" w:fill="auto"/>
        <w:tabs>
          <w:tab w:val="left" w:pos="0"/>
        </w:tabs>
        <w:spacing w:before="0" w:after="0" w:line="240" w:lineRule="auto"/>
        <w:ind w:right="55" w:firstLine="0"/>
        <w:jc w:val="both"/>
        <w:rPr>
          <w:rFonts w:ascii="Arial Narrow" w:hAnsi="Arial Narrow"/>
          <w:sz w:val="20"/>
          <w:szCs w:val="20"/>
        </w:rPr>
      </w:pPr>
      <w:r>
        <w:rPr>
          <w:rFonts w:ascii="Arial Narrow" w:hAnsi="Arial Narrow"/>
          <w:b/>
          <w:bCs/>
          <w:sz w:val="20"/>
          <w:szCs w:val="20"/>
        </w:rPr>
        <w:t xml:space="preserve">Pastab</w:t>
      </w:r>
      <w:r>
        <w:rPr>
          <w:rFonts w:ascii="Arial Narrow" w:hAnsi="Arial Narrow"/>
          <w:b/>
          <w:bCs/>
          <w:sz w:val="20"/>
          <w:szCs w:val="20"/>
        </w:rPr>
        <w:t xml:space="preserve">os</w:t>
      </w:r>
      <w:r>
        <w:rPr>
          <w:rFonts w:ascii="Arial Narrow" w:hAnsi="Arial Narrow"/>
          <w:sz w:val="20"/>
          <w:szCs w:val="20"/>
        </w:rPr>
        <w:t xml:space="preserve">:</w:t>
      </w:r>
      <w:r>
        <w:rPr>
          <w:rFonts w:ascii="Arial Narrow" w:hAnsi="Arial Narrow"/>
          <w:sz w:val="20"/>
          <w:szCs w:val="20"/>
        </w:rPr>
        <w:t xml:space="preserve"> </w:t>
      </w:r>
    </w:p>
    <w:p w14:paraId="378AC7ED">
      <w:pPr>
        <w:pStyle w:val="Bodytext1"/>
        <w:numPr>
          <w:ilvl w:val="3"/>
          <w:numId w:val="23"/>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color w:val="000000"/>
          <w:sz w:val="20"/>
          <w:szCs w:val="20"/>
        </w:rPr>
        <w:t xml:space="preserve">Atkreipiame dėmesį, kad ne visuomet AB „Via Lietuva“ turimi kelių kadastrinės bylos duomenys turi aktualią versija, todėl, esant poreikiui, rekomenduojame aktualius kadastro duomenis pasitikslinti Registro centro duomenų bazėje</w:t>
      </w:r>
      <w:r>
        <w:rPr>
          <w:rFonts w:ascii="Arial Narrow" w:hAnsi="Arial Narrow"/>
          <w:color w:val="000000"/>
          <w:sz w:val="20"/>
          <w:szCs w:val="20"/>
        </w:rPr>
        <w:t xml:space="preserve">.</w:t>
      </w:r>
    </w:p>
    <w:p w14:paraId="7F4EB953">
      <w:pPr>
        <w:pStyle w:val="Bodytext1"/>
        <w:numPr>
          <w:ilvl w:val="3"/>
          <w:numId w:val="23"/>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Pateikti dangos tyrimų duomenys yra tik informacinio pobūdžio.</w:t>
      </w:r>
    </w:p>
    <w:p w14:paraId="5C71D42D">
      <w:pPr>
        <w:pStyle w:val="Bodytext1"/>
        <w:shd w:val="clear" w:color="auto" w:fill="auto"/>
        <w:tabs>
          <w:tab w:val="left" w:pos="284"/>
        </w:tabs>
        <w:spacing w:before="0" w:after="0" w:line="240" w:lineRule="auto"/>
        <w:ind w:right="55" w:firstLine="0"/>
        <w:jc w:val="both"/>
        <w:rPr>
          <w:rFonts w:ascii="Arial Narrow" w:hAnsi="Arial Narrow"/>
          <w:sz w:val="20"/>
          <w:szCs w:val="20"/>
        </w:rPr>
      </w:pPr>
    </w:p>
    <w:p w14:paraId="68BCB468">
      <w:pPr>
        <w:pStyle w:val="Bodytext1"/>
        <w:shd w:val="clear" w:color="auto" w:fill="auto"/>
        <w:tabs>
          <w:tab w:val="left" w:pos="0"/>
        </w:tabs>
        <w:spacing w:before="0" w:after="0" w:line="240" w:lineRule="auto"/>
        <w:ind w:right="55" w:firstLine="0"/>
        <w:jc w:val="both"/>
        <w:rPr>
          <w:rFonts w:ascii="Arial Narrow" w:hAnsi="Arial Narrow"/>
          <w:sz w:val="20"/>
          <w:szCs w:val="20"/>
        </w:rPr>
      </w:pPr>
    </w:p>
    <w:p w14:paraId="26B92FB3">
      <w:pPr>
        <w:pStyle w:val="Bodytext1"/>
        <w:shd w:val="clear" w:color="auto" w:fill="auto"/>
        <w:tabs>
          <w:tab w:val="left" w:pos="0"/>
        </w:tabs>
        <w:spacing w:before="0" w:after="0" w:line="240" w:lineRule="auto"/>
        <w:ind w:right="55" w:firstLine="0"/>
        <w:jc w:val="both"/>
        <w:rPr>
          <w:rFonts w:ascii="Arial Narrow" w:hAnsi="Arial Narrow"/>
          <w:sz w:val="20"/>
          <w:szCs w:val="20"/>
        </w:rPr>
      </w:pPr>
    </w:p>
    <w:sectPr>
      <w:headerReference w:type="first" r:id="rId3"/>
      <w:type w:val="nextPage"/>
      <w:pgSz w:w="11906" w:h="16838"/>
      <w:pgMar w:top="1701" w:right="567" w:bottom="1135" w:left="1701" w:header="567" w:footer="567" w:gutter="0"/>
      <w:pgBorders/>
      <w:pgNumType w:fmt="decimal"/>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0"/>
    <w:family w:val="roman"/>
    <w:pitch w:val="variable"/>
    <w:sig w:usb0="E0002EFF" w:usb1="C000785B" w:usb2="00000009" w:usb3="00000000" w:csb0="000001FF" w:csb1="00000000"/>
  </w:font>
  <w:font w:name="Symbol">
    <w:charset w:val="2"/>
    <w:family w:val="roman"/>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Calibri">
    <w:charset w:val="186"/>
    <w:family w:val="swiss"/>
    <w:pitch w:val="variable"/>
    <w:sig w:usb0="E4002EFF" w:usb1="C200247B" w:usb2="00000009" w:usb3="00000000" w:csb0="000001FF" w:csb1="00000000"/>
  </w:font>
  <w:font w:name="Arial Narrow">
    <w:charset w:val="186"/>
    <w:family w:val="swiss"/>
    <w:pitch w:val="variable"/>
    <w:sig w:usb0="00000287" w:usb1="00000800" w:usb2="00000000" w:usb3="00000000" w:csb0="0000009F" w:csb1="00000000"/>
  </w:font>
  <w:font w:name="Calibri Light">
    <w:charset w:val="186"/>
    <w:family w:val="swiss"/>
    <w:pitch w:val="variable"/>
    <w:sig w:usb0="E4002EFF" w:usb1="C200247B" w:usb2="00000009" w:usb3="00000000" w:csb0="000001FF" w:csb1="00000000"/>
  </w:font>
  <w:font w:name="Arial Nova">
    <w:charset w:val="0"/>
    <w:family w:val="swiss"/>
    <w:pitch w:val="variable"/>
    <w:sig w:usb0="0000028F" w:usb1="00000002" w:usb2="00000000" w:usb3="00000000" w:csb0="0000019F" w:csb1="00000000"/>
  </w:font>
</w:fonts>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Style w:val="TableGrid"/>
      <w:tblW w:w="96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57"/>
      <w:gridCol w:w="5561"/>
      <w:gridCol w:w="1310"/>
    </w:tblGrid>
    <w:tr>
      <w:trPr/>
      <w:tc>
        <w:tcPr>
          <w:tcW w:type="dxa" w:w="1838"/>
          <w:vMerge w:val="restart"/>
          <w:tcBorders/>
          <w:vAlign w:val="center"/>
        </w:tcPr>
        <w:p>
          <w:pPr>
            <w:pStyle w:val="Header"/>
            <w:spacing/>
            <w:rPr/>
          </w:pPr>
          <w:r>
            <w:rPr>
              <w:noProof/>
            </w:rPr>
            <w:drawing>
              <wp:inline>
                <wp:extent cx="1613640" cy="206023"/>
                <wp:effectExtent xmlns:wp="http://schemas.openxmlformats.org/drawingml/2006/wordprocessingDrawing" l="0" t="0" r="0" b="0"/>
                <wp:docPr id="3" descr="Via Lietuva Logo - Skaidrus Juodas.png" name="officeArt object"/>
                <a:graphic>
                  <a:graphicData uri="http://schemas.openxmlformats.org/drawingml/2006/picture">
                    <pic:pic>
                      <pic:nvPicPr>
                        <pic:cNvPr id="0" name="" descr=""/>
                        <pic:cNvPicPr>
                          <a:picLocks noChangeAspect="1" noChangeArrowheads="1"/>
                        </pic:cNvPicPr>
                      </pic:nvPicPr>
                      <pic:blipFill>
                        <a:blip r:embed="rId4"/>
                        <a:srcRect/>
                        <a:stretch>
                          <a:fillRect/>
                        </a:stretch>
                      </pic:blipFill>
                      <pic:spPr bwMode="auto">
                        <a:xfrm>
                          <a:off x="0" y="0"/>
                          <a:ext cx="1613640" cy="206023"/>
                        </a:xfrm>
                        <a:prstGeom prst="rect">
                          <a:avLst/>
                        </a:prstGeom>
                        <a:effectLst xmlns:a="http://schemas.openxmlformats.org/drawingml/2006/main"/>
                      </pic:spPr>
                    </pic:pic>
                  </a:graphicData>
                </a:graphic>
              </wp:inline>
            </w:drawing>
          </w:r>
        </w:p>
      </w:tc>
      <w:tc>
        <w:tcPr>
          <w:tcW w:type="dxa" w:w="6379"/>
          <w:vMerge w:val="restart"/>
          <w:tcBorders/>
          <w:vAlign w:val="center"/>
        </w:tcPr>
        <w:p>
          <w:pPr>
            <w:pStyle w:val="Header"/>
            <w:spacing/>
            <w:jc w:val="center"/>
            <w:rPr>
              <w:b/>
              <w:bCs/>
              <w:sz w:val="24"/>
              <w:szCs w:val="28"/>
            </w:rPr>
          </w:pPr>
          <w:r>
            <w:rPr>
              <w:b/>
              <w:caps/>
              <w:sz w:val="24"/>
              <w:szCs w:val="28"/>
            </w:rPr>
            <w:t xml:space="preserve">TECHNINĖ SPECIFIKACIJA</w:t>
          </w:r>
          <w:r>
            <w:rPr>
              <w:b/>
              <w:caps/>
              <w:sz w:val="24"/>
              <w:szCs w:val="28"/>
            </w:rPr>
            <w:t xml:space="preserve"> (Techninė užduotis)</w:t>
          </w:r>
        </w:p>
      </w:tc>
      <w:tc>
        <w:tcPr>
          <w:tcW w:type="dxa" w:w="1411"/>
          <w:tcBorders/>
          <w:vAlign w:val="center"/>
        </w:tcPr>
        <w:p>
          <w:pPr>
            <w:pStyle w:val="Header"/>
            <w:spacing/>
            <w:rPr>
              <w:rFonts w:cs="Calibri"/>
              <w:color w:val="000000"/>
              <w:szCs w:val="20"/>
            </w:rPr>
          </w:pPr>
        </w:p>
      </w:tc>
    </w:tr>
    <w:tr>
      <w:trPr/>
      <w:tc>
        <w:tcPr>
          <w:tcW w:type="dxa" w:w="1838"/>
          <w:vMerge w:val="continue"/>
          <w:tcBorders/>
        </w:tcPr>
        <w:p>
          <w:pPr>
            <w:pStyle w:val="Header"/>
            <w:spacing/>
            <w:rPr/>
          </w:pPr>
        </w:p>
      </w:tc>
      <w:tc>
        <w:tcPr>
          <w:tcW w:type="dxa" w:w="6379"/>
          <w:vMerge w:val="continue"/>
          <w:tcBorders/>
        </w:tcPr>
        <w:p>
          <w:pPr>
            <w:pStyle w:val="Header"/>
            <w:spacing/>
            <w:rPr/>
          </w:pPr>
        </w:p>
      </w:tc>
      <w:tc>
        <w:tcPr>
          <w:tcW w:type="dxa" w:w="1411"/>
          <w:tcBorders/>
        </w:tcPr>
        <w:p>
          <w:pPr>
            <w:pStyle w:val="Header"/>
            <w:spacing/>
            <w:rPr/>
          </w:pPr>
          <w:r>
            <w:rPr/>
            <w:t xml:space="preserve">Puslapis </w:t>
          </w:r>
          <w:r>
            <w:rPr>
              <w:b/>
              <w:bCs/>
            </w:rPr>
            <w:fldChar w:fldCharType="begin"/>
          </w:r>
          <w:r>
            <w:rPr>
              <w:b/>
              <w:bCs/>
            </w:rPr>
            <w:instrText xml:space="preserve">PAGE  \* Arabic  \* MERGEFORMAT</w:instrText>
          </w:r>
          <w:r>
            <w:rPr>
              <w:b/>
              <w:bCs/>
            </w:rPr>
            <w:fldChar w:fldCharType="separate"/>
          </w:r>
          <w:r>
            <w:rPr>
              <w:b/>
              <w:bCs/>
            </w:rPr>
            <w:t xml:space="preserve">1</w:t>
          </w:r>
          <w:r>
            <w:rPr>
              <w:b/>
              <w:bCs/>
            </w:rPr>
            <w:fldChar w:fldCharType="end"/>
          </w:r>
          <w:r>
            <w:rPr/>
            <w:t xml:space="preserve"> iš </w:t>
          </w:r>
          <w:r>
            <w:rPr>
              <w:b/>
              <w:bCs/>
            </w:rPr>
            <w:fldChar w:fldCharType="begin"/>
          </w:r>
          <w:r>
            <w:rPr>
              <w:b/>
              <w:bCs/>
            </w:rPr>
            <w:instrText xml:space="preserve">NUMPAGES  \* Arabic  \* MERGEFORMAT</w:instrText>
          </w:r>
          <w:r>
            <w:rPr>
              <w:b/>
              <w:bCs/>
            </w:rPr>
            <w:fldChar w:fldCharType="separate"/>
          </w:r>
          <w:r>
            <w:rPr>
              <w:b/>
              <w:bCs/>
            </w:rPr>
            <w:t xml:space="preserve">8</w:t>
          </w:r>
          <w:r>
            <w:rPr>
              <w:b/>
              <w:bCs/>
            </w:rPr>
            <w:fldChar w:fldCharType="end"/>
          </w:r>
        </w:p>
      </w:tc>
    </w:tr>
    <w:tr>
      <w:trPr/>
      <w:tc>
        <w:tcPr>
          <w:tcW w:type="dxa" w:w="1838"/>
          <w:vMerge w:val="continue"/>
          <w:tcBorders/>
        </w:tcPr>
        <w:p>
          <w:pPr>
            <w:pStyle w:val="Header"/>
            <w:spacing/>
            <w:rPr/>
          </w:pPr>
        </w:p>
      </w:tc>
      <w:tc>
        <w:tcPr>
          <w:tcW w:type="dxa" w:w="6379"/>
          <w:vMerge w:val="continue"/>
          <w:tcBorders/>
        </w:tcPr>
        <w:p>
          <w:pPr>
            <w:pStyle w:val="Header"/>
            <w:spacing/>
            <w:rPr/>
          </w:pPr>
        </w:p>
      </w:tc>
      <w:tc>
        <w:tcPr>
          <w:tcW w:type="dxa" w:w="1411"/>
          <w:tcBorders/>
          <w:vAlign w:val="center"/>
        </w:tcPr>
        <w:p>
          <w:pPr>
            <w:pStyle w:val="Header"/>
            <w:spacing/>
            <w:rPr/>
          </w:pPr>
        </w:p>
      </w:tc>
    </w:tr>
  </w:tbl>
  <w:p w14:paraId="77D00CE6">
    <w:pPr>
      <w:pStyle w:val="Header"/>
      <w:spacin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44DF0"/>
    <w:lvl w:ilvl="0">
      <w:start w:val="2"/>
      <w:numFmt w:val="decimal"/>
      <w:suff w:val="tab"/>
      <w:lvlText w:val="%1."/>
      <w:pPr>
        <w:spacing/>
        <w:ind w:left="360" w:hanging="360"/>
      </w:pPr>
      <w:rPr>
        <w:rFonts w:hint="default"/>
        <w:b/>
      </w:rPr>
    </w:lvl>
    <w:lvl w:ilvl="1">
      <w:start w:val="1"/>
      <w:numFmt w:val="decimal"/>
      <w:suff w:val="tab"/>
      <w:lvlText w:val="%1.%2."/>
      <w:pPr>
        <w:spacing/>
        <w:ind w:left="927" w:hanging="360"/>
      </w:pPr>
      <w:rPr>
        <w:rFonts w:hint="default"/>
        <w:b w:val="0"/>
        <w:bCs/>
        <w:color w:val="auto"/>
      </w:rPr>
    </w:lvl>
    <w:lvl w:ilvl="2">
      <w:start w:val="1"/>
      <w:numFmt w:val="decimal"/>
      <w:suff w:val="tab"/>
      <w:lvlText w:val="%1.%2.%3."/>
      <w:pPr>
        <w:spacing/>
        <w:ind w:left="1854" w:hanging="720"/>
      </w:pPr>
      <w:rPr>
        <w:rFonts w:hint="default"/>
        <w:b w:val="0"/>
        <w:bCs/>
        <w:color w:val="auto"/>
      </w:rPr>
    </w:lvl>
    <w:lvl w:ilvl="3">
      <w:start w:val="1"/>
      <w:numFmt w:val="decimal"/>
      <w:suff w:val="tab"/>
      <w:lvlText w:val="%1.%2.%3.%4."/>
      <w:pPr>
        <w:spacing/>
        <w:ind w:left="2421" w:hanging="720"/>
      </w:pPr>
      <w:rPr>
        <w:rFonts w:hint="default"/>
        <w:b w:val="0"/>
        <w:bCs/>
      </w:rPr>
    </w:lvl>
    <w:lvl w:ilvl="4">
      <w:start w:val="1"/>
      <w:numFmt w:val="decimal"/>
      <w:suff w:val="tab"/>
      <w:lvlText w:val="%1.%2.%3.%4.%5."/>
      <w:pPr>
        <w:spacing/>
        <w:ind w:left="3348" w:hanging="1080"/>
      </w:pPr>
      <w:rPr>
        <w:rFonts w:hint="default"/>
        <w:b/>
      </w:rPr>
    </w:lvl>
    <w:lvl w:ilvl="5">
      <w:start w:val="1"/>
      <w:numFmt w:val="decimal"/>
      <w:suff w:val="tab"/>
      <w:lvlText w:val="%1.%2.%3.%4.%5.%6."/>
      <w:pPr>
        <w:spacing/>
        <w:ind w:left="3915" w:hanging="1080"/>
      </w:pPr>
      <w:rPr>
        <w:rFonts w:hint="default"/>
        <w:b/>
      </w:rPr>
    </w:lvl>
    <w:lvl w:ilvl="6">
      <w:start w:val="1"/>
      <w:numFmt w:val="decimal"/>
      <w:suff w:val="tab"/>
      <w:lvlText w:val="%1.%2.%3.%4.%5.%6.%7."/>
      <w:pPr>
        <w:spacing/>
        <w:ind w:left="4842" w:hanging="1440"/>
      </w:pPr>
      <w:rPr>
        <w:rFonts w:hint="default"/>
        <w:b/>
      </w:rPr>
    </w:lvl>
    <w:lvl w:ilvl="7">
      <w:start w:val="1"/>
      <w:numFmt w:val="decimal"/>
      <w:suff w:val="tab"/>
      <w:lvlText w:val="%1.%2.%3.%4.%5.%6.%7.%8."/>
      <w:pPr>
        <w:spacing/>
        <w:ind w:left="5409" w:hanging="1440"/>
      </w:pPr>
      <w:rPr>
        <w:rFonts w:hint="default"/>
        <w:b/>
      </w:rPr>
    </w:lvl>
    <w:lvl w:ilvl="8">
      <w:start w:val="1"/>
      <w:numFmt w:val="decimal"/>
      <w:suff w:val="tab"/>
      <w:lvlText w:val="%1.%2.%3.%4.%5.%6.%7.%8.%9."/>
      <w:pPr>
        <w:spacing/>
        <w:ind w:left="6336" w:hanging="1800"/>
      </w:pPr>
      <w:rPr>
        <w:rFonts w:hint="default"/>
        <w:b/>
      </w:rPr>
    </w:lvl>
  </w:abstractNum>
  <w:abstractNum w:abstractNumId="1">
    <w:nsid w:val="0681421F"/>
    <w:lvl w:ilvl="0">
      <w:start w:val="2"/>
      <w:numFmt w:val="decimal"/>
      <w:suff w:val="tab"/>
      <w:lvlText w:val="%1."/>
      <w:pPr>
        <w:spacing/>
        <w:ind w:left="360" w:hanging="360"/>
      </w:pPr>
      <w:rPr>
        <w:rFonts w:hint="default"/>
      </w:rPr>
    </w:lvl>
    <w:lvl w:ilvl="1">
      <w:start w:val="1"/>
      <w:numFmt w:val="decimal"/>
      <w:suff w:val="tab"/>
      <w:lvlText w:val="%1.%2."/>
      <w:pPr>
        <w:spacing/>
        <w:ind w:left="360" w:hanging="36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720" w:hanging="72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080" w:hanging="108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440" w:hanging="1440"/>
      </w:pPr>
      <w:rPr>
        <w:rFonts w:hint="default"/>
      </w:rPr>
    </w:lvl>
  </w:abstractNum>
  <w:abstractNum w:abstractNumId="2">
    <w:nsid w:val="07D1175A"/>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3">
    <w:nsid w:val="08BC438B"/>
    <w:lvl w:ilvl="0">
      <w:start w:val="1"/>
      <w:numFmt w:val="decimal"/>
      <w:suff w:val="tab"/>
      <w:lvlText w:val="%1)"/>
      <w:pPr>
        <w:spacing/>
        <w:ind w:left="720" w:hanging="360"/>
      </w:pPr>
      <w:rPr>
        <w:rFonts w:hint="default"/>
        <w:color w:val="auto"/>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
    <w:nsid w:val="096D4906"/>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5">
    <w:nsid w:val="10622CB0"/>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6">
    <w:nsid w:val="1660069F"/>
    <w:lvl w:ilvl="0">
      <w:start w:val="3"/>
      <w:numFmt w:val="decimal"/>
      <w:suff w:val="tab"/>
      <w:lvlText w:val="%1."/>
      <w:pPr>
        <w:tabs>
          <w:tab w:val="num" w:pos="720"/>
        </w:tabs>
        <w:spacing/>
        <w:ind w:left="720" w:hanging="360"/>
      </w:pPr>
      <w:rPr/>
    </w:lvl>
    <w:lvl w:ilvl="1">
      <w:start w:val="1"/>
      <w:numFmt w:val="decimal"/>
      <w:suff w:val="tab"/>
      <w:lvlText w:val="%2."/>
      <w:pPr>
        <w:tabs>
          <w:tab w:val="num" w:pos="1440"/>
        </w:tabs>
        <w:spacing/>
        <w:ind w:left="1440" w:hanging="360"/>
      </w:pPr>
      <w:rPr/>
    </w:lvl>
    <w:lvl w:ilvl="2">
      <w:start w:val="1"/>
      <w:numFmt w:val="decimal"/>
      <w:suff w:val="tab"/>
      <w:lvlText w:val="%3."/>
      <w:pPr>
        <w:tabs>
          <w:tab w:val="num" w:pos="2160"/>
        </w:tabs>
        <w:spacing/>
        <w:ind w:left="2160" w:hanging="360"/>
      </w:pPr>
      <w:rPr/>
    </w:lvl>
    <w:lvl w:ilvl="3">
      <w:start w:val="1"/>
      <w:numFmt w:val="decimal"/>
      <w:suff w:val="tab"/>
      <w:lvlText w:val="%4."/>
      <w:pPr>
        <w:tabs>
          <w:tab w:val="num" w:pos="2880"/>
        </w:tabs>
        <w:spacing/>
        <w:ind w:left="2880" w:hanging="360"/>
      </w:pPr>
      <w:rPr/>
    </w:lvl>
    <w:lvl w:ilvl="4">
      <w:start w:val="1"/>
      <w:numFmt w:val="decimal"/>
      <w:suff w:val="tab"/>
      <w:lvlText w:val="%5."/>
      <w:pPr>
        <w:tabs>
          <w:tab w:val="num" w:pos="3600"/>
        </w:tabs>
        <w:spacing/>
        <w:ind w:left="3600" w:hanging="360"/>
      </w:pPr>
      <w:rPr/>
    </w:lvl>
    <w:lvl w:ilvl="5">
      <w:start w:val="1"/>
      <w:numFmt w:val="decimal"/>
      <w:suff w:val="tab"/>
      <w:lvlText w:val="%6."/>
      <w:pPr>
        <w:tabs>
          <w:tab w:val="num" w:pos="4320"/>
        </w:tabs>
        <w:spacing/>
        <w:ind w:left="4320" w:hanging="360"/>
      </w:pPr>
      <w:rPr/>
    </w:lvl>
    <w:lvl w:ilvl="6">
      <w:start w:val="1"/>
      <w:numFmt w:val="decimal"/>
      <w:suff w:val="tab"/>
      <w:lvlText w:val="%7."/>
      <w:pPr>
        <w:tabs>
          <w:tab w:val="num" w:pos="5040"/>
        </w:tabs>
        <w:spacing/>
        <w:ind w:left="5040" w:hanging="360"/>
      </w:pPr>
      <w:rPr/>
    </w:lvl>
    <w:lvl w:ilvl="7">
      <w:start w:val="1"/>
      <w:numFmt w:val="decimal"/>
      <w:suff w:val="tab"/>
      <w:lvlText w:val="%8."/>
      <w:pPr>
        <w:tabs>
          <w:tab w:val="num" w:pos="5760"/>
        </w:tabs>
        <w:spacing/>
        <w:ind w:left="5760" w:hanging="360"/>
      </w:pPr>
      <w:rPr/>
    </w:lvl>
    <w:lvl w:ilvl="8">
      <w:start w:val="1"/>
      <w:numFmt w:val="decimal"/>
      <w:suff w:val="tab"/>
      <w:lvlText w:val="%9."/>
      <w:pPr>
        <w:tabs>
          <w:tab w:val="num" w:pos="6480"/>
        </w:tabs>
        <w:spacing/>
        <w:ind w:left="6480" w:hanging="360"/>
      </w:pPr>
      <w:rPr/>
    </w:lvl>
  </w:abstractNum>
  <w:abstractNum w:abstractNumId="7">
    <w:nsid w:val="1DA62399"/>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8">
    <w:nsid w:val="254C03EF"/>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9">
    <w:nsid w:val="26694AB3"/>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0">
    <w:nsid w:val="277D18AE"/>
    <w:lvl w:ilvl="0">
      <w:start w:val="3"/>
      <w:numFmt w:val="decimal"/>
      <w:suff w:val="tab"/>
      <w:lvlText w:val="%1."/>
      <w:pPr>
        <w:spacing/>
        <w:ind w:left="360" w:hanging="360"/>
      </w:pPr>
      <w:rPr>
        <w:rFonts w:hint="default"/>
        <w:b/>
      </w:rPr>
    </w:lvl>
    <w:lvl w:ilvl="1">
      <w:start w:val="1"/>
      <w:numFmt w:val="decimal"/>
      <w:suff w:val="tab"/>
      <w:lvlText w:val="%1.%2."/>
      <w:pPr>
        <w:spacing/>
        <w:ind w:left="1287" w:hanging="360"/>
      </w:pPr>
      <w:rPr>
        <w:rFonts w:hint="default"/>
        <w:b/>
        <w:bCs w:val="0"/>
      </w:rPr>
    </w:lvl>
    <w:lvl w:ilvl="2">
      <w:start w:val="1"/>
      <w:numFmt w:val="decimal"/>
      <w:suff w:val="tab"/>
      <w:lvlText w:val="%1.%2.%3."/>
      <w:pPr>
        <w:spacing/>
        <w:ind w:left="2574" w:hanging="720"/>
      </w:pPr>
      <w:rPr>
        <w:rFonts w:hint="default"/>
        <w:b w:val="0"/>
        <w:bCs w:val="0"/>
      </w:rPr>
    </w:lvl>
    <w:lvl w:ilvl="3">
      <w:start w:val="1"/>
      <w:numFmt w:val="decimal"/>
      <w:suff w:val="tab"/>
      <w:lvlText w:val="%1.%2.%3.%4."/>
      <w:pPr>
        <w:spacing/>
        <w:ind w:left="3501" w:hanging="720"/>
      </w:pPr>
      <w:rPr>
        <w:rFonts w:hint="default"/>
        <w:b/>
      </w:rPr>
    </w:lvl>
    <w:lvl w:ilvl="4">
      <w:start w:val="1"/>
      <w:numFmt w:val="decimal"/>
      <w:suff w:val="tab"/>
      <w:lvlText w:val="%1.%2.%3.%4.%5."/>
      <w:pPr>
        <w:spacing/>
        <w:ind w:left="4428" w:hanging="720"/>
      </w:pPr>
      <w:rPr>
        <w:rFonts w:hint="default"/>
        <w:b/>
      </w:rPr>
    </w:lvl>
    <w:lvl w:ilvl="5">
      <w:start w:val="1"/>
      <w:numFmt w:val="decimal"/>
      <w:suff w:val="tab"/>
      <w:lvlText w:val="%1.%2.%3.%4.%5.%6."/>
      <w:pPr>
        <w:spacing/>
        <w:ind w:left="5715" w:hanging="1080"/>
      </w:pPr>
      <w:rPr>
        <w:rFonts w:hint="default"/>
        <w:b/>
      </w:rPr>
    </w:lvl>
    <w:lvl w:ilvl="6">
      <w:start w:val="1"/>
      <w:numFmt w:val="decimal"/>
      <w:suff w:val="tab"/>
      <w:lvlText w:val="%1.%2.%3.%4.%5.%6.%7."/>
      <w:pPr>
        <w:spacing/>
        <w:ind w:left="6642" w:hanging="1080"/>
      </w:pPr>
      <w:rPr>
        <w:rFonts w:hint="default"/>
        <w:b/>
      </w:rPr>
    </w:lvl>
    <w:lvl w:ilvl="7">
      <w:start w:val="1"/>
      <w:numFmt w:val="decimal"/>
      <w:suff w:val="tab"/>
      <w:lvlText w:val="%1.%2.%3.%4.%5.%6.%7.%8."/>
      <w:pPr>
        <w:spacing/>
        <w:ind w:left="7929" w:hanging="1440"/>
      </w:pPr>
      <w:rPr>
        <w:rFonts w:hint="default"/>
        <w:b/>
      </w:rPr>
    </w:lvl>
    <w:lvl w:ilvl="8">
      <w:start w:val="1"/>
      <w:numFmt w:val="decimal"/>
      <w:suff w:val="tab"/>
      <w:lvlText w:val="%1.%2.%3.%4.%5.%6.%7.%8.%9."/>
      <w:pPr>
        <w:spacing/>
        <w:ind w:left="8856" w:hanging="1440"/>
      </w:pPr>
      <w:rPr>
        <w:rFonts w:hint="default"/>
        <w:b/>
      </w:rPr>
    </w:lvl>
  </w:abstractNum>
  <w:abstractNum w:abstractNumId="11">
    <w:nsid w:val="2F2560E3"/>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2">
    <w:nsid w:val="3065430C"/>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3">
    <w:nsid w:val="32CD24E6"/>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4">
    <w:nsid w:val="344B5828"/>
    <w:lvl w:ilvl="0">
      <w:start w:val="2"/>
      <w:numFmt w:val="decimal"/>
      <w:suff w:val="tab"/>
      <w:lvlText w:val="%1"/>
      <w:pPr>
        <w:spacing/>
        <w:ind w:left="780" w:hanging="780"/>
      </w:pPr>
      <w:rPr>
        <w:rFonts w:hint="default"/>
      </w:rPr>
    </w:lvl>
    <w:lvl w:ilvl="1">
      <w:start w:val="1"/>
      <w:numFmt w:val="decimal"/>
      <w:suff w:val="tab"/>
      <w:lvlText w:val="%1.%2"/>
      <w:pPr>
        <w:spacing/>
        <w:ind w:left="592" w:hanging="780"/>
      </w:pPr>
      <w:rPr>
        <w:rFonts w:hint="default"/>
      </w:rPr>
    </w:lvl>
    <w:lvl w:ilvl="2">
      <w:start w:val="2"/>
      <w:numFmt w:val="decimal"/>
      <w:suff w:val="tab"/>
      <w:lvlText w:val="%1.%2.%3"/>
      <w:pPr>
        <w:spacing/>
        <w:ind w:left="404" w:hanging="780"/>
      </w:pPr>
      <w:rPr>
        <w:rFonts w:hint="default"/>
      </w:rPr>
    </w:lvl>
    <w:lvl w:ilvl="3">
      <w:start w:val="30"/>
      <w:numFmt w:val="decimal"/>
      <w:suff w:val="tab"/>
      <w:lvlText w:val="%1.%2.%3.%4"/>
      <w:pPr>
        <w:spacing/>
        <w:ind w:left="216" w:hanging="780"/>
      </w:pPr>
      <w:rPr>
        <w:rFonts w:hint="default"/>
      </w:rPr>
    </w:lvl>
    <w:lvl w:ilvl="4">
      <w:start w:val="1"/>
      <w:numFmt w:val="decimal"/>
      <w:suff w:val="tab"/>
      <w:lvlText w:val="%1.%2.%3.%4.%5"/>
      <w:pPr>
        <w:spacing/>
        <w:ind w:left="328" w:hanging="1080"/>
      </w:pPr>
      <w:rPr>
        <w:rFonts w:hint="default"/>
      </w:rPr>
    </w:lvl>
    <w:lvl w:ilvl="5">
      <w:start w:val="1"/>
      <w:numFmt w:val="decimal"/>
      <w:suff w:val="tab"/>
      <w:lvlText w:val="%1.%2.%3.%4.%5.%6"/>
      <w:pPr>
        <w:spacing/>
        <w:ind w:left="140" w:hanging="1080"/>
      </w:pPr>
      <w:rPr>
        <w:rFonts w:hint="default"/>
      </w:rPr>
    </w:lvl>
    <w:lvl w:ilvl="6">
      <w:start w:val="1"/>
      <w:numFmt w:val="decimal"/>
      <w:suff w:val="tab"/>
      <w:lvlText w:val="%1.%2.%3.%4.%5.%6.%7"/>
      <w:pPr>
        <w:spacing/>
        <w:ind w:left="312" w:hanging="1440"/>
      </w:pPr>
      <w:rPr>
        <w:rFonts w:hint="default"/>
      </w:rPr>
    </w:lvl>
    <w:lvl w:ilvl="7">
      <w:start w:val="1"/>
      <w:numFmt w:val="decimal"/>
      <w:suff w:val="tab"/>
      <w:lvlText w:val="%1.%2.%3.%4.%5.%6.%7.%8"/>
      <w:pPr>
        <w:spacing/>
        <w:ind w:left="124" w:hanging="1440"/>
      </w:pPr>
      <w:rPr>
        <w:rFonts w:hint="default"/>
      </w:rPr>
    </w:lvl>
    <w:lvl w:ilvl="8">
      <w:start w:val="1"/>
      <w:numFmt w:val="decimal"/>
      <w:suff w:val="tab"/>
      <w:lvlText w:val="%1.%2.%3.%4.%5.%6.%7.%8.%9"/>
      <w:pPr>
        <w:spacing/>
        <w:ind w:left="296" w:hanging="1800"/>
      </w:pPr>
      <w:rPr>
        <w:rFonts w:hint="default"/>
      </w:rPr>
    </w:lvl>
  </w:abstractNum>
  <w:abstractNum w:abstractNumId="15">
    <w:nsid w:val="35344FCD"/>
    <w:lvl w:ilvl="0">
      <w:start w:val="7"/>
      <w:numFmt w:val="decimal"/>
      <w:suff w:val="tab"/>
      <w:lvlText w:val="%1."/>
      <w:pPr>
        <w:spacing/>
        <w:ind w:left="360" w:hanging="360"/>
      </w:pPr>
      <w:rPr>
        <w:rFonts w:hint="default"/>
      </w:rPr>
    </w:lvl>
    <w:lvl w:ilvl="1">
      <w:start w:val="1"/>
      <w:numFmt w:val="decimal"/>
      <w:suff w:val="tab"/>
      <w:lvlText w:val="%1.%2."/>
      <w:pPr>
        <w:spacing/>
        <w:ind w:left="360" w:hanging="360"/>
      </w:pPr>
      <w:rPr>
        <w:rFonts w:hint="default"/>
      </w:rPr>
    </w:lvl>
    <w:lvl w:ilvl="2">
      <w:start w:val="1"/>
      <w:numFmt w:val="decimal"/>
      <w:suff w:val="tab"/>
      <w:lvlText w:val="%1.%2.%3."/>
      <w:pPr>
        <w:spacing/>
        <w:ind w:left="1440" w:hanging="720"/>
      </w:pPr>
      <w:rPr>
        <w:rFonts w:hint="default"/>
      </w:rPr>
    </w:lvl>
    <w:lvl w:ilvl="3">
      <w:start w:val="1"/>
      <w:numFmt w:val="decimal"/>
      <w:suff w:val="tab"/>
      <w:lvlText w:val="%1.%2.%3.%4."/>
      <w:pPr>
        <w:spacing/>
        <w:ind w:left="1800" w:hanging="720"/>
      </w:pPr>
      <w:rPr>
        <w:rFonts w:hint="default"/>
      </w:rPr>
    </w:lvl>
    <w:lvl w:ilvl="4">
      <w:start w:val="1"/>
      <w:numFmt w:val="decimal"/>
      <w:suff w:val="tab"/>
      <w:lvlText w:val="%1.%2.%3.%4.%5."/>
      <w:pPr>
        <w:spacing/>
        <w:ind w:left="2160" w:hanging="720"/>
      </w:pPr>
      <w:rPr>
        <w:rFonts w:hint="default"/>
      </w:rPr>
    </w:lvl>
    <w:lvl w:ilvl="5">
      <w:start w:val="1"/>
      <w:numFmt w:val="decimal"/>
      <w:suff w:val="tab"/>
      <w:lvlText w:val="%1.%2.%3.%4.%5.%6."/>
      <w:pPr>
        <w:spacing/>
        <w:ind w:left="2880" w:hanging="1080"/>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960" w:hanging="1440"/>
      </w:pPr>
      <w:rPr>
        <w:rFonts w:hint="default"/>
      </w:rPr>
    </w:lvl>
    <w:lvl w:ilvl="8">
      <w:start w:val="1"/>
      <w:numFmt w:val="decimal"/>
      <w:suff w:val="tab"/>
      <w:lvlText w:val="%1.%2.%3.%4.%5.%6.%7.%8.%9."/>
      <w:pPr>
        <w:spacing/>
        <w:ind w:left="4320" w:hanging="1440"/>
      </w:pPr>
      <w:rPr>
        <w:rFonts w:hint="default"/>
      </w:rPr>
    </w:lvl>
  </w:abstractNum>
  <w:abstractNum w:abstractNumId="16">
    <w:nsid w:val="37102CC5"/>
    <w:lvl w:ilvl="0">
      <w:start w:val="4"/>
      <w:numFmt w:val="decimal"/>
      <w:suff w:val="tab"/>
      <w:lvlText w:val="%1."/>
      <w:pPr>
        <w:spacing/>
        <w:ind w:left="360" w:hanging="360"/>
      </w:pPr>
      <w:rPr>
        <w:rFonts w:hint="default"/>
      </w:rPr>
    </w:lvl>
    <w:lvl w:ilvl="1">
      <w:start w:val="1"/>
      <w:numFmt w:val="decimal"/>
      <w:suff w:val="tab"/>
      <w:lvlText w:val="%1.%2."/>
      <w:pPr>
        <w:spacing/>
        <w:ind w:left="2345" w:hanging="360"/>
      </w:pPr>
      <w:rPr>
        <w:rFonts w:hint="default"/>
      </w:rPr>
    </w:lvl>
    <w:lvl w:ilvl="2">
      <w:start w:val="1"/>
      <w:numFmt w:val="decimal"/>
      <w:suff w:val="tab"/>
      <w:lvlText w:val="%1.%2.%3."/>
      <w:pPr>
        <w:spacing/>
        <w:ind w:left="1440" w:hanging="720"/>
      </w:pPr>
      <w:rPr>
        <w:rFonts w:hint="default"/>
        <w:color w:val="auto"/>
      </w:rPr>
    </w:lvl>
    <w:lvl w:ilvl="3">
      <w:start w:val="0"/>
      <w:numFmt w:val="bullet"/>
      <w:suff w:val="tab"/>
      <w:lvlText w:val="-"/>
      <w:pPr>
        <w:spacing/>
        <w:ind w:left="1440" w:hanging="360"/>
      </w:pPr>
      <w:rPr>
        <w:rFonts w:ascii="Calibri" w:hAnsi="Calibri" w:eastAsiaTheme="minorHAnsi" w:cs="Calibri" w:hint="default"/>
      </w:rPr>
    </w:lvl>
    <w:lvl w:ilvl="4">
      <w:start w:val="1"/>
      <w:numFmt w:val="decimal"/>
      <w:suff w:val="tab"/>
      <w:lvlText w:val="%1.%2.%3.%4.%5."/>
      <w:pPr>
        <w:spacing/>
        <w:ind w:left="2160" w:hanging="720"/>
      </w:pPr>
      <w:rPr>
        <w:rFonts w:hint="default"/>
      </w:rPr>
    </w:lvl>
    <w:lvl w:ilvl="5">
      <w:start w:val="1"/>
      <w:numFmt w:val="decimal"/>
      <w:suff w:val="tab"/>
      <w:lvlText w:val="%1.%2.%3.%4.%5.%6."/>
      <w:pPr>
        <w:spacing/>
        <w:ind w:left="2880" w:hanging="1080"/>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960" w:hanging="1440"/>
      </w:pPr>
      <w:rPr>
        <w:rFonts w:hint="default"/>
      </w:rPr>
    </w:lvl>
    <w:lvl w:ilvl="8">
      <w:start w:val="1"/>
      <w:numFmt w:val="decimal"/>
      <w:suff w:val="tab"/>
      <w:lvlText w:val="%1.%2.%3.%4.%5.%6.%7.%8.%9."/>
      <w:pPr>
        <w:spacing/>
        <w:ind w:left="4320" w:hanging="1440"/>
      </w:pPr>
      <w:rPr>
        <w:rFonts w:hint="default"/>
      </w:rPr>
    </w:lvl>
  </w:abstractNum>
  <w:abstractNum w:abstractNumId="17">
    <w:nsid w:val="376857DA"/>
    <w:lvl w:ilvl="0">
      <w:start w:val="6"/>
      <w:numFmt w:val="decimal"/>
      <w:suff w:val="tab"/>
      <w:lvlText w:val="%1."/>
      <w:pPr>
        <w:spacing/>
        <w:ind w:left="360" w:hanging="360"/>
      </w:pPr>
      <w:rPr>
        <w:rFonts w:hint="default"/>
        <w:i w:val="0"/>
      </w:rPr>
    </w:lvl>
    <w:lvl w:ilvl="1">
      <w:start w:val="1"/>
      <w:numFmt w:val="decimal"/>
      <w:suff w:val="tab"/>
      <w:lvlText w:val="%1.%2."/>
      <w:pPr>
        <w:spacing/>
        <w:ind w:left="1080" w:hanging="360"/>
      </w:pPr>
      <w:rPr>
        <w:rFonts w:hint="default"/>
        <w:i w:val="0"/>
        <w:color w:val="auto"/>
      </w:rPr>
    </w:lvl>
    <w:lvl w:ilvl="2">
      <w:start w:val="1"/>
      <w:numFmt w:val="decimal"/>
      <w:suff w:val="tab"/>
      <w:lvlText w:val="%1.%2.%3."/>
      <w:pPr>
        <w:spacing/>
        <w:ind w:left="2160" w:hanging="720"/>
      </w:pPr>
      <w:rPr>
        <w:rFonts w:hint="default"/>
        <w:i w:val="0"/>
      </w:rPr>
    </w:lvl>
    <w:lvl w:ilvl="3">
      <w:start w:val="1"/>
      <w:numFmt w:val="decimal"/>
      <w:suff w:val="tab"/>
      <w:lvlText w:val="%1.%2.%3.%4."/>
      <w:pPr>
        <w:spacing/>
        <w:ind w:left="2880" w:hanging="720"/>
      </w:pPr>
      <w:rPr>
        <w:rFonts w:hint="default"/>
        <w:i w:val="0"/>
      </w:rPr>
    </w:lvl>
    <w:lvl w:ilvl="4">
      <w:start w:val="1"/>
      <w:numFmt w:val="decimal"/>
      <w:suff w:val="tab"/>
      <w:lvlText w:val="%1.%2.%3.%4.%5."/>
      <w:pPr>
        <w:spacing/>
        <w:ind w:left="3600" w:hanging="720"/>
      </w:pPr>
      <w:rPr>
        <w:rFonts w:hint="default"/>
        <w:i w:val="0"/>
      </w:rPr>
    </w:lvl>
    <w:lvl w:ilvl="5">
      <w:start w:val="1"/>
      <w:numFmt w:val="decimal"/>
      <w:suff w:val="tab"/>
      <w:lvlText w:val="%1.%2.%3.%4.%5.%6."/>
      <w:pPr>
        <w:spacing/>
        <w:ind w:left="4680" w:hanging="1080"/>
      </w:pPr>
      <w:rPr>
        <w:rFonts w:hint="default"/>
        <w:i w:val="0"/>
      </w:rPr>
    </w:lvl>
    <w:lvl w:ilvl="6">
      <w:start w:val="1"/>
      <w:numFmt w:val="decimal"/>
      <w:suff w:val="tab"/>
      <w:lvlText w:val="%1.%2.%3.%4.%5.%6.%7."/>
      <w:pPr>
        <w:spacing/>
        <w:ind w:left="5400" w:hanging="1080"/>
      </w:pPr>
      <w:rPr>
        <w:rFonts w:hint="default"/>
        <w:i w:val="0"/>
      </w:rPr>
    </w:lvl>
    <w:lvl w:ilvl="7">
      <w:start w:val="1"/>
      <w:numFmt w:val="decimal"/>
      <w:suff w:val="tab"/>
      <w:lvlText w:val="%1.%2.%3.%4.%5.%6.%7.%8."/>
      <w:pPr>
        <w:spacing/>
        <w:ind w:left="6480" w:hanging="1440"/>
      </w:pPr>
      <w:rPr>
        <w:rFonts w:hint="default"/>
        <w:i w:val="0"/>
      </w:rPr>
    </w:lvl>
    <w:lvl w:ilvl="8">
      <w:start w:val="1"/>
      <w:numFmt w:val="decimal"/>
      <w:suff w:val="tab"/>
      <w:lvlText w:val="%1.%2.%3.%4.%5.%6.%7.%8.%9."/>
      <w:pPr>
        <w:spacing/>
        <w:ind w:left="7200" w:hanging="1440"/>
      </w:pPr>
      <w:rPr>
        <w:rFonts w:hint="default"/>
        <w:i w:val="0"/>
      </w:rPr>
    </w:lvl>
  </w:abstractNum>
  <w:abstractNum w:abstractNumId="18">
    <w:nsid w:val="39565FC4"/>
    <w:lvl w:ilvl="0">
      <w:start w:val="4"/>
      <w:numFmt w:val="decimal"/>
      <w:suff w:val="tab"/>
      <w:lvlText w:val="%1."/>
      <w:pPr>
        <w:spacing/>
        <w:ind w:left="360" w:hanging="360"/>
      </w:pPr>
      <w:rPr>
        <w:rFonts w:hint="default"/>
      </w:rPr>
    </w:lvl>
    <w:lvl w:ilvl="1">
      <w:start w:val="1"/>
      <w:numFmt w:val="decimal"/>
      <w:suff w:val="tab"/>
      <w:lvlText w:val="%1.%2."/>
      <w:pPr>
        <w:spacing/>
        <w:ind w:left="4046" w:hanging="360"/>
      </w:pPr>
      <w:rPr>
        <w:rFonts w:hint="default"/>
      </w:rPr>
    </w:lvl>
    <w:lvl w:ilvl="2">
      <w:start w:val="1"/>
      <w:numFmt w:val="decimal"/>
      <w:suff w:val="tab"/>
      <w:lvlText w:val="%1.%2.%3."/>
      <w:pPr>
        <w:spacing/>
        <w:ind w:left="3839" w:hanging="720"/>
      </w:pPr>
      <w:rPr>
        <w:rFonts w:hint="default"/>
        <w:b w:val="0"/>
        <w:bCs w:val="0"/>
        <w:color w:val="auto"/>
      </w:rPr>
    </w:lvl>
    <w:lvl w:ilvl="3">
      <w:start w:val="1"/>
      <w:numFmt w:val="decimal"/>
      <w:suff w:val="tab"/>
      <w:lvlText w:val="%1.%2.%3.%4."/>
      <w:pPr>
        <w:spacing/>
        <w:ind w:left="1800" w:hanging="720"/>
      </w:pPr>
      <w:rPr>
        <w:rFonts w:hint="default"/>
      </w:rPr>
    </w:lvl>
    <w:lvl w:ilvl="4">
      <w:start w:val="1"/>
      <w:numFmt w:val="decimal"/>
      <w:suff w:val="tab"/>
      <w:lvlText w:val="%1.%2.%3.%4.%5."/>
      <w:pPr>
        <w:spacing/>
        <w:ind w:left="2160" w:hanging="720"/>
      </w:pPr>
      <w:rPr>
        <w:rFonts w:hint="default"/>
      </w:rPr>
    </w:lvl>
    <w:lvl w:ilvl="5">
      <w:start w:val="1"/>
      <w:numFmt w:val="decimal"/>
      <w:suff w:val="tab"/>
      <w:lvlText w:val="%1.%2.%3.%4.%5.%6."/>
      <w:pPr>
        <w:spacing/>
        <w:ind w:left="2880" w:hanging="1080"/>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960" w:hanging="1440"/>
      </w:pPr>
      <w:rPr>
        <w:rFonts w:hint="default"/>
      </w:rPr>
    </w:lvl>
    <w:lvl w:ilvl="8">
      <w:start w:val="1"/>
      <w:numFmt w:val="decimal"/>
      <w:suff w:val="tab"/>
      <w:lvlText w:val="%1.%2.%3.%4.%5.%6.%7.%8.%9."/>
      <w:pPr>
        <w:spacing/>
        <w:ind w:left="4320" w:hanging="1440"/>
      </w:pPr>
      <w:rPr>
        <w:rFonts w:hint="default"/>
      </w:rPr>
    </w:lvl>
  </w:abstractNum>
  <w:abstractNum w:abstractNumId="19">
    <w:nsid w:val="3D911E23"/>
    <w:lvl w:ilvl="0">
      <w:start w:val="1"/>
      <w:numFmt w:val="decimal"/>
      <w:suff w:val="tab"/>
      <w:lvlText w:val="%1."/>
      <w:pPr>
        <w:spacing/>
        <w:ind w:left="360" w:hanging="360"/>
      </w:pPr>
      <w:rPr>
        <w:rFonts w:hint="default"/>
      </w:rPr>
    </w:lvl>
    <w:lvl w:ilvl="1">
      <w:start w:val="1"/>
      <w:numFmt w:val="decimal"/>
      <w:suff w:val="tab"/>
      <w:lvlText w:val="%1.%2."/>
      <w:pPr>
        <w:spacing/>
        <w:ind w:left="360" w:hanging="36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720" w:hanging="72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080" w:hanging="108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440" w:hanging="1440"/>
      </w:pPr>
      <w:rPr>
        <w:rFonts w:hint="default"/>
      </w:rPr>
    </w:lvl>
  </w:abstractNum>
  <w:abstractNum w:abstractNumId="20">
    <w:nsid w:val="44DD17DE"/>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1">
    <w:nsid w:val="516148B5"/>
    <w:lvl w:ilvl="0">
      <w:start w:val="8"/>
      <w:numFmt w:val="decimal"/>
      <w:suff w:val="tab"/>
      <w:lvlText w:val="%1."/>
      <w:pPr>
        <w:spacing/>
        <w:ind w:left="360" w:hanging="360"/>
      </w:pPr>
      <w:rPr>
        <w:rFonts w:hint="default"/>
      </w:rPr>
    </w:lvl>
    <w:lvl w:ilvl="1">
      <w:start w:val="1"/>
      <w:numFmt w:val="decimal"/>
      <w:suff w:val="tab"/>
      <w:lvlText w:val="%1.%2."/>
      <w:pPr>
        <w:spacing/>
        <w:ind w:left="720" w:hanging="360"/>
      </w:pPr>
      <w:rPr>
        <w:rFonts w:hint="default"/>
      </w:rPr>
    </w:lvl>
    <w:lvl w:ilvl="2">
      <w:start w:val="1"/>
      <w:numFmt w:val="decimal"/>
      <w:suff w:val="tab"/>
      <w:lvlText w:val="%1.%2.%3."/>
      <w:pPr>
        <w:spacing/>
        <w:ind w:left="1440" w:hanging="720"/>
      </w:pPr>
      <w:rPr>
        <w:rFonts w:hint="default"/>
      </w:rPr>
    </w:lvl>
    <w:lvl w:ilvl="3">
      <w:start w:val="1"/>
      <w:numFmt w:val="decimal"/>
      <w:suff w:val="tab"/>
      <w:lvlText w:val="%1.%2.%3.%4."/>
      <w:pPr>
        <w:spacing/>
        <w:ind w:left="1800" w:hanging="720"/>
      </w:pPr>
      <w:rPr>
        <w:rFonts w:hint="default"/>
      </w:rPr>
    </w:lvl>
    <w:lvl w:ilvl="4">
      <w:start w:val="1"/>
      <w:numFmt w:val="decimal"/>
      <w:suff w:val="tab"/>
      <w:lvlText w:val="%1.%2.%3.%4.%5."/>
      <w:pPr>
        <w:spacing/>
        <w:ind w:left="2160" w:hanging="720"/>
      </w:pPr>
      <w:rPr>
        <w:rFonts w:hint="default"/>
      </w:rPr>
    </w:lvl>
    <w:lvl w:ilvl="5">
      <w:start w:val="1"/>
      <w:numFmt w:val="decimal"/>
      <w:suff w:val="tab"/>
      <w:lvlText w:val="%1.%2.%3.%4.%5.%6."/>
      <w:pPr>
        <w:spacing/>
        <w:ind w:left="2880" w:hanging="1080"/>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960" w:hanging="1440"/>
      </w:pPr>
      <w:rPr>
        <w:rFonts w:hint="default"/>
      </w:rPr>
    </w:lvl>
    <w:lvl w:ilvl="8">
      <w:start w:val="1"/>
      <w:numFmt w:val="decimal"/>
      <w:suff w:val="tab"/>
      <w:lvlText w:val="%1.%2.%3.%4.%5.%6.%7.%8.%9."/>
      <w:pPr>
        <w:spacing/>
        <w:ind w:left="4320" w:hanging="1440"/>
      </w:pPr>
      <w:rPr>
        <w:rFonts w:hint="default"/>
      </w:rPr>
    </w:lvl>
  </w:abstractNum>
  <w:abstractNum w:abstractNumId="22">
    <w:nsid w:val="53693428"/>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3">
    <w:nsid w:val="570F1D55"/>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4">
    <w:nsid w:val="5D915FAE"/>
    <w:lvl w:ilvl="0">
      <w:start w:val="4"/>
      <w:numFmt w:val="decimal"/>
      <w:suff w:val="tab"/>
      <w:lvlText w:val="%1."/>
      <w:pPr>
        <w:spacing/>
        <w:ind w:left="360" w:hanging="360"/>
      </w:pPr>
      <w:rPr>
        <w:rFonts w:hint="default"/>
      </w:rPr>
    </w:lvl>
    <w:lvl w:ilvl="1">
      <w:start w:val="1"/>
      <w:numFmt w:val="decimal"/>
      <w:suff w:val="tab"/>
      <w:lvlText w:val="%1.%2."/>
      <w:pPr>
        <w:spacing/>
        <w:ind w:left="360" w:hanging="360"/>
      </w:pPr>
      <w:rPr>
        <w:rFonts w:hint="default"/>
      </w:rPr>
    </w:lvl>
    <w:lvl w:ilvl="2">
      <w:start w:val="1"/>
      <w:numFmt w:val="decimal"/>
      <w:suff w:val="tab"/>
      <w:lvlText w:val="%1.%2.%3."/>
      <w:pPr>
        <w:spacing/>
        <w:ind w:left="1004" w:hanging="720"/>
      </w:pPr>
      <w:rPr>
        <w:rFonts w:hint="default"/>
        <w:color w:val="auto"/>
      </w:rPr>
    </w:lvl>
    <w:lvl w:ilvl="3">
      <w:start w:val="1"/>
      <w:numFmt w:val="decimal"/>
      <w:suff w:val="tab"/>
      <w:lvlText w:val="%1.%2.%3.%4."/>
      <w:pPr>
        <w:spacing/>
        <w:ind w:left="720" w:hanging="720"/>
      </w:pPr>
      <w:rPr>
        <w:rFonts w:hint="default"/>
      </w:rPr>
    </w:lvl>
    <w:lvl w:ilvl="4">
      <w:start w:val="1"/>
      <w:numFmt w:val="decimal"/>
      <w:suff w:val="tab"/>
      <w:lvlText w:val="%1.%2.%3.%4.%5."/>
      <w:pPr>
        <w:spacing/>
        <w:ind w:left="720" w:hanging="72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080" w:hanging="108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440" w:hanging="1440"/>
      </w:pPr>
      <w:rPr>
        <w:rFonts w:hint="default"/>
      </w:rPr>
    </w:lvl>
  </w:abstractNum>
  <w:abstractNum w:abstractNumId="25">
    <w:nsid w:val="5EEF3D59"/>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6">
    <w:nsid w:val="652514B7"/>
    <w:lvl w:ilvl="0">
      <w:start w:val="2"/>
      <w:numFmt w:val="decimal"/>
      <w:suff w:val="tab"/>
      <w:lvlText w:val="%1."/>
      <w:pPr>
        <w:tabs>
          <w:tab w:val="num" w:pos="720"/>
        </w:tabs>
        <w:spacing/>
        <w:ind w:left="720" w:hanging="360"/>
      </w:pPr>
      <w:rPr/>
    </w:lvl>
    <w:lvl w:ilvl="1">
      <w:start w:val="1"/>
      <w:numFmt w:val="decimal"/>
      <w:suff w:val="tab"/>
      <w:lvlText w:val="%2."/>
      <w:pPr>
        <w:tabs>
          <w:tab w:val="num" w:pos="1440"/>
        </w:tabs>
        <w:spacing/>
        <w:ind w:left="1440" w:hanging="360"/>
      </w:pPr>
      <w:rPr/>
    </w:lvl>
    <w:lvl w:ilvl="2">
      <w:start w:val="1"/>
      <w:numFmt w:val="decimal"/>
      <w:suff w:val="tab"/>
      <w:lvlText w:val="%3."/>
      <w:pPr>
        <w:tabs>
          <w:tab w:val="num" w:pos="2160"/>
        </w:tabs>
        <w:spacing/>
        <w:ind w:left="2160" w:hanging="360"/>
      </w:pPr>
      <w:rPr/>
    </w:lvl>
    <w:lvl w:ilvl="3">
      <w:start w:val="1"/>
      <w:numFmt w:val="decimal"/>
      <w:suff w:val="tab"/>
      <w:lvlText w:val="%4."/>
      <w:pPr>
        <w:tabs>
          <w:tab w:val="num" w:pos="2880"/>
        </w:tabs>
        <w:spacing/>
        <w:ind w:left="2880" w:hanging="360"/>
      </w:pPr>
      <w:rPr/>
    </w:lvl>
    <w:lvl w:ilvl="4">
      <w:start w:val="1"/>
      <w:numFmt w:val="decimal"/>
      <w:suff w:val="tab"/>
      <w:lvlText w:val="%5."/>
      <w:pPr>
        <w:tabs>
          <w:tab w:val="num" w:pos="3600"/>
        </w:tabs>
        <w:spacing/>
        <w:ind w:left="3600" w:hanging="360"/>
      </w:pPr>
      <w:rPr/>
    </w:lvl>
    <w:lvl w:ilvl="5">
      <w:start w:val="1"/>
      <w:numFmt w:val="decimal"/>
      <w:suff w:val="tab"/>
      <w:lvlText w:val="%6."/>
      <w:pPr>
        <w:tabs>
          <w:tab w:val="num" w:pos="4320"/>
        </w:tabs>
        <w:spacing/>
        <w:ind w:left="4320" w:hanging="360"/>
      </w:pPr>
      <w:rPr/>
    </w:lvl>
    <w:lvl w:ilvl="6">
      <w:start w:val="1"/>
      <w:numFmt w:val="decimal"/>
      <w:suff w:val="tab"/>
      <w:lvlText w:val="%7."/>
      <w:pPr>
        <w:tabs>
          <w:tab w:val="num" w:pos="5040"/>
        </w:tabs>
        <w:spacing/>
        <w:ind w:left="5040" w:hanging="360"/>
      </w:pPr>
      <w:rPr/>
    </w:lvl>
    <w:lvl w:ilvl="7">
      <w:start w:val="1"/>
      <w:numFmt w:val="decimal"/>
      <w:suff w:val="tab"/>
      <w:lvlText w:val="%8."/>
      <w:pPr>
        <w:tabs>
          <w:tab w:val="num" w:pos="5760"/>
        </w:tabs>
        <w:spacing/>
        <w:ind w:left="5760" w:hanging="360"/>
      </w:pPr>
      <w:rPr/>
    </w:lvl>
    <w:lvl w:ilvl="8">
      <w:start w:val="1"/>
      <w:numFmt w:val="decimal"/>
      <w:suff w:val="tab"/>
      <w:lvlText w:val="%9."/>
      <w:pPr>
        <w:tabs>
          <w:tab w:val="num" w:pos="6480"/>
        </w:tabs>
        <w:spacing/>
        <w:ind w:left="6480" w:hanging="360"/>
      </w:pPr>
      <w:rPr/>
    </w:lvl>
  </w:abstractNum>
  <w:abstractNum w:abstractNumId="27">
    <w:nsid w:val="673B7E0D"/>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8">
    <w:nsid w:val="67BA213F"/>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9">
    <w:nsid w:val="6A0A418E"/>
    <w:lvl w:ilvl="0">
      <w:start w:val="1"/>
      <w:numFmt w:val="decimal"/>
      <w:suff w:val="tab"/>
      <w:lvlText w:val="%1."/>
      <w:pPr>
        <w:tabs>
          <w:tab w:val="num" w:pos="720"/>
        </w:tabs>
        <w:spacing/>
        <w:ind w:left="720" w:hanging="360"/>
      </w:pPr>
      <w:rPr/>
    </w:lvl>
    <w:lvl w:ilvl="1">
      <w:start w:val="1"/>
      <w:numFmt w:val="decimal"/>
      <w:suff w:val="tab"/>
      <w:lvlText w:val="%2."/>
      <w:pPr>
        <w:tabs>
          <w:tab w:val="num" w:pos="1440"/>
        </w:tabs>
        <w:spacing/>
        <w:ind w:left="1440" w:hanging="360"/>
      </w:pPr>
      <w:rPr/>
    </w:lvl>
    <w:lvl w:ilvl="2">
      <w:start w:val="1"/>
      <w:numFmt w:val="decimal"/>
      <w:suff w:val="tab"/>
      <w:lvlText w:val="%3."/>
      <w:pPr>
        <w:tabs>
          <w:tab w:val="num" w:pos="2160"/>
        </w:tabs>
        <w:spacing/>
        <w:ind w:left="2160" w:hanging="360"/>
      </w:pPr>
      <w:rPr/>
    </w:lvl>
    <w:lvl w:ilvl="3">
      <w:start w:val="1"/>
      <w:numFmt w:val="decimal"/>
      <w:suff w:val="tab"/>
      <w:lvlText w:val="%4."/>
      <w:pPr>
        <w:tabs>
          <w:tab w:val="num" w:pos="2880"/>
        </w:tabs>
        <w:spacing/>
        <w:ind w:left="2880" w:hanging="360"/>
      </w:pPr>
      <w:rPr/>
    </w:lvl>
    <w:lvl w:ilvl="4">
      <w:start w:val="1"/>
      <w:numFmt w:val="decimal"/>
      <w:suff w:val="tab"/>
      <w:lvlText w:val="%5."/>
      <w:pPr>
        <w:tabs>
          <w:tab w:val="num" w:pos="3600"/>
        </w:tabs>
        <w:spacing/>
        <w:ind w:left="3600" w:hanging="360"/>
      </w:pPr>
      <w:rPr/>
    </w:lvl>
    <w:lvl w:ilvl="5">
      <w:start w:val="1"/>
      <w:numFmt w:val="decimal"/>
      <w:suff w:val="tab"/>
      <w:lvlText w:val="%6."/>
      <w:pPr>
        <w:tabs>
          <w:tab w:val="num" w:pos="4320"/>
        </w:tabs>
        <w:spacing/>
        <w:ind w:left="4320" w:hanging="360"/>
      </w:pPr>
      <w:rPr/>
    </w:lvl>
    <w:lvl w:ilvl="6">
      <w:start w:val="1"/>
      <w:numFmt w:val="decimal"/>
      <w:suff w:val="tab"/>
      <w:lvlText w:val="%7."/>
      <w:pPr>
        <w:tabs>
          <w:tab w:val="num" w:pos="5040"/>
        </w:tabs>
        <w:spacing/>
        <w:ind w:left="5040" w:hanging="360"/>
      </w:pPr>
      <w:rPr/>
    </w:lvl>
    <w:lvl w:ilvl="7">
      <w:start w:val="1"/>
      <w:numFmt w:val="decimal"/>
      <w:suff w:val="tab"/>
      <w:lvlText w:val="%8."/>
      <w:pPr>
        <w:tabs>
          <w:tab w:val="num" w:pos="5760"/>
        </w:tabs>
        <w:spacing/>
        <w:ind w:left="5760" w:hanging="360"/>
      </w:pPr>
      <w:rPr/>
    </w:lvl>
    <w:lvl w:ilvl="8">
      <w:start w:val="1"/>
      <w:numFmt w:val="decimal"/>
      <w:suff w:val="tab"/>
      <w:lvlText w:val="%9."/>
      <w:pPr>
        <w:tabs>
          <w:tab w:val="num" w:pos="6480"/>
        </w:tabs>
        <w:spacing/>
        <w:ind w:left="6480" w:hanging="360"/>
      </w:pPr>
      <w:rPr/>
    </w:lvl>
  </w:abstractNum>
  <w:abstractNum w:abstractNumId="30">
    <w:nsid w:val="6A0C0CA7"/>
    <w:lvl w:ilvl="0">
      <w:start w:val="9"/>
      <w:numFmt w:val="decimal"/>
      <w:suff w:val="tab"/>
      <w:lvlText w:val="%1."/>
      <w:pPr>
        <w:spacing/>
        <w:ind w:left="360" w:hanging="360"/>
      </w:pPr>
      <w:rPr>
        <w:rFonts w:hint="default"/>
      </w:rPr>
    </w:lvl>
    <w:lvl w:ilvl="1">
      <w:start w:val="1"/>
      <w:numFmt w:val="decimal"/>
      <w:suff w:val="tab"/>
      <w:lvlText w:val="%1.%2."/>
      <w:pPr>
        <w:spacing/>
        <w:ind w:left="720" w:hanging="360"/>
      </w:pPr>
      <w:rPr>
        <w:rFonts w:hint="default"/>
      </w:rPr>
    </w:lvl>
    <w:lvl w:ilvl="2">
      <w:start w:val="1"/>
      <w:numFmt w:val="decimal"/>
      <w:suff w:val="tab"/>
      <w:lvlText w:val="%1.%2.%3."/>
      <w:pPr>
        <w:spacing/>
        <w:ind w:left="1440" w:hanging="720"/>
      </w:pPr>
      <w:rPr>
        <w:rFonts w:hint="default"/>
      </w:rPr>
    </w:lvl>
    <w:lvl w:ilvl="3">
      <w:start w:val="1"/>
      <w:numFmt w:val="decimal"/>
      <w:suff w:val="tab"/>
      <w:lvlText w:val="%1.%2.%3.%4."/>
      <w:pPr>
        <w:spacing/>
        <w:ind w:left="1800" w:hanging="720"/>
      </w:pPr>
      <w:rPr>
        <w:rFonts w:hint="default"/>
      </w:rPr>
    </w:lvl>
    <w:lvl w:ilvl="4">
      <w:start w:val="1"/>
      <w:numFmt w:val="decimal"/>
      <w:suff w:val="tab"/>
      <w:lvlText w:val="%1.%2.%3.%4.%5."/>
      <w:pPr>
        <w:spacing/>
        <w:ind w:left="2160" w:hanging="720"/>
      </w:pPr>
      <w:rPr>
        <w:rFonts w:hint="default"/>
      </w:rPr>
    </w:lvl>
    <w:lvl w:ilvl="5">
      <w:start w:val="1"/>
      <w:numFmt w:val="decimal"/>
      <w:suff w:val="tab"/>
      <w:lvlText w:val="%1.%2.%3.%4.%5.%6."/>
      <w:pPr>
        <w:spacing/>
        <w:ind w:left="2880" w:hanging="1080"/>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960" w:hanging="1440"/>
      </w:pPr>
      <w:rPr>
        <w:rFonts w:hint="default"/>
      </w:rPr>
    </w:lvl>
    <w:lvl w:ilvl="8">
      <w:start w:val="1"/>
      <w:numFmt w:val="decimal"/>
      <w:suff w:val="tab"/>
      <w:lvlText w:val="%1.%2.%3.%4.%5.%6.%7.%8.%9."/>
      <w:pPr>
        <w:spacing/>
        <w:ind w:left="4320" w:hanging="1440"/>
      </w:pPr>
      <w:rPr>
        <w:rFonts w:hint="default"/>
      </w:rPr>
    </w:lvl>
  </w:abstractNum>
  <w:abstractNum w:abstractNumId="31">
    <w:nsid w:val="6D8E404F"/>
    <w:lvl w:ilvl="0">
      <w:start w:val="3"/>
      <w:numFmt w:val="decimal"/>
      <w:suff w:val="tab"/>
      <w:lvlText w:val="%1."/>
      <w:pPr>
        <w:spacing/>
        <w:ind w:left="360" w:hanging="360"/>
      </w:pPr>
      <w:rPr>
        <w:rFonts w:hint="default"/>
        <w:b/>
      </w:rPr>
    </w:lvl>
    <w:lvl w:ilvl="1">
      <w:start w:val="1"/>
      <w:numFmt w:val="decimal"/>
      <w:suff w:val="tab"/>
      <w:lvlText w:val="%1.%2."/>
      <w:pPr>
        <w:spacing/>
        <w:ind w:left="1287" w:hanging="360"/>
      </w:pPr>
      <w:rPr>
        <w:rFonts w:hint="default"/>
        <w:b w:val="0"/>
        <w:bCs/>
      </w:rPr>
    </w:lvl>
    <w:lvl w:ilvl="2">
      <w:start w:val="1"/>
      <w:numFmt w:val="decimal"/>
      <w:suff w:val="tab"/>
      <w:lvlText w:val="%1.%2.%3."/>
      <w:pPr>
        <w:spacing/>
        <w:ind w:left="2574" w:hanging="720"/>
      </w:pPr>
      <w:rPr>
        <w:rFonts w:hint="default"/>
        <w:b w:val="0"/>
        <w:bCs w:val="0"/>
      </w:rPr>
    </w:lvl>
    <w:lvl w:ilvl="3">
      <w:start w:val="1"/>
      <w:numFmt w:val="decimal"/>
      <w:suff w:val="tab"/>
      <w:lvlText w:val="%1.%2.%3.%4."/>
      <w:pPr>
        <w:spacing/>
        <w:ind w:left="3501" w:hanging="720"/>
      </w:pPr>
      <w:rPr>
        <w:rFonts w:hint="default"/>
        <w:b/>
      </w:rPr>
    </w:lvl>
    <w:lvl w:ilvl="4">
      <w:start w:val="1"/>
      <w:numFmt w:val="decimal"/>
      <w:suff w:val="tab"/>
      <w:lvlText w:val="%1.%2.%3.%4.%5."/>
      <w:pPr>
        <w:spacing/>
        <w:ind w:left="4428" w:hanging="720"/>
      </w:pPr>
      <w:rPr>
        <w:rFonts w:hint="default"/>
        <w:b/>
      </w:rPr>
    </w:lvl>
    <w:lvl w:ilvl="5">
      <w:start w:val="1"/>
      <w:numFmt w:val="decimal"/>
      <w:suff w:val="tab"/>
      <w:lvlText w:val="%1.%2.%3.%4.%5.%6."/>
      <w:pPr>
        <w:spacing/>
        <w:ind w:left="5715" w:hanging="1080"/>
      </w:pPr>
      <w:rPr>
        <w:rFonts w:hint="default"/>
        <w:b/>
      </w:rPr>
    </w:lvl>
    <w:lvl w:ilvl="6">
      <w:start w:val="1"/>
      <w:numFmt w:val="decimal"/>
      <w:suff w:val="tab"/>
      <w:lvlText w:val="%1.%2.%3.%4.%5.%6.%7."/>
      <w:pPr>
        <w:spacing/>
        <w:ind w:left="6642" w:hanging="1080"/>
      </w:pPr>
      <w:rPr>
        <w:rFonts w:hint="default"/>
        <w:b/>
      </w:rPr>
    </w:lvl>
    <w:lvl w:ilvl="7">
      <w:start w:val="1"/>
      <w:numFmt w:val="decimal"/>
      <w:suff w:val="tab"/>
      <w:lvlText w:val="%1.%2.%3.%4.%5.%6.%7.%8."/>
      <w:pPr>
        <w:spacing/>
        <w:ind w:left="7929" w:hanging="1440"/>
      </w:pPr>
      <w:rPr>
        <w:rFonts w:hint="default"/>
        <w:b/>
      </w:rPr>
    </w:lvl>
    <w:lvl w:ilvl="8">
      <w:start w:val="1"/>
      <w:numFmt w:val="decimal"/>
      <w:suff w:val="tab"/>
      <w:lvlText w:val="%1.%2.%3.%4.%5.%6.%7.%8.%9."/>
      <w:pPr>
        <w:spacing/>
        <w:ind w:left="8856" w:hanging="1440"/>
      </w:pPr>
      <w:rPr>
        <w:rFonts w:hint="default"/>
        <w:b/>
      </w:rPr>
    </w:lvl>
  </w:abstractNum>
  <w:abstractNum w:abstractNumId="32">
    <w:nsid w:val="72D938DB"/>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33">
    <w:nsid w:val="730966D1"/>
    <w:lvl w:ilvl="0">
      <w:start w:val="1"/>
      <w:numFmt w:val="decimal"/>
      <w:suff w:val="tab"/>
      <w:lvlText w:val="%1."/>
      <w:pPr>
        <w:spacing/>
        <w:ind w:left="1080" w:hanging="720"/>
      </w:pPr>
      <w:rPr>
        <w:rFonts w:hint="default"/>
      </w:rPr>
    </w:lvl>
    <w:lvl w:ilvl="1">
      <w:start w:val="1"/>
      <w:numFmt w:val="decimal"/>
      <w:isLgl/>
      <w:suff w:val="tab"/>
      <w:lvlText w:val="%1.%2."/>
      <w:pPr>
        <w:spacing/>
        <w:ind w:left="720" w:hanging="360"/>
      </w:pPr>
      <w:rPr>
        <w:rFonts w:hint="default"/>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080" w:hanging="72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440" w:hanging="108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1800" w:hanging="1440"/>
      </w:pPr>
      <w:rPr>
        <w:rFonts w:hint="default"/>
      </w:rPr>
    </w:lvl>
  </w:abstractNum>
  <w:abstractNum w:abstractNumId="34">
    <w:nsid w:val="7B106396"/>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hAnsi="Arial Narrow" w:eastAsiaTheme="minorHAnsi" w:cstheme="minorBidi"/>
        <w:szCs w:val="22"/>
        <w:lang w:val="lt-LT" w:eastAsia="en-US" w:bidi="ar-SA"/>
      </w:rPr>
    </w:rPrDefault>
    <w:pPrDefault>
      <w:pPr>
        <w:spacing/>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jc w:val="both"/>
    </w:pPr>
    <w:rPr>
      <w:rFonts w:ascii="Times New Roman" w:hAnsi="Times New Roman" w:eastAsia="Times New Roman" w:cs="Times New Roman"/>
      <w:sz w:val="24"/>
      <w:szCs w:val="20"/>
    </w:rPr>
  </w:style>
  <w:style w:type="paragraph" w:styleId="Heading1">
    <w:name w:val="Heading 1"/>
    <w:basedOn w:val="Normal"/>
    <w:next w:val="Normal"/>
    <w:link w:val="Heading1Char"/>
    <w:uiPriority w:val="9"/>
    <w:qFormat/>
    <w:pPr>
      <w:keepNext/>
      <w:keepLines/>
      <w:spacing w:before="240"/>
      <w:jc w:val="left"/>
      <w:outlineLvl w:val="0"/>
    </w:pPr>
    <w:rPr>
      <w:rFonts w:asciiTheme="majorHAnsi" w:hAnsiTheme="majorHAnsi" w:eastAsiaTheme="majorEastAsia" w:cstheme="majorBidi"/>
      <w:color w:val="2F5496"/>
      <w:sz w:val="32"/>
      <w:szCs w:val="32"/>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HeaderChar" w:customStyle="1">
    <w:name w:val="Header Char"/>
    <w:basedOn w:val="DefaultParagraphFont"/>
    <w:link w:val="Header"/>
    <w:uiPriority w:val="99"/>
    <w:rPr/>
  </w:style>
  <w:style w:type="paragraph" w:styleId="Footer">
    <w:name w:val="Footer"/>
    <w:basedOn w:val="Normal"/>
    <w:link w:val="FooterChar"/>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FooterChar" w:customStyle="1">
    <w:name w:val="Footer Char"/>
    <w:basedOn w:val="DefaultParagraphFont"/>
    <w:link w:val="Footer"/>
    <w:uiPriority w:val="99"/>
    <w:rPr/>
  </w:style>
  <w:style w:type="table" w:styleId="TableGrid">
    <w:name w:val="Table Grid"/>
    <w:basedOn w:val="TableNormal"/>
    <w:uiPriority w:val="39"/>
    <w:pPr>
      <w:spacing/>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link w:val="ListParagraphChar"/>
    <w:uiPriority w:val="34"/>
    <w:qFormat/>
    <w:pPr>
      <w:spacing/>
      <w:ind w:left="720"/>
      <w:contextualSpacing/>
      <w:jc w:val="left"/>
    </w:pPr>
    <w:rPr>
      <w:rFonts w:ascii="Arial Narrow" w:hAnsi="Arial Narrow" w:eastAsiaTheme="minorHAnsi" w:cstheme="minorBidi"/>
      <w:sz w:val="20"/>
      <w:szCs w:val="22"/>
    </w:rPr>
  </w:style>
  <w:style w:type="character" w:styleId="Heading1Char" w:customStyle="1">
    <w:name w:val="Heading 1 Char"/>
    <w:basedOn w:val="DefaultParagraphFont"/>
    <w:link w:val="Heading1"/>
    <w:uiPriority w:val="9"/>
    <w:rPr>
      <w:rFonts w:asciiTheme="majorHAnsi" w:hAnsiTheme="majorHAnsi" w:eastAsiaTheme="majorEastAsia" w:cstheme="majorBidi"/>
      <w:color w:val="2F5496"/>
      <w:sz w:val="32"/>
      <w:szCs w:val="32"/>
    </w:rPr>
  </w:style>
  <w:style w:type="character" w:styleId="Hyperlink">
    <w:name w:val="Hyperlink"/>
    <w:basedOn w:val="DefaultParagraphFont"/>
    <w:unhideWhenUsed/>
    <w:rPr>
      <w:color w:val="0563C1"/>
      <w:u w:val="single"/>
    </w:rPr>
  </w:style>
  <w:style w:type="character" w:styleId="UnresolvedMention" w:customStyle="1">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character" w:styleId="PlaceholderText" w:customStyle="1">
    <w:name w:val="Placeholder Text"/>
    <w:basedOn w:val="DefaultParagraphFont"/>
    <w:uiPriority w:val="99"/>
    <w:semiHidden/>
    <w:rPr>
      <w:color w:val="808080"/>
    </w:rPr>
  </w:style>
  <w:style w:type="character" w:styleId="ListParagraphChar" w:customStyle="1">
    <w:name w:val="List Paragraph Char"/>
    <w:basedOn w:val="DefaultParagraphFont"/>
    <w:link w:val="ListParagraph"/>
    <w:uiPriority w:val="34"/>
    <w:qFormat/>
    <w:rPr/>
  </w:style>
  <w:style w:type="paragraph" w:styleId="Default" w:customStyle="1">
    <w:name w:val="Default"/>
    <w:pPr>
      <w:autoSpaceDE w:val="false"/>
      <w:autoSpaceDN w:val="false"/>
      <w:adjustRightInd w:val="false"/>
      <w:spacing/>
    </w:pPr>
    <w:rPr>
      <w:rFonts w:ascii="Times New Roman" w:hAnsi="Times New Roman" w:eastAsia="Times New Roman" w:cs="Times New Roman"/>
      <w:color w:val="000000"/>
      <w:sz w:val="24"/>
      <w:szCs w:val="24"/>
      <w:lang w:eastAsia="lt-LT"/>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semiHidden/>
    <w:unhideWhenUsed/>
    <w:pPr>
      <w:spacing/>
    </w:pPr>
    <w:rPr>
      <w:sz w:val="20"/>
    </w:rPr>
  </w:style>
  <w:style w:type="character" w:styleId="CommentTextChar" w:customStyle="1">
    <w:name w:val="Comment Text Char"/>
    <w:basedOn w:val="DefaultParagraphFont"/>
    <w:uiPriority w:val="99"/>
    <w:semiHidden/>
    <w:rPr>
      <w:rFonts w:ascii="Times New Roman" w:hAnsi="Times New Roman" w:eastAsia="Times New Roman" w:cs="Times New Roman"/>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eastAsia="Times New Roman" w:cs="Times New Roman"/>
      <w:b/>
      <w:bCs/>
      <w:szCs w:val="20"/>
    </w:rPr>
  </w:style>
  <w:style w:type="character" w:styleId="Bodytext2" w:customStyle="1">
    <w:name w:val="Body text (2)_"/>
    <w:basedOn w:val="DefaultParagraphFont"/>
    <w:rPr>
      <w:rFonts w:ascii="Times New Roman" w:hAnsi="Times New Roman" w:cs="Times New Roman"/>
      <w:i/>
      <w:iCs/>
      <w:sz w:val="23"/>
      <w:szCs w:val="23"/>
      <w:shd w:val="clear" w:color="auto" w:fill="FFFFFF"/>
    </w:rPr>
  </w:style>
  <w:style w:type="paragraph" w:styleId="Bodytext20" w:customStyle="1">
    <w:name w:val="Body text (2)"/>
    <w:basedOn w:val="Normal"/>
    <w:pPr>
      <w:shd w:val="clear" w:color="auto" w:fill="FFFFFF"/>
      <w:spacing w:line="269" w:lineRule="exact"/>
      <w:ind w:hanging="400"/>
      <w:jc w:val="left"/>
    </w:pPr>
    <w:rPr>
      <w:rFonts w:eastAsiaTheme="minorHAnsi"/>
      <w:i/>
      <w:iCs/>
      <w:sz w:val="23"/>
      <w:szCs w:val="23"/>
    </w:rPr>
  </w:style>
  <w:style w:type="character" w:styleId="Bodytext" w:customStyle="1">
    <w:name w:val="Body text_"/>
    <w:basedOn w:val="DefaultParagraphFont"/>
    <w:link w:val="Bodytext1"/>
    <w:rPr>
      <w:rFonts w:ascii="Times New Roman" w:hAnsi="Times New Roman" w:cs="Times New Roman"/>
      <w:sz w:val="23"/>
      <w:szCs w:val="23"/>
      <w:shd w:val="clear" w:color="auto" w:fill="FFFFFF"/>
    </w:rPr>
  </w:style>
  <w:style w:type="paragraph" w:styleId="Bodytext1" w:customStyle="1">
    <w:name w:val="Body text1"/>
    <w:basedOn w:val="Normal"/>
    <w:pPr>
      <w:shd w:val="clear" w:color="auto" w:fill="FFFFFF"/>
      <w:spacing w:before="240" w:after="240" w:line="274" w:lineRule="exact"/>
      <w:ind w:hanging="1060"/>
      <w:jc w:val="left"/>
    </w:pPr>
    <w:rPr>
      <w:rFonts w:eastAsiaTheme="minorHAnsi"/>
      <w:sz w:val="23"/>
      <w:szCs w:val="23"/>
    </w:rPr>
  </w:style>
  <w:style w:type="character" w:styleId="Bodytext2Bold" w:customStyle="1">
    <w:name w:val="Body text (2) + Bold"/>
    <w:basedOn w:val="DefaultParagraphFont"/>
    <w:rPr>
      <w:rFonts w:ascii="Times New Roman" w:hAnsi="Times New Roman" w:cs="Times New Roman"/>
      <w:b/>
      <w:bCs/>
      <w:i/>
      <w:iCs/>
      <w:spacing w:val="0"/>
      <w:sz w:val="23"/>
      <w:szCs w:val="23"/>
    </w:rPr>
  </w:style>
  <w:style w:type="character" w:styleId="Bodytext2Bold1" w:customStyle="1">
    <w:name w:val="Body text (2) + Bold1"/>
    <w:basedOn w:val="DefaultParagraphFont"/>
    <w:rPr>
      <w:rFonts w:ascii="Times New Roman" w:hAnsi="Times New Roman" w:cs="Times New Roman"/>
      <w:b/>
      <w:bCs/>
      <w:i/>
      <w:iCs/>
      <w:spacing w:val="0"/>
      <w:sz w:val="23"/>
      <w:szCs w:val="23"/>
    </w:rPr>
  </w:style>
  <w:style w:type="character" w:styleId="Bodytext2NotItalic1" w:customStyle="1">
    <w:name w:val="Body text (2) + Not Italic1"/>
    <w:basedOn w:val="Bodytext2"/>
    <w:rPr>
      <w:rFonts w:ascii="Times New Roman" w:hAnsi="Times New Roman" w:cs="Times New Roman"/>
      <w:i/>
      <w:iCs/>
      <w:sz w:val="23"/>
      <w:szCs w:val="23"/>
      <w:shd w:val="clear" w:color="auto" w:fill="FFFFFF"/>
    </w:rPr>
  </w:style>
  <w:style w:type="character" w:styleId="Bodytext9" w:customStyle="1">
    <w:name w:val="Body text (9)_"/>
    <w:basedOn w:val="DefaultParagraphFont"/>
    <w:rPr>
      <w:rFonts w:ascii="Times New Roman" w:hAnsi="Times New Roman" w:cs="Times New Roman"/>
      <w:b/>
      <w:bCs/>
      <w:sz w:val="23"/>
      <w:szCs w:val="23"/>
      <w:shd w:val="clear" w:color="auto" w:fill="FFFFFF"/>
    </w:rPr>
  </w:style>
  <w:style w:type="paragraph" w:styleId="Bodytext90" w:customStyle="1">
    <w:name w:val="Body text (9)"/>
    <w:basedOn w:val="Normal"/>
    <w:pPr>
      <w:shd w:val="clear" w:color="auto" w:fill="FFFFFF"/>
      <w:spacing w:line="274" w:lineRule="exact"/>
      <w:jc w:val="left"/>
    </w:pPr>
    <w:rPr>
      <w:rFonts w:eastAsiaTheme="minorHAnsi"/>
      <w:b/>
      <w:bCs/>
      <w:sz w:val="23"/>
      <w:szCs w:val="23"/>
    </w:rPr>
  </w:style>
  <w:style w:type="table" w:styleId="Lentelstinklelis1" w:customStyle="1">
    <w:name w:val="Lentelės tinklelis1"/>
    <w:basedOn w:val="TableNormal"/>
    <w:next w:val="TableGrid"/>
    <w:uiPriority w:val="39"/>
    <w:pPr>
      <w:spacing/>
    </w:pPr>
    <w:rPr>
      <w:rFonts w:asciiTheme="minorHAnsi" w:hAnsiTheme="minorHAnsi" w:eastAsia="Times New Roman"/>
      <w:sz w:val="22"/>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&#65279;<?xml version="1.0" encoding="utf-8" standalone="yes"?><Relationships xmlns="http://schemas.openxmlformats.org/package/2006/relationships"><Relationship Id="rId5" Type="http://schemas.openxmlformats.org/officeDocument/2006/relationships/styles" Target="styles.xml" /><Relationship Id="rId6" Type="http://schemas.openxmlformats.org/officeDocument/2006/relationships/settings" Target="settings.xml" /><Relationship Id="rId7" Type="http://schemas.openxmlformats.org/officeDocument/2006/relationships/theme" Target="theme/theme1.xml" /><Relationship Id="rId8" Type="http://schemas.openxmlformats.org/officeDocument/2006/relationships/numbering" Target="numbering.xml" /><Relationship Id="rId3" Type="http://schemas.openxmlformats.org/officeDocument/2006/relationships/header" Target="header3.xml" /><Relationship Id="rId9" Type="http://schemas.openxmlformats.org/officeDocument/2006/relationships/fontTable" Target="fontTable.xml" /><Relationship Id="rId1" Type="http://schemas.openxmlformats.org/officeDocument/2006/relationships/image" Target="media/image1.png" /><Relationship Id="rId2" Type="http://schemas.openxmlformats.org/officeDocument/2006/relationships/image" Target="media/image2.png" /><Relationship Id="rId10" Type="http://schemas.openxmlformats.org/officeDocument/2006/relationships/customXml" Target="../customXml/item1.xml" /><Relationship Id="rId11" Type="http://schemas.openxmlformats.org/officeDocument/2006/relationships/customXml" Target="../customXml/item2.xml" /><Relationship Id="rId12" Type="http://schemas.openxmlformats.org/officeDocument/2006/relationships/customXml" Target="../customXml/item3.xml" /><Relationship Id="rId13" Type="http://schemas.openxmlformats.org/officeDocument/2006/relationships/customXml" Target="../customXml/item4.xml" /></Relationships>
</file>

<file path=word/_rels/header3.xml.rels>&#65279;<?xml version="1.0" encoding="utf-8" standalone="yes"?><Relationships xmlns="http://schemas.openxmlformats.org/package/2006/relationships"><Relationship Id="rId4"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5" ma:contentTypeDescription="Create a new document." ma:contentTypeScope="" ma:versionID="be065380a0e8452f72b1deee64e2e4b2">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ba77987ae0551b288faa78df6bf116f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Terms>
    </lcf76f155ced4ddcb4097134ff3c332f>
    <TaxCatchAll xmlns="a931e33f-e39b-46a4-bdb0-0fdf918434ff" xsi:nil="true"/>
  </documentManagement>
</p:properties>
</file>

<file path=customXml/itemProps1.xml><?xml version="1.0" encoding="utf-8"?>
<ds:datastoreItem xmlns:ds="http://schemas.openxmlformats.org/officeDocument/2006/customXml" ds:itemID="{831E174F-9CD7-431C-9873-E6CBEC81CE43}"/>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B5731401-C730-460F-A599-0B673532F7D3}">
  <ds:schemaRefs>
    <ds:schemaRef ds:uri="http://schemas.microsoft.com/sharepoint/v3/contenttype/forms"/>
  </ds:schemaRefs>
</ds:datastoreItem>
</file>

<file path=customXml/itemProps4.xml><?xml version="1.0" encoding="utf-8"?>
<ds:datastoreItem xmlns:ds="http://schemas.openxmlformats.org/officeDocument/2006/customXml" ds:itemID="{DEEAFD3A-E1B9-4F97-9EDE-EAA2BABCB2DF}">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vt="http://schemas.openxmlformats.org/officeDocument/2006/docPropsVTypes" xmlns="http://schemas.openxmlformats.org/officeDocument/2006/extended-properties">
  <Template>Normal</Template>
  <TotalTime>4273</TotalTime>
  <Pages>7</Pages>
  <Words>18110</Words>
  <Characters>10323</Characters>
  <Application>Microsoft Office Word</Application>
  <DocSecurity>0</DocSecurity>
  <Lines>86</Lines>
  <Paragraphs>56</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Martynas Makaravičius</cp:lastModifiedBy>
  <cp:revision>539</cp:revision>
  <dcterms:created xsi:type="dcterms:W3CDTF">2021-01-19T12:51:00Z</dcterms:created>
  <dcterms:modified xsi:type="dcterms:W3CDTF">2026-02-11T09:30:00Z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y fmtid="{D5CDD505-2E9C-101B-9397-08002B2CF9AE}" name="MediaServiceImageTags" pid="3">
    <vt:lpstr/>
  </property>
</Properties>
</file>