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1994E093">
                  <wp:extent cx="716627" cy="809625"/>
                  <wp:effectExtent l="0" t="0" r="762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8345" cy="81156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00BA276B">
        <w:trPr>
          <w:cantSplit/>
          <w:trHeight w:val="525"/>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7EEEAB78" w:rsidR="00290520" w:rsidRPr="00463749" w:rsidRDefault="00290520" w:rsidP="006B3253">
            <w:pPr>
              <w:ind w:left="-56"/>
              <w:jc w:val="both"/>
              <w:rPr>
                <w:rFonts w:ascii="Arial" w:hAnsi="Arial" w:cs="Arial"/>
                <w:b/>
                <w:bCs/>
                <w:iCs/>
                <w:cap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1A04B7" w:rsidRPr="001A04B7">
              <w:rPr>
                <w:rFonts w:ascii="Arial" w:hAnsi="Arial" w:cs="Arial"/>
                <w:b/>
                <w:caps/>
                <w:sz w:val="20"/>
                <w:szCs w:val="20"/>
                <w:lang w:val="lt-LT"/>
              </w:rPr>
              <w:t>Femtosekundinis osciliatorius</w:t>
            </w:r>
            <w:r w:rsidR="001A04B7">
              <w:rPr>
                <w:rFonts w:ascii="Arial" w:hAnsi="Arial" w:cs="Arial"/>
                <w:b/>
                <w:caps/>
                <w:sz w:val="20"/>
                <w:szCs w:val="20"/>
                <w:lang w:val="lt-LT"/>
              </w:rPr>
              <w:t xml:space="preserve">, nr. </w:t>
            </w:r>
            <w:r w:rsidR="001A04B7" w:rsidRPr="001A04B7">
              <w:rPr>
                <w:rFonts w:ascii="Arial" w:hAnsi="Arial" w:cs="Arial"/>
                <w:b/>
                <w:caps/>
                <w:sz w:val="20"/>
                <w:szCs w:val="20"/>
                <w:lang w:val="lt-LT"/>
              </w:rPr>
              <w:t>1181/2026/FF</w:t>
            </w:r>
            <w:r w:rsidR="00C53B85" w:rsidRPr="00463749">
              <w:rPr>
                <w:rFonts w:ascii="Arial" w:hAnsi="Arial" w:cs="Arial"/>
                <w:b/>
                <w:bCs/>
                <w:cap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7DB80A3D"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1A04B7" w:rsidRPr="001A04B7">
        <w:rPr>
          <w:rFonts w:ascii="Arial" w:eastAsiaTheme="minorHAnsi" w:hAnsi="Arial" w:cs="Arial"/>
          <w:b/>
          <w:bCs/>
          <w:iCs/>
          <w:sz w:val="20"/>
          <w:szCs w:val="20"/>
          <w:lang w:val="lt-LT"/>
        </w:rPr>
        <w:t>FEMTOSEKUNDINIS OSCILIATORIUS, NR. 1181/2026/FF</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7A31C88"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463749">
              <w:rPr>
                <w:rFonts w:ascii="Arial" w:eastAsia="Arial" w:hAnsi="Arial" w:cs="Arial"/>
                <w:b/>
                <w:bCs/>
                <w:sz w:val="20"/>
                <w:szCs w:val="20"/>
                <w:lang w:val="lt-LT"/>
              </w:rPr>
              <w:t>6</w:t>
            </w:r>
            <w:r w:rsidRPr="004E43D0">
              <w:rPr>
                <w:rFonts w:ascii="Arial" w:eastAsia="Arial" w:hAnsi="Arial" w:cs="Arial"/>
                <w:b/>
                <w:bCs/>
                <w:sz w:val="20"/>
                <w:szCs w:val="20"/>
                <w:lang w:val="lt-LT"/>
              </w:rPr>
              <w:t>-</w:t>
            </w:r>
            <w:r w:rsidR="00463749">
              <w:rPr>
                <w:rFonts w:ascii="Arial" w:eastAsia="Arial" w:hAnsi="Arial" w:cs="Arial"/>
                <w:b/>
                <w:bCs/>
                <w:sz w:val="20"/>
                <w:szCs w:val="20"/>
                <w:lang w:val="lt-LT"/>
              </w:rPr>
              <w:t>0</w:t>
            </w:r>
            <w:r w:rsidR="001A04B7">
              <w:rPr>
                <w:rFonts w:ascii="Arial" w:eastAsia="Arial" w:hAnsi="Arial" w:cs="Arial"/>
                <w:b/>
                <w:bCs/>
                <w:sz w:val="20"/>
                <w:szCs w:val="20"/>
                <w:lang w:val="lt-LT"/>
              </w:rPr>
              <w:t>3</w:t>
            </w:r>
            <w:r w:rsidR="006B3253" w:rsidRPr="004E43D0">
              <w:rPr>
                <w:rFonts w:ascii="Arial" w:eastAsia="Arial" w:hAnsi="Arial" w:cs="Arial"/>
                <w:b/>
                <w:bCs/>
                <w:sz w:val="20"/>
                <w:szCs w:val="20"/>
                <w:lang w:val="lt-LT"/>
              </w:rPr>
              <w:t>-</w:t>
            </w:r>
            <w:r w:rsidR="001A04B7">
              <w:rPr>
                <w:rFonts w:ascii="Arial" w:eastAsia="Arial" w:hAnsi="Arial" w:cs="Arial"/>
                <w:b/>
                <w:bCs/>
                <w:sz w:val="20"/>
                <w:szCs w:val="20"/>
                <w:lang w:val="lt-LT"/>
              </w:rPr>
              <w:t>04</w:t>
            </w:r>
            <w:r w:rsidR="00E76109" w:rsidRPr="00870BDE">
              <w:rPr>
                <w:rFonts w:ascii="Arial" w:eastAsia="Arial" w:hAnsi="Arial" w:cs="Arial"/>
                <w:b/>
                <w:bCs/>
                <w:sz w:val="20"/>
                <w:szCs w:val="20"/>
                <w:lang w:val="lt-LT"/>
              </w:rPr>
              <w:t xml:space="preserve"> d. 1</w:t>
            </w:r>
            <w:r w:rsidR="001A04B7">
              <w:rPr>
                <w:rFonts w:ascii="Arial" w:eastAsia="Arial" w:hAnsi="Arial" w:cs="Arial"/>
                <w:b/>
                <w:bCs/>
                <w:sz w:val="20"/>
                <w:szCs w:val="20"/>
                <w:lang w:val="lt-LT"/>
              </w:rPr>
              <w:t>0</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6CA2A91" w:rsidR="3F63CA89" w:rsidRPr="009E6689" w:rsidRDefault="3F63CA89" w:rsidP="009E66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 xml:space="preserve">vyresnioji pirkimų specialistė </w:t>
            </w:r>
            <w:r w:rsidR="00C15DFE">
              <w:rPr>
                <w:rFonts w:ascii="Arial" w:eastAsia="Arial" w:hAnsi="Arial" w:cs="Arial"/>
                <w:sz w:val="20"/>
                <w:szCs w:val="20"/>
                <w:lang w:val="lt-LT"/>
              </w:rPr>
              <w:t>Viktorija Uzdilienė</w:t>
            </w:r>
            <w:r w:rsidR="00A21795" w:rsidRPr="00870BDE">
              <w:rPr>
                <w:rFonts w:ascii="Arial" w:eastAsia="Arial" w:hAnsi="Arial" w:cs="Arial"/>
                <w:sz w:val="20"/>
                <w:szCs w:val="20"/>
                <w:lang w:val="lt-LT"/>
              </w:rPr>
              <w:t>, mob. tel. +370</w:t>
            </w:r>
            <w:r w:rsidR="00C15DFE">
              <w:rPr>
                <w:rFonts w:ascii="Arial" w:eastAsia="Arial" w:hAnsi="Arial" w:cs="Arial"/>
                <w:sz w:val="20"/>
                <w:szCs w:val="20"/>
                <w:lang w:val="lt-LT"/>
              </w:rPr>
              <w:t> 673 03875</w:t>
            </w:r>
            <w:r w:rsidR="00A21795"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el. paštas </w:t>
            </w:r>
            <w:hyperlink r:id="rId12" w:history="1">
              <w:r w:rsidR="00C15DFE" w:rsidRPr="00E25A54">
                <w:rPr>
                  <w:rStyle w:val="Hyperlink"/>
                  <w:rFonts w:ascii="Arial" w:eastAsia="Arial" w:hAnsi="Arial" w:cs="Arial"/>
                  <w:sz w:val="20"/>
                  <w:szCs w:val="20"/>
                  <w:lang w:val="lt-LT"/>
                </w:rPr>
                <w:t>viktorija.uzdiliene@cr.vu.lt</w:t>
              </w:r>
            </w:hyperlink>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p w14:paraId="36EFCC44" w14:textId="34CFC715" w:rsidR="3F63CA89" w:rsidRPr="00463749" w:rsidRDefault="3F63CA89" w:rsidP="00463749">
      <w:pPr>
        <w:ind w:left="720"/>
        <w:rPr>
          <w:rFonts w:ascii="Arial" w:hAnsi="Arial" w:cs="Arial"/>
          <w:sz w:val="20"/>
          <w:szCs w:val="20"/>
          <w:lang w:val="lt-LT"/>
        </w:rPr>
      </w:pPr>
    </w:p>
    <w:sectPr w:rsidR="3F63CA89" w:rsidRPr="00463749" w:rsidSect="00EE4930">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C8983" w14:textId="77777777" w:rsidR="00201290" w:rsidRDefault="00201290">
      <w:r>
        <w:separator/>
      </w:r>
    </w:p>
  </w:endnote>
  <w:endnote w:type="continuationSeparator" w:id="0">
    <w:p w14:paraId="42D60AEF" w14:textId="77777777" w:rsidR="00201290" w:rsidRDefault="0020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B27B" w14:textId="77777777" w:rsidR="00201290" w:rsidRDefault="00201290">
      <w:r>
        <w:separator/>
      </w:r>
    </w:p>
  </w:footnote>
  <w:footnote w:type="continuationSeparator" w:id="0">
    <w:p w14:paraId="28DD66B6" w14:textId="77777777" w:rsidR="00201290" w:rsidRDefault="0020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A04B7"/>
    <w:rsid w:val="001B6F8F"/>
    <w:rsid w:val="001C0CBC"/>
    <w:rsid w:val="001D2280"/>
    <w:rsid w:val="00201290"/>
    <w:rsid w:val="002012D3"/>
    <w:rsid w:val="0020764E"/>
    <w:rsid w:val="00210346"/>
    <w:rsid w:val="0021175D"/>
    <w:rsid w:val="0021237B"/>
    <w:rsid w:val="00215121"/>
    <w:rsid w:val="002220EE"/>
    <w:rsid w:val="00226285"/>
    <w:rsid w:val="00241E4D"/>
    <w:rsid w:val="00244EA2"/>
    <w:rsid w:val="00247D43"/>
    <w:rsid w:val="00272816"/>
    <w:rsid w:val="0027633A"/>
    <w:rsid w:val="00284EFE"/>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3749"/>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A720D"/>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9E6689"/>
    <w:rsid w:val="009F2C39"/>
    <w:rsid w:val="009F34BD"/>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276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5DFE"/>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5E8"/>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0419141">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54700577">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uzdil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4.xml><?xml version="1.0" encoding="utf-8"?>
<ds:datastoreItem xmlns:ds="http://schemas.openxmlformats.org/officeDocument/2006/customXml" ds:itemID="{816BD237-F05F-4F78-8F5D-B393A98DB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1926</Words>
  <Characters>1098</Characters>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2017-12-13T11:48:00Z</cp:lastPrinted>
  <dcterms:created xsi:type="dcterms:W3CDTF">2022-02-03T12:18:00Z</dcterms:created>
  <dcterms:modified xsi:type="dcterms:W3CDTF">2026-02-27T07:56:00Z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