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D7BC" w14:textId="77777777" w:rsidR="00B340DF" w:rsidRPr="00B02397" w:rsidRDefault="00B340DF" w:rsidP="00B340DF">
      <w:pPr>
        <w:spacing w:line="300" w:lineRule="atLeast"/>
        <w:jc w:val="both"/>
        <w:rPr>
          <w:b/>
          <w:bCs/>
          <w:color w:val="000000"/>
          <w:lang w:val="lt-LT"/>
        </w:rPr>
      </w:pPr>
      <w:r w:rsidRPr="00B02397">
        <w:rPr>
          <w:b/>
          <w:bCs/>
          <w:color w:val="000000"/>
          <w:lang w:val="lt-LT"/>
        </w:rPr>
        <w:t>DĖL ATSAKYMO Į KLAUSIMĄ</w:t>
      </w:r>
    </w:p>
    <w:p w14:paraId="7D983BBB" w14:textId="77777777" w:rsidR="00B340DF" w:rsidRPr="00B02397" w:rsidRDefault="00B340DF" w:rsidP="00B340DF">
      <w:pPr>
        <w:spacing w:line="300" w:lineRule="atLeast"/>
        <w:jc w:val="both"/>
        <w:rPr>
          <w:color w:val="000000"/>
          <w:lang w:val="lt-LT"/>
        </w:rPr>
      </w:pPr>
    </w:p>
    <w:p w14:paraId="54387F7A" w14:textId="77777777" w:rsidR="00B340DF" w:rsidRPr="00B02397" w:rsidRDefault="00B340DF" w:rsidP="00B340DF">
      <w:pPr>
        <w:spacing w:line="300" w:lineRule="atLeast"/>
        <w:ind w:firstLine="720"/>
        <w:jc w:val="both"/>
        <w:rPr>
          <w:color w:val="000000"/>
          <w:lang w:val="lt-LT"/>
        </w:rPr>
      </w:pPr>
    </w:p>
    <w:p w14:paraId="167F3F9E" w14:textId="77777777" w:rsidR="00B340DF" w:rsidRPr="00B02397" w:rsidRDefault="00B340DF" w:rsidP="00B340DF">
      <w:pPr>
        <w:spacing w:line="300" w:lineRule="atLeast"/>
        <w:ind w:firstLine="720"/>
        <w:jc w:val="both"/>
        <w:rPr>
          <w:color w:val="000000"/>
          <w:lang w:val="lt-LT"/>
        </w:rPr>
      </w:pPr>
      <w:r w:rsidRPr="00B02397">
        <w:rPr>
          <w:color w:val="000000"/>
          <w:lang w:val="lt-LT"/>
        </w:rPr>
        <w:t>Viešoji įstaiga CPO LT, vykdydama viešąjį pirkimą „</w:t>
      </w:r>
      <w:r w:rsidRPr="00B02397">
        <w:rPr>
          <w:rFonts w:eastAsia="Times New Roman"/>
          <w:bdr w:val="none" w:sz="0" w:space="0" w:color="auto" w:frame="1"/>
          <w:lang w:val="lt-LT" w:eastAsia="lt-LT"/>
        </w:rPr>
        <w:t>TELEFONIJOS RYŠIO IR SKAMBUČIŲ CENTRO PASLAUGOS</w:t>
      </w:r>
      <w:r w:rsidRPr="00B02397">
        <w:rPr>
          <w:lang w:val="lt-LT"/>
        </w:rPr>
        <w:t xml:space="preserve">”, </w:t>
      </w:r>
      <w:r w:rsidRPr="00B02397">
        <w:rPr>
          <w:color w:val="000000"/>
          <w:lang w:val="lt-LT"/>
        </w:rPr>
        <w:t xml:space="preserve">gavo suinteresuoto tiekėjo klausimą. </w:t>
      </w:r>
    </w:p>
    <w:p w14:paraId="2AB85123" w14:textId="77777777" w:rsidR="00B340DF" w:rsidRPr="00B02397" w:rsidRDefault="00B340DF" w:rsidP="00B340DF">
      <w:pPr>
        <w:ind w:firstLine="851"/>
        <w:jc w:val="both"/>
        <w:rPr>
          <w:lang w:val="lt-LT"/>
        </w:rPr>
      </w:pPr>
      <w:r w:rsidRPr="00B02397">
        <w:rPr>
          <w:lang w:val="lt-LT" w:eastAsia="en-GB"/>
        </w:rPr>
        <w:t xml:space="preserve">Vadovaudamiesi Lietuvos Respublikos viešųjų pirkimų įstatymo 36 str. 5 d. </w:t>
      </w:r>
      <w:bookmarkStart w:id="0" w:name="_Hlk98232754"/>
      <w:r w:rsidRPr="00B02397">
        <w:rPr>
          <w:lang w:val="lt-LT" w:eastAsia="en-GB"/>
        </w:rPr>
        <w:t>bei Bendrųjų pirkimo sąlygų 5.2 p</w:t>
      </w:r>
      <w:bookmarkEnd w:id="0"/>
      <w:r w:rsidRPr="00B02397">
        <w:rPr>
          <w:lang w:val="lt-LT" w:eastAsia="en-GB"/>
        </w:rPr>
        <w:t>.,</w:t>
      </w:r>
      <w:r w:rsidRPr="00B02397">
        <w:rPr>
          <w:lang w:val="lt-LT"/>
        </w:rPr>
        <w:t xml:space="preserve"> teikiamas atsakymas į klausimą:</w:t>
      </w:r>
    </w:p>
    <w:tbl>
      <w:tblPr>
        <w:tblStyle w:val="TableGrid"/>
        <w:tblW w:w="9890" w:type="dxa"/>
        <w:tblInd w:w="-95" w:type="dxa"/>
        <w:tblLook w:val="04A0" w:firstRow="1" w:lastRow="0" w:firstColumn="1" w:lastColumn="0" w:noHBand="0" w:noVBand="1"/>
      </w:tblPr>
      <w:tblGrid>
        <w:gridCol w:w="570"/>
        <w:gridCol w:w="4847"/>
        <w:gridCol w:w="4473"/>
      </w:tblGrid>
      <w:tr w:rsidR="00B340DF" w:rsidRPr="00B02397" w14:paraId="254D80A1" w14:textId="77777777" w:rsidTr="00A55DF9">
        <w:tc>
          <w:tcPr>
            <w:tcW w:w="570" w:type="dxa"/>
            <w:vAlign w:val="center"/>
          </w:tcPr>
          <w:p w14:paraId="7C0D8327" w14:textId="77777777" w:rsidR="00B340DF" w:rsidRPr="00B02397" w:rsidRDefault="00B340DF" w:rsidP="00A55DF9">
            <w:pPr>
              <w:rPr>
                <w:b/>
                <w:bCs/>
                <w:i/>
                <w:iCs/>
              </w:rPr>
            </w:pPr>
            <w:r w:rsidRPr="00B02397">
              <w:rPr>
                <w:b/>
                <w:bCs/>
                <w:i/>
                <w:iCs/>
              </w:rPr>
              <w:t>Eil. Nr.</w:t>
            </w:r>
          </w:p>
        </w:tc>
        <w:tc>
          <w:tcPr>
            <w:tcW w:w="4847" w:type="dxa"/>
            <w:vAlign w:val="center"/>
          </w:tcPr>
          <w:p w14:paraId="2D6D6E66" w14:textId="77777777" w:rsidR="00B340DF" w:rsidRPr="00B02397" w:rsidRDefault="00B340DF" w:rsidP="00A55DF9">
            <w:pPr>
              <w:jc w:val="center"/>
              <w:rPr>
                <w:b/>
                <w:bCs/>
                <w:i/>
                <w:iCs/>
              </w:rPr>
            </w:pPr>
            <w:r w:rsidRPr="00B02397">
              <w:rPr>
                <w:b/>
                <w:bCs/>
                <w:i/>
                <w:iCs/>
              </w:rPr>
              <w:t>KLAUSIMAS</w:t>
            </w:r>
          </w:p>
        </w:tc>
        <w:tc>
          <w:tcPr>
            <w:tcW w:w="4473" w:type="dxa"/>
            <w:vAlign w:val="center"/>
          </w:tcPr>
          <w:p w14:paraId="5A310303" w14:textId="77777777" w:rsidR="00B340DF" w:rsidRPr="00B02397" w:rsidRDefault="00B340DF" w:rsidP="00A55DF9">
            <w:pPr>
              <w:jc w:val="center"/>
              <w:rPr>
                <w:b/>
                <w:bCs/>
                <w:i/>
                <w:iCs/>
              </w:rPr>
            </w:pPr>
            <w:r w:rsidRPr="00B02397">
              <w:rPr>
                <w:b/>
                <w:bCs/>
                <w:i/>
                <w:iCs/>
              </w:rPr>
              <w:t>ATSAKYMAS</w:t>
            </w:r>
          </w:p>
        </w:tc>
      </w:tr>
      <w:tr w:rsidR="00B340DF" w:rsidRPr="00B02397" w14:paraId="568DEF68" w14:textId="77777777" w:rsidTr="00A55DF9">
        <w:tc>
          <w:tcPr>
            <w:tcW w:w="570" w:type="dxa"/>
          </w:tcPr>
          <w:p w14:paraId="294C619A" w14:textId="77777777" w:rsidR="00B340DF" w:rsidRPr="00B02397" w:rsidRDefault="00B340DF" w:rsidP="00A55DF9">
            <w:pPr>
              <w:jc w:val="both"/>
              <w:rPr>
                <w:rFonts w:eastAsia="Times New Roman"/>
                <w:lang w:eastAsia="lt-LT"/>
              </w:rPr>
            </w:pPr>
            <w:r w:rsidRPr="00B02397">
              <w:rPr>
                <w:rFonts w:eastAsia="Times New Roman"/>
                <w:lang w:eastAsia="lt-LT"/>
              </w:rPr>
              <w:t>1.</w:t>
            </w:r>
          </w:p>
        </w:tc>
        <w:tc>
          <w:tcPr>
            <w:tcW w:w="4847" w:type="dxa"/>
          </w:tcPr>
          <w:p w14:paraId="724924DD" w14:textId="77777777" w:rsidR="00B340DF" w:rsidRPr="00B02397" w:rsidRDefault="00B340DF" w:rsidP="00A55DF9">
            <w:pPr>
              <w:jc w:val="both"/>
            </w:pPr>
            <w:r w:rsidRPr="00B02397">
              <w:t>Vadovaujantis Techninės specifikacijos 93 punktu, prašome patvirtinti, ar tuo atveju, kai esama Perkančiosios organizacijos infrastruktūra ir turimi aparatai yra techniškai suderinami su Tiekėjo siūlomu sprendimu ir papildoma įranga nėra siūloma, Techninės specifikacijos 6 ir 7 lentelių bei pasiūlymo formos dalies „Informacija apie įrangos gamintoją (-</w:t>
            </w:r>
            <w:proofErr w:type="spellStart"/>
            <w:r w:rsidRPr="00B02397">
              <w:t>us</w:t>
            </w:r>
            <w:proofErr w:type="spellEnd"/>
            <w:r w:rsidRPr="00B02397">
              <w:t xml:space="preserve">)“ </w:t>
            </w:r>
            <w:proofErr w:type="spellStart"/>
            <w:r w:rsidRPr="00B02397">
              <w:t>nepildymas</w:t>
            </w:r>
            <w:proofErr w:type="spellEnd"/>
            <w:r w:rsidRPr="00B02397">
              <w:t xml:space="preserve"> nebus laikomas pasiūlymo neatitiktimi pirkimo dokumentų reikalavimams, esminiu trūkumu ar formalia klaida.</w:t>
            </w:r>
            <w:r w:rsidRPr="00B02397">
              <w:br/>
              <w:t>Taip pat prašome patvirtinti, kad dėl minėtų lentelių ir informacijos nepateikimo Tiekėjo pasiūlymas nebūtų atmetamas ar vertinamas kaip neatitinkantis pirkimo sąlygų.</w:t>
            </w:r>
          </w:p>
        </w:tc>
        <w:tc>
          <w:tcPr>
            <w:tcW w:w="4473" w:type="dxa"/>
          </w:tcPr>
          <w:p w14:paraId="7B181CE8" w14:textId="77777777" w:rsidR="00B340DF" w:rsidRPr="00B02397" w:rsidRDefault="00B340DF" w:rsidP="00A55DF9">
            <w:pPr>
              <w:jc w:val="both"/>
              <w:rPr>
                <w:i/>
                <w:iCs/>
              </w:rPr>
            </w:pPr>
            <w:r w:rsidRPr="00B02397">
              <w:t xml:space="preserve">Techninės specifikacijos 93 p. nustatyta </w:t>
            </w:r>
            <w:r w:rsidRPr="00B02397">
              <w:rPr>
                <w:i/>
                <w:iCs/>
              </w:rPr>
              <w:t xml:space="preserve">„Reikalavimas galinei įrangai. Techninė įranga Pirkėjui turi būti pateikiama ir įrengiama paslaugos diegimo metu tais atvejais, kai esama Pirkėjo infrastruktūra ar turimi aparatai yra techniškai nesuderinami su Tiekėjo siūlomu sprendimu. </w:t>
            </w:r>
            <w:r w:rsidRPr="00B02397">
              <w:rPr>
                <w:b/>
                <w:bCs/>
                <w:i/>
                <w:iCs/>
              </w:rPr>
              <w:t>Pirkėjas šios įrangos neperka, nenuomoja ir nenaudoja išperkamosios nuomos būdu – Tiekėjas ją teikia savo lėšomis kaip būtinąją techninę priemonę Paslaugų teikimui užtikrinti. Visi su šios įrangos pateikimu, diegimu, priežiūra ir keitimu susiję kaštai privalo būti įskaičiuoti į bendrą Paslaugų teikimo kainą</w:t>
            </w:r>
            <w:r w:rsidRPr="00B02397">
              <w:rPr>
                <w:i/>
                <w:iCs/>
              </w:rPr>
              <w:t>.“.</w:t>
            </w:r>
          </w:p>
          <w:p w14:paraId="6719DC67" w14:textId="77777777" w:rsidR="00B340DF" w:rsidRPr="00B02397" w:rsidRDefault="00B340DF" w:rsidP="00A55DF9">
            <w:pPr>
              <w:jc w:val="both"/>
            </w:pPr>
          </w:p>
          <w:p w14:paraId="66293973" w14:textId="77777777" w:rsidR="00B340DF" w:rsidRPr="00B02397" w:rsidRDefault="00B340DF" w:rsidP="00A55DF9">
            <w:pPr>
              <w:jc w:val="both"/>
            </w:pPr>
            <w:r w:rsidRPr="00B02397">
              <w:t>Atsižvelgiant į tai, jeigu Tiekėjo siūlomas sprendinys yra techniškai suderinamas su Perkančiosios organizacijos turima infrastruktūra ir telefonų aparatais ir Tiekėjas naujos galinės įrangos neteikia, tokiu atveju Tiekėjas nepildo Techninės specifikacijos 6 ir 7 lentelių bei pasiūlymo formos dalies „Informacija apie įrangos gamintoją (-</w:t>
            </w:r>
            <w:proofErr w:type="spellStart"/>
            <w:r w:rsidRPr="00B02397">
              <w:t>us</w:t>
            </w:r>
            <w:proofErr w:type="spellEnd"/>
            <w:r w:rsidRPr="00B02397">
              <w:t>)“ telefono aparatų dalyje.</w:t>
            </w:r>
          </w:p>
        </w:tc>
      </w:tr>
    </w:tbl>
    <w:p w14:paraId="1E264193" w14:textId="77777777" w:rsidR="00B340DF" w:rsidRPr="00B02397" w:rsidRDefault="00B340DF" w:rsidP="00B340DF">
      <w:pPr>
        <w:pStyle w:val="FreeForm"/>
        <w:keepNext/>
        <w:spacing w:line="300" w:lineRule="atLeast"/>
        <w:rPr>
          <w:lang w:val="lt-LT"/>
        </w:rPr>
      </w:pPr>
    </w:p>
    <w:p w14:paraId="3CAE613F" w14:textId="77777777" w:rsidR="00B340DF" w:rsidRPr="00B02397" w:rsidRDefault="00B340DF" w:rsidP="00B340DF">
      <w:pPr>
        <w:pStyle w:val="FreeForm"/>
        <w:keepNext/>
        <w:spacing w:line="300" w:lineRule="atLeast"/>
        <w:rPr>
          <w:lang w:val="lt-LT"/>
        </w:rPr>
      </w:pPr>
    </w:p>
    <w:p w14:paraId="08D57440" w14:textId="77777777" w:rsidR="00B340DF" w:rsidRPr="00B02397" w:rsidRDefault="00B340DF" w:rsidP="00B340DF">
      <w:pPr>
        <w:pStyle w:val="Caption"/>
        <w:rPr>
          <w:i w:val="0"/>
          <w:iCs w:val="0"/>
          <w:color w:val="auto"/>
          <w:sz w:val="24"/>
          <w:szCs w:val="24"/>
          <w:lang w:val="lt-LT"/>
        </w:rPr>
      </w:pPr>
      <w:r w:rsidRPr="00B02397">
        <w:rPr>
          <w:i w:val="0"/>
          <w:iCs w:val="0"/>
          <w:color w:val="auto"/>
          <w:sz w:val="24"/>
          <w:szCs w:val="24"/>
          <w:lang w:val="lt-LT"/>
        </w:rPr>
        <w:t>Viešojo pirkimo komisija</w:t>
      </w:r>
    </w:p>
    <w:p w14:paraId="7FD95DDD" w14:textId="77777777" w:rsidR="00B340DF" w:rsidRPr="00B02397" w:rsidRDefault="00B340DF" w:rsidP="00B340DF">
      <w:pPr>
        <w:pStyle w:val="FreeForm"/>
        <w:tabs>
          <w:tab w:val="left" w:pos="720"/>
          <w:tab w:val="left" w:pos="1440"/>
          <w:tab w:val="left" w:pos="2160"/>
          <w:tab w:val="left" w:pos="2880"/>
          <w:tab w:val="left" w:pos="3600"/>
          <w:tab w:val="left" w:pos="4320"/>
          <w:tab w:val="left" w:pos="5040"/>
          <w:tab w:val="left" w:pos="5835"/>
        </w:tabs>
        <w:spacing w:line="300" w:lineRule="atLeast"/>
        <w:jc w:val="both"/>
        <w:rPr>
          <w:rFonts w:ascii="Times New Roman" w:hAnsi="Times New Roman" w:cs="Times New Roman"/>
          <w:color w:val="auto"/>
          <w:sz w:val="24"/>
          <w:szCs w:val="24"/>
          <w:lang w:val="lt-LT"/>
        </w:rPr>
      </w:pPr>
    </w:p>
    <w:p w14:paraId="50F2E457" w14:textId="77777777" w:rsidR="00B340DF" w:rsidRPr="00B02397" w:rsidRDefault="00B340DF" w:rsidP="00B340DF">
      <w:pPr>
        <w:pStyle w:val="FreeForm"/>
        <w:tabs>
          <w:tab w:val="left" w:pos="720"/>
          <w:tab w:val="left" w:pos="1440"/>
          <w:tab w:val="left" w:pos="2160"/>
          <w:tab w:val="left" w:pos="2880"/>
          <w:tab w:val="left" w:pos="3600"/>
          <w:tab w:val="left" w:pos="4320"/>
          <w:tab w:val="left" w:pos="5040"/>
          <w:tab w:val="left" w:pos="5835"/>
        </w:tabs>
        <w:spacing w:line="300" w:lineRule="atLeast"/>
        <w:jc w:val="both"/>
        <w:rPr>
          <w:rFonts w:ascii="Times New Roman" w:hAnsi="Times New Roman" w:cs="Times New Roman"/>
          <w:color w:val="auto"/>
          <w:sz w:val="24"/>
          <w:szCs w:val="24"/>
          <w:lang w:val="lt-LT"/>
        </w:rPr>
      </w:pPr>
    </w:p>
    <w:p w14:paraId="05D07C43" w14:textId="77777777" w:rsidR="00C3164D" w:rsidRDefault="00C3164D"/>
    <w:sectPr w:rsidR="00C3164D" w:rsidSect="00B340DF">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DF"/>
    <w:rsid w:val="000A3095"/>
    <w:rsid w:val="000B3188"/>
    <w:rsid w:val="00476686"/>
    <w:rsid w:val="004C00D7"/>
    <w:rsid w:val="005F6CF5"/>
    <w:rsid w:val="007159B3"/>
    <w:rsid w:val="00B340DF"/>
    <w:rsid w:val="00BF129A"/>
    <w:rsid w:val="00C3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7B2B"/>
  <w15:chartTrackingRefBased/>
  <w15:docId w15:val="{A1E2BD31-90C0-4161-AA5E-5EE56246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0DF"/>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B340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40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40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40D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340D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340D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340D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340D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340D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0DF"/>
    <w:rPr>
      <w:rFonts w:eastAsiaTheme="majorEastAsia" w:cstheme="majorBidi"/>
      <w:color w:val="272727" w:themeColor="text1" w:themeTint="D8"/>
    </w:rPr>
  </w:style>
  <w:style w:type="paragraph" w:styleId="Title">
    <w:name w:val="Title"/>
    <w:basedOn w:val="Normal"/>
    <w:next w:val="Normal"/>
    <w:link w:val="TitleChar"/>
    <w:uiPriority w:val="10"/>
    <w:qFormat/>
    <w:rsid w:val="00B340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0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0D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340DF"/>
    <w:rPr>
      <w:i/>
      <w:iCs/>
      <w:color w:val="404040" w:themeColor="text1" w:themeTint="BF"/>
    </w:rPr>
  </w:style>
  <w:style w:type="paragraph" w:styleId="ListParagraph">
    <w:name w:val="List Paragraph"/>
    <w:basedOn w:val="Normal"/>
    <w:uiPriority w:val="34"/>
    <w:qFormat/>
    <w:rsid w:val="00B340D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340DF"/>
    <w:rPr>
      <w:i/>
      <w:iCs/>
      <w:color w:val="0F4761" w:themeColor="accent1" w:themeShade="BF"/>
    </w:rPr>
  </w:style>
  <w:style w:type="paragraph" w:styleId="IntenseQuote">
    <w:name w:val="Intense Quote"/>
    <w:basedOn w:val="Normal"/>
    <w:next w:val="Normal"/>
    <w:link w:val="IntenseQuoteChar"/>
    <w:uiPriority w:val="30"/>
    <w:qFormat/>
    <w:rsid w:val="00B340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340DF"/>
    <w:rPr>
      <w:i/>
      <w:iCs/>
      <w:color w:val="0F4761" w:themeColor="accent1" w:themeShade="BF"/>
    </w:rPr>
  </w:style>
  <w:style w:type="character" w:styleId="IntenseReference">
    <w:name w:val="Intense Reference"/>
    <w:basedOn w:val="DefaultParagraphFont"/>
    <w:uiPriority w:val="32"/>
    <w:qFormat/>
    <w:rsid w:val="00B340DF"/>
    <w:rPr>
      <w:b/>
      <w:bCs/>
      <w:smallCaps/>
      <w:color w:val="0F4761" w:themeColor="accent1" w:themeShade="BF"/>
      <w:spacing w:val="5"/>
    </w:rPr>
  </w:style>
  <w:style w:type="paragraph" w:customStyle="1" w:styleId="FreeForm">
    <w:name w:val="Free Form"/>
    <w:uiPriority w:val="99"/>
    <w:rsid w:val="00B340DF"/>
    <w:pPr>
      <w:spacing w:after="0" w:line="240" w:lineRule="auto"/>
    </w:pPr>
    <w:rPr>
      <w:rFonts w:ascii="Helvetica Neue" w:eastAsia="Arial Unicode MS" w:hAnsi="Helvetica Neue" w:cs="Arial Unicode MS"/>
      <w:color w:val="413F3C"/>
      <w:kern w:val="0"/>
      <w:sz w:val="16"/>
      <w:szCs w:val="16"/>
      <w14:ligatures w14:val="none"/>
    </w:rPr>
  </w:style>
  <w:style w:type="table" w:styleId="TableGrid">
    <w:name w:val="Table Grid"/>
    <w:basedOn w:val="TableNormal"/>
    <w:uiPriority w:val="39"/>
    <w:rsid w:val="00B340DF"/>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340DF"/>
    <w:pPr>
      <w:pBdr>
        <w:top w:val="nil"/>
        <w:left w:val="nil"/>
        <w:bottom w:val="nil"/>
        <w:right w:val="nil"/>
        <w:between w:val="nil"/>
        <w:bar w:val="nil"/>
      </w:pBdr>
      <w:spacing w:after="200"/>
    </w:pPr>
    <w:rPr>
      <w:i/>
      <w:iCs/>
      <w:color w:val="0E2841" w:themeColor="text2"/>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1</cp:revision>
  <dcterms:created xsi:type="dcterms:W3CDTF">2026-02-27T09:36:00Z</dcterms:created>
  <dcterms:modified xsi:type="dcterms:W3CDTF">2026-02-27T09:37:00Z</dcterms:modified>
</cp:coreProperties>
</file>