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8CF1" w14:textId="5B162C23" w:rsidR="00F9303C" w:rsidRPr="001F62F8" w:rsidRDefault="006A00F0" w:rsidP="004D69B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bookmarkStart w:id="0" w:name="_Hlk176868103"/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Miško augalų lapijos ir šaknų analizės </w:t>
      </w:r>
      <w:r w:rsidR="00F9303C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sistemos pirkimas</w:t>
      </w:r>
    </w:p>
    <w:p w14:paraId="6DFFB784" w14:textId="77777777" w:rsidR="00F9303C" w:rsidRPr="001F62F8" w:rsidRDefault="00F9303C" w:rsidP="004D69B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bookmarkEnd w:id="0"/>
    <w:p w14:paraId="0630251D" w14:textId="77777777" w:rsidR="00F9303C" w:rsidRPr="001F62F8" w:rsidRDefault="00F9303C" w:rsidP="004D69B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TECHNINĖ SPECIFIKACIJA</w:t>
      </w:r>
    </w:p>
    <w:p w14:paraId="000C7B38" w14:textId="77777777" w:rsidR="00F9303C" w:rsidRPr="001F62F8" w:rsidRDefault="00F9303C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32B6585E" w14:textId="073EEE2F" w:rsidR="008B1329" w:rsidRPr="001F62F8" w:rsidRDefault="006A00F0" w:rsidP="004D69BD">
      <w:pPr>
        <w:ind w:right="-613"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Miško augalų lapijos ir šaknų analizės 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>sistem</w:t>
      </w:r>
      <w:r w:rsidR="001F62F8">
        <w:rPr>
          <w:rFonts w:ascii="Times New Roman" w:hAnsi="Times New Roman" w:cs="Times New Roman"/>
          <w:sz w:val="22"/>
          <w:szCs w:val="22"/>
          <w:lang w:val="lt-LT"/>
        </w:rPr>
        <w:t xml:space="preserve">os pirkimą 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sudaro </w:t>
      </w:r>
      <w:r w:rsidR="005A2276" w:rsidRPr="001F62F8">
        <w:rPr>
          <w:rFonts w:ascii="Times New Roman" w:hAnsi="Times New Roman" w:cs="Times New Roman"/>
          <w:sz w:val="22"/>
          <w:szCs w:val="22"/>
          <w:lang w:val="lt-LT"/>
        </w:rPr>
        <w:t>4</w:t>
      </w:r>
      <w:r w:rsidR="009836D6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>dalys:</w:t>
      </w:r>
    </w:p>
    <w:p w14:paraId="1868EA2A" w14:textId="70088A34" w:rsidR="008B1329" w:rsidRPr="001F62F8" w:rsidRDefault="008B1329" w:rsidP="004D69BD">
      <w:pPr>
        <w:ind w:left="709" w:right="-613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1. </w:t>
      </w:r>
      <w:r w:rsidR="00F24F66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Augalų šaknų ir lapų parametrų nustatymo sistema</w:t>
      </w:r>
      <w:r w:rsidR="004D69BD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, 1 </w:t>
      </w:r>
      <w:proofErr w:type="spellStart"/>
      <w:r w:rsidR="004D69BD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kompl</w:t>
      </w:r>
      <w:proofErr w:type="spellEnd"/>
      <w:r w:rsidR="004D69BD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. 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>(</w:t>
      </w:r>
      <w:r w:rsidR="004D69BD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Šaknų </w:t>
      </w:r>
      <w:proofErr w:type="spellStart"/>
      <w:r w:rsidR="004D69BD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morfometrinės</w:t>
      </w:r>
      <w:proofErr w:type="spellEnd"/>
      <w:r w:rsidR="004D69BD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 analizės sistema su programine įranga, 1 vnt.; </w:t>
      </w:r>
      <w:r w:rsidR="004D69BD" w:rsidRPr="001F62F8">
        <w:rPr>
          <w:rFonts w:ascii="Times New Roman" w:hAnsi="Times New Roman" w:cs="Times New Roman"/>
          <w:sz w:val="22"/>
          <w:szCs w:val="22"/>
          <w:lang w:val="lt-LT"/>
        </w:rPr>
        <w:t>Miško augalų lapijos analizės sistema su programine įranga, 1 vnt.)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; </w:t>
      </w:r>
    </w:p>
    <w:p w14:paraId="6449C178" w14:textId="77777777" w:rsidR="004D69BD" w:rsidRPr="001F62F8" w:rsidRDefault="005A2276" w:rsidP="004D69BD">
      <w:pPr>
        <w:ind w:left="709" w:right="-613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sz w:val="22"/>
          <w:szCs w:val="22"/>
          <w:lang w:val="lt-LT"/>
        </w:rPr>
        <w:t>2</w:t>
      </w:r>
      <w:r w:rsidR="007C2A34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="007C2A34" w:rsidRPr="001F62F8">
        <w:rPr>
          <w:rFonts w:ascii="Times New Roman" w:hAnsi="Times New Roman" w:cs="Times New Roman"/>
          <w:sz w:val="22"/>
          <w:szCs w:val="22"/>
          <w:lang w:val="lt-LT"/>
        </w:rPr>
        <w:t>Mikroplokštelių</w:t>
      </w:r>
      <w:proofErr w:type="spellEnd"/>
      <w:r w:rsidR="007C2A34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skaitytuvas </w:t>
      </w:r>
      <w:r w:rsidR="003B494F" w:rsidRPr="001F62F8">
        <w:rPr>
          <w:rFonts w:ascii="Times New Roman" w:hAnsi="Times New Roman" w:cs="Times New Roman"/>
          <w:sz w:val="22"/>
          <w:szCs w:val="22"/>
          <w:lang w:val="lt-LT"/>
        </w:rPr>
        <w:t>(</w:t>
      </w:r>
      <w:r w:rsidR="007C2A34" w:rsidRPr="001F62F8">
        <w:rPr>
          <w:rFonts w:ascii="Times New Roman" w:hAnsi="Times New Roman" w:cs="Times New Roman"/>
          <w:sz w:val="22"/>
          <w:szCs w:val="22"/>
          <w:lang w:val="lt-LT"/>
        </w:rPr>
        <w:t>1 vnt.);</w:t>
      </w:r>
    </w:p>
    <w:p w14:paraId="7EFCEC4F" w14:textId="15DFBA63" w:rsidR="003B494F" w:rsidRPr="001F62F8" w:rsidRDefault="004D69BD" w:rsidP="004D69BD">
      <w:pPr>
        <w:ind w:left="709" w:right="-613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3. Mėginių paruošimo įranga, 1 </w:t>
      </w:r>
      <w:proofErr w:type="spellStart"/>
      <w:r w:rsidRPr="001F62F8">
        <w:rPr>
          <w:rFonts w:ascii="Times New Roman" w:hAnsi="Times New Roman" w:cs="Times New Roman"/>
          <w:sz w:val="22"/>
          <w:szCs w:val="22"/>
          <w:lang w:val="lt-LT"/>
        </w:rPr>
        <w:t>kompl</w:t>
      </w:r>
      <w:proofErr w:type="spellEnd"/>
      <w:r w:rsidRPr="001F62F8">
        <w:rPr>
          <w:rFonts w:ascii="Times New Roman" w:hAnsi="Times New Roman" w:cs="Times New Roman"/>
          <w:sz w:val="22"/>
          <w:szCs w:val="22"/>
          <w:lang w:val="lt-LT"/>
        </w:rPr>
        <w:t>. (</w:t>
      </w:r>
      <w:r w:rsidR="005A2276" w:rsidRPr="001F62F8">
        <w:rPr>
          <w:rFonts w:ascii="Times New Roman" w:hAnsi="Times New Roman" w:cs="Times New Roman"/>
          <w:sz w:val="22"/>
          <w:szCs w:val="22"/>
          <w:lang w:val="lt-LT"/>
        </w:rPr>
        <w:t>Šaldanti centrifuga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="005A2276" w:rsidRPr="001F62F8">
        <w:rPr>
          <w:rFonts w:ascii="Times New Roman" w:hAnsi="Times New Roman" w:cs="Times New Roman"/>
          <w:sz w:val="22"/>
          <w:szCs w:val="22"/>
          <w:lang w:val="lt-LT"/>
        </w:rPr>
        <w:t>1 vnt.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; </w:t>
      </w:r>
      <w:proofErr w:type="spellStart"/>
      <w:r w:rsidRPr="001F62F8">
        <w:rPr>
          <w:rFonts w:ascii="Times New Roman" w:hAnsi="Times New Roman" w:cs="Times New Roman"/>
          <w:sz w:val="22"/>
          <w:szCs w:val="22"/>
          <w:lang w:val="lt-LT"/>
        </w:rPr>
        <w:t>H</w:t>
      </w:r>
      <w:r w:rsidR="003B494F" w:rsidRPr="001F62F8">
        <w:rPr>
          <w:rFonts w:ascii="Times New Roman" w:hAnsi="Times New Roman" w:cs="Times New Roman"/>
          <w:sz w:val="22"/>
          <w:szCs w:val="22"/>
          <w:lang w:val="lt-LT"/>
        </w:rPr>
        <w:t>omogenizatorius</w:t>
      </w:r>
      <w:proofErr w:type="spellEnd"/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="003B494F" w:rsidRPr="001F62F8">
        <w:rPr>
          <w:rFonts w:ascii="Times New Roman" w:hAnsi="Times New Roman" w:cs="Times New Roman"/>
          <w:sz w:val="22"/>
          <w:szCs w:val="22"/>
          <w:lang w:val="lt-LT"/>
        </w:rPr>
        <w:t>1 vnt.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; </w:t>
      </w:r>
      <w:r w:rsidR="005A2276" w:rsidRPr="001F62F8">
        <w:rPr>
          <w:rFonts w:ascii="Times New Roman" w:eastAsia="Calibri" w:hAnsi="Times New Roman" w:cs="Times New Roman"/>
          <w:iCs/>
          <w:sz w:val="22"/>
          <w:szCs w:val="22"/>
          <w:lang w:val="lt-LT"/>
        </w:rPr>
        <w:t>Džiovinimo spinta</w:t>
      </w:r>
      <w:r w:rsidRPr="001F62F8">
        <w:rPr>
          <w:rFonts w:ascii="Times New Roman" w:eastAsia="Calibri" w:hAnsi="Times New Roman" w:cs="Times New Roman"/>
          <w:iCs/>
          <w:sz w:val="22"/>
          <w:szCs w:val="22"/>
          <w:lang w:val="lt-LT"/>
        </w:rPr>
        <w:t xml:space="preserve">, </w:t>
      </w:r>
      <w:r w:rsidR="005A2276" w:rsidRPr="001F62F8">
        <w:rPr>
          <w:rFonts w:ascii="Times New Roman" w:hAnsi="Times New Roman" w:cs="Times New Roman"/>
          <w:sz w:val="22"/>
          <w:szCs w:val="22"/>
          <w:lang w:val="lt-LT"/>
        </w:rPr>
        <w:t>1 vnt.)</w:t>
      </w:r>
      <w:r w:rsidR="0053117D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78357A58" w14:textId="2AF905CD" w:rsidR="008B1329" w:rsidRPr="001F62F8" w:rsidRDefault="005A2276" w:rsidP="004D69BD">
      <w:pPr>
        <w:ind w:left="709" w:right="-613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sz w:val="22"/>
          <w:szCs w:val="22"/>
          <w:lang w:val="lt-LT"/>
        </w:rPr>
        <w:t>4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="006A00F0" w:rsidRPr="001F62F8">
        <w:rPr>
          <w:rFonts w:ascii="Times New Roman" w:hAnsi="Times New Roman" w:cs="Times New Roman"/>
          <w:sz w:val="22"/>
          <w:szCs w:val="22"/>
          <w:lang w:val="lt-LT"/>
        </w:rPr>
        <w:t>Stereo</w:t>
      </w:r>
      <w:proofErr w:type="spellEnd"/>
      <w:r w:rsidR="006A00F0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mikroskopas su kamera ir ekranu 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>(1 vnt.)</w:t>
      </w:r>
      <w:r w:rsidR="00682B2D">
        <w:rPr>
          <w:rFonts w:ascii="Times New Roman" w:hAnsi="Times New Roman" w:cs="Times New Roman"/>
          <w:sz w:val="22"/>
          <w:szCs w:val="22"/>
          <w:lang w:val="lt-LT"/>
        </w:rPr>
        <w:t>.</w:t>
      </w:r>
      <w:r w:rsidR="008B1329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36A3816C" w14:textId="11E1BF44" w:rsidR="008B1329" w:rsidRPr="001F62F8" w:rsidRDefault="008B1329" w:rsidP="004D69BD">
      <w:pPr>
        <w:ind w:right="-613"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6E56746" w14:textId="11DD5010" w:rsidR="006422F7" w:rsidRPr="001F62F8" w:rsidRDefault="006422F7" w:rsidP="004D69BD">
      <w:pPr>
        <w:ind w:right="-613" w:firstLine="567"/>
        <w:jc w:val="both"/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</w:pPr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Prekių pristatymo vieta</w:t>
      </w:r>
      <w:r w:rsidR="0061595D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 – </w:t>
      </w:r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LAMMC Miškų institutas, Liepų g. 1, Girionys, 53101 Kauno r.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Tiekėjas turi atlikti įrangos montavimo, instaliavimo darbus, turi įvykdyti paleidimą ir suderinimą, taip pat apmokyti naudotis įranga ne mažiau kaip 2 darbuotojus. Mokymų trukmė ne mažiau kaip 4 val.</w:t>
      </w:r>
    </w:p>
    <w:p w14:paraId="110C102D" w14:textId="57B2732D" w:rsidR="006422F7" w:rsidRPr="001F62F8" w:rsidRDefault="006422F7" w:rsidP="004D69BD">
      <w:pPr>
        <w:ind w:right="-613" w:firstLine="567"/>
        <w:jc w:val="both"/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</w:pPr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Kartu su priėmimo – perdavimo aktu turi pateikti įrangos naudojimo ir priežiūros instrukciją (-</w:t>
      </w:r>
      <w:proofErr w:type="spellStart"/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as</w:t>
      </w:r>
      <w:proofErr w:type="spellEnd"/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) lietuvių ir/arba anglų kalbomis</w:t>
      </w:r>
      <w:r w:rsidR="00972858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,</w:t>
      </w:r>
      <w:r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 kuriose būtų detaliai aprašyta kaip naudoti, prižiūrėti, reguliuoti įrangą ar jos dalis. </w:t>
      </w:r>
    </w:p>
    <w:p w14:paraId="781321FE" w14:textId="77777777" w:rsidR="006422F7" w:rsidRPr="001F62F8" w:rsidRDefault="006422F7" w:rsidP="004D69BD">
      <w:pPr>
        <w:ind w:right="-613" w:firstLine="567"/>
        <w:jc w:val="both"/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</w:pPr>
    </w:p>
    <w:p w14:paraId="05699A91" w14:textId="5DA21A5D" w:rsidR="0008122F" w:rsidRPr="001F62F8" w:rsidRDefault="00F9303C" w:rsidP="004D69BD">
      <w:pPr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1 dalis. </w:t>
      </w:r>
      <w:r w:rsidR="00314068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Augalų šaknų ir lapų parametrų nustatymo sistem</w:t>
      </w:r>
      <w:r w:rsidR="009B5C84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a</w:t>
      </w:r>
      <w:r w:rsidR="00314068" w:rsidRPr="001F62F8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, </w:t>
      </w:r>
      <w:r w:rsidR="00314068" w:rsidRPr="001F62F8">
        <w:rPr>
          <w:rFonts w:ascii="Times New Roman" w:eastAsia="Times New Roman" w:hAnsi="Times New Roman" w:cs="Times New Roman"/>
          <w:b/>
          <w:bCs/>
          <w:sz w:val="22"/>
          <w:szCs w:val="22"/>
          <w:lang w:val="lt-LT" w:eastAsia="ja-JP"/>
        </w:rPr>
        <w:t xml:space="preserve">1 </w:t>
      </w:r>
      <w:proofErr w:type="spellStart"/>
      <w:r w:rsidR="00314068" w:rsidRPr="001F62F8">
        <w:rPr>
          <w:rFonts w:ascii="Times New Roman" w:eastAsia="Times New Roman" w:hAnsi="Times New Roman" w:cs="Times New Roman"/>
          <w:b/>
          <w:bCs/>
          <w:sz w:val="22"/>
          <w:szCs w:val="22"/>
          <w:lang w:val="lt-LT" w:eastAsia="ja-JP"/>
        </w:rPr>
        <w:t>kompl</w:t>
      </w:r>
      <w:proofErr w:type="spellEnd"/>
      <w:r w:rsidR="00314068" w:rsidRPr="001F62F8">
        <w:rPr>
          <w:rFonts w:ascii="Times New Roman" w:eastAsia="Times New Roman" w:hAnsi="Times New Roman" w:cs="Times New Roman"/>
          <w:b/>
          <w:bCs/>
          <w:sz w:val="22"/>
          <w:szCs w:val="22"/>
          <w:lang w:val="lt-LT" w:eastAsia="ja-JP"/>
        </w:rPr>
        <w:t>.</w:t>
      </w:r>
    </w:p>
    <w:tbl>
      <w:tblPr>
        <w:tblW w:w="962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001"/>
        <w:gridCol w:w="6925"/>
      </w:tblGrid>
      <w:tr w:rsidR="009B5C84" w:rsidRPr="008C33A4" w14:paraId="6A84FD75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76AB44C1" w14:textId="77777777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9288" w14:textId="77777777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F72CF9" w14:textId="77777777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Reikalaujami minimalūs techniniai, funkciniai reikalavimų parametrai (rodikliai)</w:t>
            </w:r>
          </w:p>
        </w:tc>
      </w:tr>
      <w:tr w:rsidR="009B5C84" w:rsidRPr="008C33A4" w14:paraId="74B3C95A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AFC69C4" w14:textId="77777777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1.1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9C95" w14:textId="309F7574" w:rsidR="0008122F" w:rsidRPr="001F62F8" w:rsidRDefault="0008122F" w:rsidP="009B5C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Šaknų </w:t>
            </w:r>
            <w:proofErr w:type="spellStart"/>
            <w:r w:rsidRPr="001F62F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ja-JP"/>
              </w:rPr>
              <w:t>morfometrinės</w:t>
            </w:r>
            <w:proofErr w:type="spellEnd"/>
            <w:r w:rsidRPr="001F62F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ja-JP"/>
              </w:rPr>
              <w:t xml:space="preserve"> analizės sistema su programine įranga</w:t>
            </w:r>
            <w:r w:rsidR="006422F7" w:rsidRPr="001F62F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ja-JP"/>
              </w:rPr>
              <w:t>, 1 vnt.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A1208C" w14:textId="77777777" w:rsidR="00DF5B10" w:rsidRPr="001F62F8" w:rsidRDefault="00DF5B10" w:rsidP="009B5C8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val="lt-LT"/>
              </w:rPr>
              <w:t xml:space="preserve">Laboratorinė įranga skirta augalų šaknų </w:t>
            </w:r>
            <w:proofErr w:type="spellStart"/>
            <w:r w:rsidRPr="001F62F8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val="lt-LT"/>
              </w:rPr>
              <w:t>morfometrinei</w:t>
            </w:r>
            <w:proofErr w:type="spellEnd"/>
            <w:r w:rsidRPr="001F62F8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val="lt-LT"/>
              </w:rPr>
              <w:t xml:space="preserve"> analizei iš skenuotų vaizdų, naudojama moksliniuose tyrimuose ir profesionaliam darbui.</w:t>
            </w:r>
          </w:p>
          <w:p w14:paraId="1C86A6A5" w14:textId="4030F122" w:rsidR="00711907" w:rsidRPr="001F62F8" w:rsidRDefault="00711907" w:rsidP="009B5C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 w:eastAsia="ar-SA"/>
              </w:rPr>
            </w:pPr>
          </w:p>
        </w:tc>
      </w:tr>
      <w:tr w:rsidR="009B5C84" w:rsidRPr="001F62F8" w14:paraId="05376549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473FE3B5" w14:textId="02B4CA6D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1.1.1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7982" w14:textId="406D5559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Operacinė sistema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B55980" w14:textId="0076A3FC" w:rsidR="00DF5B10" w:rsidRPr="001F62F8" w:rsidRDefault="00DF5B10" w:rsidP="004D69BD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Programinė įranga suderinama su ne senesne kaip Windows 10 operacine sistema arba lygiaverte.</w:t>
            </w:r>
          </w:p>
        </w:tc>
      </w:tr>
      <w:tr w:rsidR="009B5C84" w:rsidRPr="001F62F8" w14:paraId="62013D24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D3D1EA4" w14:textId="0E7AC14D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1.1.2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276E" w14:textId="79E914C8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Sistemos valdymas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6EAD75" w14:textId="09C6681D" w:rsidR="0008122F" w:rsidRPr="001F62F8" w:rsidRDefault="00DF5B10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Automatinis vaizdų nuskaitymas ir analizės procesų valdymas.</w:t>
            </w:r>
          </w:p>
        </w:tc>
      </w:tr>
      <w:tr w:rsidR="009B5C84" w:rsidRPr="008C33A4" w14:paraId="03745280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218C28BB" w14:textId="11420266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1.1.3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526C" w14:textId="2C62CE82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Skenerio  apšvietimo sistema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7DAD76" w14:textId="659927B1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Apšvietimo sistema užtikrinanti vaizdus be šešėlių ar lygiavertė </w:t>
            </w:r>
          </w:p>
        </w:tc>
      </w:tr>
      <w:tr w:rsidR="009B5C84" w:rsidRPr="001F62F8" w14:paraId="7C8C6AF8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716DE1B3" w14:textId="3F94A2AB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1.1.4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764" w14:textId="44314D24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Skenerio specifiniai parametrai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6941CF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Galimybė šaknis skenuoti panardintas vandenyje</w:t>
            </w:r>
          </w:p>
          <w:p w14:paraId="6DEEC870" w14:textId="77777777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</w:p>
        </w:tc>
      </w:tr>
      <w:tr w:rsidR="009B5C84" w:rsidRPr="008C33A4" w14:paraId="0C464865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660EB0D6" w14:textId="774A64C8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1.1.5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F6A1" w14:textId="445D8CF4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 gavimas/saugojimas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DC661D" w14:textId="175BFD14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Automatinis saugojimas vaizdai (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tiff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, 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jpeg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png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, jpeg2000, 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bmp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ar lygiavertis)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duomenys .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txt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format</w:t>
            </w:r>
            <w:r w:rsidR="006422F7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 lygiaverčiais.</w:t>
            </w:r>
          </w:p>
        </w:tc>
      </w:tr>
      <w:tr w:rsidR="009B5C84" w:rsidRPr="008C33A4" w14:paraId="18EEFEB5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2DD6E3A4" w14:textId="57F6E0D4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1.1.6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D369" w14:textId="4F49CD36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Priedų suderinamumas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A62BE7" w14:textId="5D528295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Skeneris suderinamas su šaknų ir lapų matavimo programine įranga; skeneris USB (ar lygiaverte) jungtimi sujungiamas su PC </w:t>
            </w:r>
          </w:p>
        </w:tc>
      </w:tr>
      <w:tr w:rsidR="009B5C84" w:rsidRPr="008C33A4" w14:paraId="338ACF1F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19D8B706" w14:textId="1D1AE636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1.1.7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1050" w14:textId="5EFEB48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Kalibracija</w:t>
            </w:r>
            <w:proofErr w:type="spellEnd"/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688A34" w14:textId="6C60992C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Pagal etalonus, siekiant užtikrinti tikslius matmenų matavimus. Kalibravimo duomenys pridedami prie skenerio ir automatiškai naudojami analizės programose.</w:t>
            </w:r>
          </w:p>
        </w:tc>
      </w:tr>
      <w:tr w:rsidR="009B5C84" w:rsidRPr="001F62F8" w14:paraId="70F339A4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3CC8D07D" w14:textId="79B155E1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="00711907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1270" w14:textId="7E84CB1B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Sertifikatas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175A62" w14:textId="4770D041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 ar lygiavertis.</w:t>
            </w:r>
          </w:p>
        </w:tc>
      </w:tr>
      <w:tr w:rsidR="009B5C84" w:rsidRPr="008C33A4" w14:paraId="5F519FE1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82B1CA0" w14:textId="699B72DA" w:rsidR="00711907" w:rsidRPr="001F62F8" w:rsidRDefault="00711907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1.1.9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E549" w14:textId="3BE6F375" w:rsidR="00711907" w:rsidRPr="001F62F8" w:rsidRDefault="00711907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 valdymas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6A2672" w14:textId="38217E48" w:rsidR="00711907" w:rsidRPr="001F62F8" w:rsidRDefault="00DF5B10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 įranga leidžia atlikti šaknų morfologinius matavimus: nustatyti bendrą šaknų ilgį, plotą, tūrį, vidutinį skersmenį, šaknų galiukų skaičių, šaknų pasiskirstymą pagal skersmens klases, generuoti šaknų sistemos struktūros ir pasiskirstymo grafikus bei analizuoti šaknų morfologiją pagal spalvą.</w:t>
            </w:r>
          </w:p>
        </w:tc>
      </w:tr>
      <w:tr w:rsidR="009B5C84" w:rsidRPr="008C33A4" w14:paraId="259A5433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7D62D1F" w14:textId="347AC18E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1.1.</w:t>
            </w:r>
            <w:r w:rsidR="00711907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A0A7" w14:textId="60C5FD72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590ED1" w14:textId="2698E2BF" w:rsidR="0008122F" w:rsidRPr="001F62F8" w:rsidRDefault="0008122F" w:rsidP="004D69BD">
            <w:pPr>
              <w:snapToGri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Suteikiama ne mažesnė nei 1 metų garantija, kuri prasideda nuo įrangos priėmimo perdavimo akto pasirašymo dienos</w:t>
            </w:r>
          </w:p>
        </w:tc>
      </w:tr>
      <w:tr w:rsidR="009B5C84" w:rsidRPr="008C33A4" w14:paraId="3334D8B0" w14:textId="77777777" w:rsidTr="00C3433A">
        <w:trPr>
          <w:trHeight w:val="242"/>
        </w:trPr>
        <w:tc>
          <w:tcPr>
            <w:tcW w:w="6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3040717D" w14:textId="77777777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1.2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28D" w14:textId="20437061" w:rsidR="0008122F" w:rsidRPr="001F62F8" w:rsidRDefault="0008122F" w:rsidP="009B5C8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Miško augalų lapijos analizės sistema su programine įranga</w:t>
            </w:r>
            <w:r w:rsidR="006422F7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1 vnt.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BEC267" w14:textId="73F75B37" w:rsidR="0008122F" w:rsidRPr="001F62F8" w:rsidRDefault="00DF5B10" w:rsidP="009B5C8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į</w:t>
            </w:r>
            <w:r w:rsidR="0008122F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ranga skirta lapų morfologinių parametrų analizei iš skenuotų ar fotografuotų vaizdų.</w:t>
            </w:r>
          </w:p>
        </w:tc>
      </w:tr>
      <w:tr w:rsidR="009B5C84" w:rsidRPr="001F62F8" w14:paraId="49E7E11D" w14:textId="77777777" w:rsidTr="00C3433A">
        <w:trPr>
          <w:trHeight w:val="18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9A7AA" w14:textId="6B14E6F2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lastRenderedPageBreak/>
              <w:t>1.2.1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E26D" w14:textId="7777777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Operacinė sistema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6835E1" w14:textId="37AD5E9B" w:rsidR="00106F03" w:rsidRPr="001F62F8" w:rsidRDefault="00DF5B10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Programinė įranga suderinama su ne senesne kaip Windows 10 operacine sistema arba lygiaverte.</w:t>
            </w:r>
          </w:p>
        </w:tc>
      </w:tr>
      <w:tr w:rsidR="009B5C84" w:rsidRPr="001F62F8" w14:paraId="3EB3FB1D" w14:textId="77777777" w:rsidTr="00C3433A">
        <w:trPr>
          <w:trHeight w:val="18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3F059" w14:textId="6396C510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1.2.2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65DE" w14:textId="7777777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Sistemos valdymas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08BFD3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Automatinis</w:t>
            </w:r>
          </w:p>
        </w:tc>
      </w:tr>
      <w:tr w:rsidR="009B5C84" w:rsidRPr="008C33A4" w14:paraId="63B58804" w14:textId="77777777" w:rsidTr="00C3433A">
        <w:trPr>
          <w:trHeight w:val="18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A41B" w14:textId="53E7A0D5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1.2.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3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9274" w14:textId="7777777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 gavimas/saugojimas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301C2C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Automatinis saugojimas vaizdai (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tiff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, 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jpeg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png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, jpeg2000, </w:t>
            </w:r>
            <w:proofErr w:type="spellStart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bmp</w:t>
            </w:r>
            <w:proofErr w:type="spellEnd"/>
            <w:r w:rsidRPr="001F62F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ar lygiavertis.)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duomenys .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txt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format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 lygiaverčiais.</w:t>
            </w:r>
          </w:p>
        </w:tc>
      </w:tr>
      <w:tr w:rsidR="009B5C84" w:rsidRPr="008C33A4" w14:paraId="7D253C94" w14:textId="77777777" w:rsidTr="00C3433A">
        <w:trPr>
          <w:trHeight w:val="18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FFEF5" w14:textId="0AA504D6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1.1.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E05C" w14:textId="7777777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Priedų suderinamumas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2FFDB7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Skeneris suderinamas su šaknų ir lapų matavimo programine įranga; skeneris USB (ar lygiaverte) jungtimi sujungiamas su PC </w:t>
            </w:r>
          </w:p>
        </w:tc>
      </w:tr>
      <w:tr w:rsidR="009B5C84" w:rsidRPr="008C33A4" w14:paraId="087540DA" w14:textId="77777777" w:rsidTr="00C3433A">
        <w:trPr>
          <w:trHeight w:val="18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F793" w14:textId="33BF2B80" w:rsidR="0008122F" w:rsidRPr="001F62F8" w:rsidRDefault="0008122F" w:rsidP="004D69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1.2.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5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74FB" w14:textId="77777777" w:rsidR="0008122F" w:rsidRPr="001F62F8" w:rsidRDefault="0008122F" w:rsidP="004D69BD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Kalibracija</w:t>
            </w:r>
            <w:proofErr w:type="spellEnd"/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3B8BF6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Pagal etalonus, siekiant užtikrinti tikslius matmenų matavimus. Kalibravimo duomenys pridedami prie skenerio ir automatiškai naudojami analizės programose.</w:t>
            </w:r>
          </w:p>
        </w:tc>
      </w:tr>
      <w:tr w:rsidR="009B5C84" w:rsidRPr="008C33A4" w14:paraId="3A78A991" w14:textId="77777777" w:rsidTr="00711907">
        <w:trPr>
          <w:trHeight w:val="1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58EA4" w14:textId="4456DE62" w:rsidR="0008122F" w:rsidRPr="001F62F8" w:rsidRDefault="0008122F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D9D5" w14:textId="15E9AD73" w:rsidR="0008122F" w:rsidRPr="001F62F8" w:rsidRDefault="00DF5B10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 valdymas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1A9951" w14:textId="3E633CF8" w:rsidR="0008122F" w:rsidRPr="001F62F8" w:rsidRDefault="00DF5B10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 įranga leidžia nustatyti šiuos lapų parametrus: plotą, perimetrą, ilgį, plotį, formos indeksus, pažeidimų plotą.</w:t>
            </w:r>
          </w:p>
        </w:tc>
      </w:tr>
      <w:tr w:rsidR="009B5C84" w:rsidRPr="001F62F8" w14:paraId="3E1B5861" w14:textId="77777777" w:rsidTr="00C3433A">
        <w:trPr>
          <w:trHeight w:val="1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044E" w14:textId="57C1981F" w:rsidR="0008122F" w:rsidRPr="001F62F8" w:rsidRDefault="0008122F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FC01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Sertifikatas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1B79C5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 ar lygiavertis.</w:t>
            </w:r>
          </w:p>
        </w:tc>
      </w:tr>
      <w:tr w:rsidR="009B5C84" w:rsidRPr="008C33A4" w14:paraId="33E6A629" w14:textId="77777777" w:rsidTr="00C3433A">
        <w:trPr>
          <w:trHeight w:val="1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A4499" w14:textId="5CABD3BD" w:rsidR="0008122F" w:rsidRPr="001F62F8" w:rsidRDefault="0008122F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1.2.</w:t>
            </w:r>
            <w:r w:rsidR="00EF2EE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86BD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2BBC62" w14:textId="77777777" w:rsidR="0008122F" w:rsidRPr="001F62F8" w:rsidRDefault="0008122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Suteikiama ne mažesnė nei 1 metų garantija, kuri prasideda nuo įrangos priėmimo perdavimo akto pasirašymo dienos</w:t>
            </w:r>
          </w:p>
        </w:tc>
      </w:tr>
    </w:tbl>
    <w:p w14:paraId="4D2A9BE3" w14:textId="77777777" w:rsidR="0008122F" w:rsidRPr="001F62F8" w:rsidRDefault="0008122F" w:rsidP="004D69BD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70A675D2" w14:textId="77777777" w:rsidR="00265588" w:rsidRPr="001F62F8" w:rsidRDefault="00265588" w:rsidP="004D69BD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0A1197A" w14:textId="2A2F18EC" w:rsidR="00265588" w:rsidRPr="001F62F8" w:rsidRDefault="00265588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2 dalis. </w:t>
      </w:r>
      <w:proofErr w:type="spellStart"/>
      <w:r w:rsidRPr="001F62F8">
        <w:rPr>
          <w:rFonts w:ascii="Times New Roman" w:hAnsi="Times New Roman" w:cs="Times New Roman"/>
          <w:sz w:val="22"/>
          <w:szCs w:val="22"/>
          <w:lang w:val="lt-LT"/>
        </w:rPr>
        <w:t>Mikroplokštelių</w:t>
      </w:r>
      <w:proofErr w:type="spellEnd"/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skaitytuvas,</w:t>
      </w: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1 vnt. </w:t>
      </w:r>
    </w:p>
    <w:tbl>
      <w:tblPr>
        <w:tblW w:w="962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180"/>
        <w:gridCol w:w="5723"/>
      </w:tblGrid>
      <w:tr w:rsidR="009B5C84" w:rsidRPr="008C33A4" w14:paraId="47458F3C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5B2267" w14:textId="6C0A7409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B564" w14:textId="77777777" w:rsidR="00265588" w:rsidRPr="001F62F8" w:rsidRDefault="00265588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928D5A" w14:textId="77777777" w:rsidR="00265588" w:rsidRPr="001F62F8" w:rsidRDefault="00265588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Reikalaujami minimalūs techniniai, funkciniai reikalavimų parametrai (rodikliai)</w:t>
            </w:r>
          </w:p>
        </w:tc>
      </w:tr>
      <w:tr w:rsidR="009B5C84" w:rsidRPr="008C33A4" w14:paraId="3FFB3F12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4CCF5" w14:textId="23B2D2C4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2.1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BCE1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65D077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Mikroplokštelių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skaitytuvas skirtas optinių signalų matavimui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mikroplokštelėse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leidžiantis atlikti absorbcijos, fluorescencijos ir liuminescencijos analizę. Prietaisas naudojamas biologinių, biocheminių ir mikrobiologinių tyrimų kiekybiniams matavimams, įskaitant fermentinius testus, mikroorganizmų aktyvumo bei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metabolinių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procesų vertinimą skysčiuose ir ekstraktuose.</w:t>
            </w:r>
          </w:p>
        </w:tc>
      </w:tr>
      <w:tr w:rsidR="009B5C84" w:rsidRPr="008C33A4" w14:paraId="0E130A66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F6737" w14:textId="72F6AC18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2.2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C01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Matavimo režimai (būtini)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3186F4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Fluorescencija, liuminescencija ir UV/VIS absorbcija</w:t>
            </w:r>
          </w:p>
        </w:tc>
      </w:tr>
      <w:tr w:rsidR="009B5C84" w:rsidRPr="008C33A4" w14:paraId="683E3F38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290AC" w14:textId="1B8492A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2.3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D101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Detektoriaus tipas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84D078" w14:textId="7299F141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Aukšto jautrumo detektorius (PMT ar lygiavertis), užtikrinantis mažą triukšmo lygį</w:t>
            </w:r>
          </w:p>
        </w:tc>
      </w:tr>
      <w:tr w:rsidR="009B5C84" w:rsidRPr="001F62F8" w14:paraId="6F07B921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C26F4" w14:textId="7DB8E94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2.4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2FC9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Fluorescencijos diapazonas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19275B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siauresnis kaip 240-740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nm</w:t>
            </w:r>
            <w:proofErr w:type="spellEnd"/>
          </w:p>
        </w:tc>
      </w:tr>
      <w:tr w:rsidR="009B5C84" w:rsidRPr="001F62F8" w14:paraId="4E636A7D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167C" w14:textId="059F76DB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2.5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514F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Absorbancijos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diapazonas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A141BB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siauresnis kaip 220-1000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nm</w:t>
            </w:r>
            <w:proofErr w:type="spellEnd"/>
          </w:p>
        </w:tc>
      </w:tr>
      <w:tr w:rsidR="009B5C84" w:rsidRPr="001F62F8" w14:paraId="6133904F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92928" w14:textId="6803A055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2.6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C504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Liuminescencijos tipai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EE9FF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Glow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/ Flash arba lygiaverčiai</w:t>
            </w:r>
          </w:p>
        </w:tc>
      </w:tr>
      <w:tr w:rsidR="009B5C84" w:rsidRPr="008C33A4" w14:paraId="4E2E4647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41B24" w14:textId="7906931F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2.7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F1E4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Skaitymas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A9B26A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Iš viršaus ir iš apačios</w:t>
            </w:r>
          </w:p>
        </w:tc>
      </w:tr>
      <w:tr w:rsidR="009B5C84" w:rsidRPr="008C33A4" w14:paraId="049EEEB3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AED5B" w14:textId="1DE6B545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2.8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948D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Temperatūros kontrolė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0F14D4" w14:textId="43C0C03E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Temperatūros kontrolė ne mažiau kaip iki +45 °C</w:t>
            </w:r>
          </w:p>
        </w:tc>
      </w:tr>
      <w:tr w:rsidR="009B5C84" w:rsidRPr="001F62F8" w14:paraId="3B768CCB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7E8CC" w14:textId="3B42114F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2.9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B48C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Purtymo tipai (būtini)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1D41EA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Linijinis ir orbitinis</w:t>
            </w:r>
          </w:p>
        </w:tc>
      </w:tr>
      <w:tr w:rsidR="009B5C84" w:rsidRPr="001F62F8" w14:paraId="51D90C36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418F8" w14:textId="19246EA1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2.10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B80A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Mikroplokštelių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formatai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271839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6-384 plokštelių tipai</w:t>
            </w:r>
          </w:p>
        </w:tc>
      </w:tr>
      <w:tr w:rsidR="009B5C84" w:rsidRPr="001F62F8" w14:paraId="1F998A8E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54BA" w14:textId="22B2260B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2.11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26A3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Būtini prievadai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1FDE21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USB</w:t>
            </w:r>
          </w:p>
        </w:tc>
      </w:tr>
      <w:tr w:rsidR="009B5C84" w:rsidRPr="008C33A4" w14:paraId="393C288C" w14:textId="77777777" w:rsidTr="0019674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3902" w14:textId="323EF32D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2.12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F03F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 xml:space="preserve">Garantija </w:t>
            </w:r>
          </w:p>
        </w:tc>
        <w:tc>
          <w:tcPr>
            <w:tcW w:w="5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3577A7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  <w:t>Sistemai suteikiama ne mažesnė nei 1 metų garantija, kuri prasideda nuo sistemos  priėmimo perdavimo akto pasirašymo dienos.</w:t>
            </w:r>
          </w:p>
        </w:tc>
      </w:tr>
    </w:tbl>
    <w:p w14:paraId="33BD4475" w14:textId="77777777" w:rsidR="00265588" w:rsidRPr="001F62F8" w:rsidRDefault="00265588" w:rsidP="004D69BD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7737EEDC" w14:textId="54F2738B" w:rsidR="00AB6486" w:rsidRPr="001F62F8" w:rsidRDefault="00265588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3</w:t>
      </w:r>
      <w:r w:rsidR="00AB6486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dalis.</w:t>
      </w:r>
      <w:r w:rsidR="00AB6486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Mėginių paruošimo įranga, </w:t>
      </w:r>
      <w:r w:rsidR="009B5C84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1 </w:t>
      </w:r>
      <w:proofErr w:type="spellStart"/>
      <w:r w:rsidR="009B5C84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kompl</w:t>
      </w:r>
      <w:proofErr w:type="spellEnd"/>
      <w:r w:rsidR="009B5C84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.</w:t>
      </w:r>
    </w:p>
    <w:tbl>
      <w:tblPr>
        <w:tblW w:w="95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101"/>
        <w:gridCol w:w="5725"/>
      </w:tblGrid>
      <w:tr w:rsidR="009B5C84" w:rsidRPr="008C33A4" w14:paraId="1E150A0F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9097EA3" w14:textId="3E1F2336" w:rsidR="00C90DD9" w:rsidRPr="001F62F8" w:rsidRDefault="00C90DD9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FCCC" w14:textId="77777777" w:rsidR="00C90DD9" w:rsidRPr="001F62F8" w:rsidRDefault="00C90DD9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2DDFD2" w14:textId="77777777" w:rsidR="00C90DD9" w:rsidRPr="001F62F8" w:rsidRDefault="00C90DD9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Reikalaujami minimalūs techniniai, funkciniai reikalavimų parametrai (rodikliai)</w:t>
            </w:r>
          </w:p>
        </w:tc>
      </w:tr>
      <w:tr w:rsidR="009B5C84" w:rsidRPr="008C33A4" w14:paraId="69CAB17F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F9C45" w14:textId="7828C5C5" w:rsidR="00C90DD9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</w:t>
            </w:r>
            <w:r w:rsidR="00C90DD9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.1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CD18" w14:textId="74477243" w:rsidR="00C90DD9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Šaldanti centrifuga</w:t>
            </w:r>
            <w:r w:rsidR="009B5C84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</w:t>
            </w: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1 vnt.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EAFD3D" w14:textId="737335F4" w:rsidR="00C90DD9" w:rsidRPr="001F62F8" w:rsidRDefault="00062F13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</w:t>
            </w:r>
            <w:r w:rsidR="00C90DD9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kirta skystų mėginių atskyrimui pagal tankį kontroliuojamomis temperatūros sąlygomis. Prietaisas leidžia centrifuguoti mėginius, užtikrinant pastovią aušinimo temperatūrą, reikalingą biologinių ir dirvožemio mėginių komponentų (pvz., suspensijų, ekstraktų, ląstelių, </w:t>
            </w:r>
            <w:r w:rsidR="00C90DD9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lastRenderedPageBreak/>
              <w:t>mikroorganizmų frakcijų) atskyrimui, išvengiant terminio mėginių pažeidimo.</w:t>
            </w:r>
          </w:p>
        </w:tc>
      </w:tr>
      <w:tr w:rsidR="009B5C84" w:rsidRPr="008C33A4" w14:paraId="504438A6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71917" w14:textId="63F19511" w:rsidR="00C90DD9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3</w:t>
            </w:r>
            <w:r w:rsidR="00C90DD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6B03" w14:textId="6BD59E05" w:rsidR="00C90DD9" w:rsidRPr="001F62F8" w:rsidRDefault="0016783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Rotorius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F832E5" w14:textId="2C3F6166" w:rsidR="00C90DD9" w:rsidRPr="001F62F8" w:rsidRDefault="00CC7DB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Kartu pateik</w:t>
            </w:r>
            <w:r w:rsidR="000C59B6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iami suderinti rotoriai, leidžiantys centrif</w:t>
            </w:r>
            <w:r w:rsidR="00D01E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</w:t>
            </w:r>
            <w:r w:rsidR="000C59B6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guoti 1,5/2 ml ir 15 ml mėginius </w:t>
            </w:r>
          </w:p>
        </w:tc>
      </w:tr>
      <w:tr w:rsidR="009B5C84" w:rsidRPr="001F62F8" w14:paraId="6A4A3DCD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D83CB" w14:textId="3B5269C4" w:rsidR="00A24122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DE89" w14:textId="198667D3" w:rsidR="00A24122" w:rsidRPr="001F62F8" w:rsidRDefault="00A24122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Maksimali santykinė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centrifuginė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jėga (RCF) su fiksuoto kampo rotoriumi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DAAF7" w14:textId="77777777" w:rsidR="00A24122" w:rsidRPr="001F62F8" w:rsidRDefault="000C59B6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mažesnė kaip </w:t>
            </w:r>
            <w:r w:rsidR="00A24122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000</w:t>
            </w:r>
            <w:r w:rsidR="00A24122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EA4E0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×</w:t>
            </w:r>
            <w:r w:rsidR="00A24122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g</w:t>
            </w:r>
          </w:p>
          <w:p w14:paraId="4FE6F4CD" w14:textId="3E8B9E37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B5C84" w:rsidRPr="001F62F8" w14:paraId="2E994289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17ADF" w14:textId="00E6743B" w:rsidR="00A24122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69F8" w14:textId="5768830E" w:rsidR="00A24122" w:rsidRPr="001F62F8" w:rsidRDefault="00A24122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Maksimali santykinė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centrifuginė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jėga (RCF) su svyruojančių indelių rotoriumi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13744E" w14:textId="48D67E3E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mažesnė kaip 4000 × g</w:t>
            </w:r>
          </w:p>
          <w:p w14:paraId="49752856" w14:textId="771ADD8B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B5C84" w:rsidRPr="008C33A4" w14:paraId="7CB9C477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0D226" w14:textId="09EB889F" w:rsidR="00C90DD9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C90DD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D172" w14:textId="10636CD9" w:rsidR="00C90DD9" w:rsidRPr="001F62F8" w:rsidRDefault="0016783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Šaldymas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31F3DB" w14:textId="39A062E6" w:rsidR="00C90DD9" w:rsidRPr="001F62F8" w:rsidRDefault="0016783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N</w:t>
            </w:r>
            <w:r w:rsidR="000C59B6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 siauresnėse ribose kaip nuo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-9 iki +40 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rtl/>
                <w:lang w:val="lt-LT" w:bidi="he-IL"/>
              </w:rPr>
              <w:t>֯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</w:t>
            </w:r>
          </w:p>
        </w:tc>
      </w:tr>
      <w:tr w:rsidR="009B5C84" w:rsidRPr="008C33A4" w14:paraId="1B44B08B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FCE50" w14:textId="0A0F6983" w:rsidR="00900D1D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A688" w14:textId="24B0BB35" w:rsidR="00900D1D" w:rsidRPr="001F62F8" w:rsidRDefault="002513CE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Greitis</w:t>
            </w:r>
            <w:r w:rsidR="000C59B6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reguliuojamas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D39695" w14:textId="7745D978" w:rsidR="00F26D05" w:rsidRPr="001F62F8" w:rsidRDefault="000C59B6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siauresnėse ribose kaip nuo </w:t>
            </w:r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200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iki </w:t>
            </w:r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14.000 </w:t>
            </w:r>
            <w:proofErr w:type="spellStart"/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rpm</w:t>
            </w:r>
            <w:proofErr w:type="spellEnd"/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(reguliavimo žingsnis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ne daugiau kaip</w:t>
            </w:r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97285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10 </w:t>
            </w:r>
            <w:proofErr w:type="spellStart"/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rpm</w:t>
            </w:r>
            <w:proofErr w:type="spellEnd"/>
            <w:r w:rsidR="002513CE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  <w:tr w:rsidR="009B5C84" w:rsidRPr="001F62F8" w14:paraId="7D326768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79323" w14:textId="5EA7AFD1" w:rsidR="002513CE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5021" w14:textId="4B052E12" w:rsidR="002513CE" w:rsidRPr="001F62F8" w:rsidRDefault="002513CE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Maitinimo srovė/energijos suvartojimas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2AE1E" w14:textId="40AFB7CB" w:rsidR="002513CE" w:rsidRPr="001F62F8" w:rsidRDefault="002513CE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230 V, 50 Hz </w:t>
            </w:r>
          </w:p>
        </w:tc>
      </w:tr>
      <w:tr w:rsidR="009B5C84" w:rsidRPr="001F62F8" w14:paraId="0AE06E94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62BF" w14:textId="3BCA34DB" w:rsidR="002513CE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1B9B" w14:textId="046EEFA7" w:rsidR="002513CE" w:rsidRPr="001F62F8" w:rsidRDefault="00EA4E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Triukšmo lygis </w:t>
            </w:r>
          </w:p>
          <w:p w14:paraId="75022608" w14:textId="77777777" w:rsidR="002513CE" w:rsidRPr="001F62F8" w:rsidRDefault="002513CE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79E947" w14:textId="05B08C5C" w:rsidR="002513CE" w:rsidRPr="001F62F8" w:rsidRDefault="00A021A1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daugiau kaip 60</w:t>
            </w:r>
            <w:r w:rsidR="00EA4E0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A4E0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dB</w:t>
            </w:r>
            <w:proofErr w:type="spellEnd"/>
            <w:r w:rsidR="00F26D0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EA4E0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(A)</w:t>
            </w:r>
          </w:p>
        </w:tc>
      </w:tr>
      <w:tr w:rsidR="009B5C84" w:rsidRPr="008C33A4" w14:paraId="2DA6A34B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8A3F" w14:textId="44A9F6DA" w:rsidR="00EA4E05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DF4CE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7352" w14:textId="05DE0996" w:rsidR="00EA4E05" w:rsidRPr="001F62F8" w:rsidRDefault="00EA4E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 xml:space="preserve">Garantija 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B5E1DE" w14:textId="07E29092" w:rsidR="00EA4E05" w:rsidRPr="001F62F8" w:rsidRDefault="00EA4E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  <w:t>Sistemai suteikiama ne mažesnė nei 1 metų garantija, kuri prasideda nuo sistemos  priėmimo perdavimo akto pasirašymo dienos.</w:t>
            </w:r>
          </w:p>
        </w:tc>
      </w:tr>
      <w:tr w:rsidR="009B5C84" w:rsidRPr="008C33A4" w14:paraId="6170B993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87E42" w14:textId="33BDC9FC" w:rsidR="00CB53E5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</w:t>
            </w:r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96A0" w14:textId="136F00BE" w:rsidR="00CB53E5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Homogenizatorius</w:t>
            </w:r>
            <w:proofErr w:type="spellEnd"/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1 vnt.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4F3A23" w14:textId="5639D146" w:rsidR="00CB53E5" w:rsidRPr="001F62F8" w:rsidRDefault="00062F13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</w:t>
            </w:r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kirtas augalinių audinių ir dirvožemio mėginių mechaniniam </w:t>
            </w:r>
            <w:proofErr w:type="spellStart"/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homogenizavimui</w:t>
            </w:r>
            <w:proofErr w:type="spellEnd"/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mėgintuvėliuose prieš laboratorines analizes. Prietaisas naudojamas mėginių paruošimui cheminiams, biocheminiams ir mikrobiologiniams tyrimams, užtikrinant mėginių </w:t>
            </w:r>
            <w:proofErr w:type="spellStart"/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vienalytiškumą</w:t>
            </w:r>
            <w:proofErr w:type="spellEnd"/>
            <w:r w:rsidR="00CB53E5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ir rezultatų pakartojamumą.</w:t>
            </w:r>
          </w:p>
        </w:tc>
      </w:tr>
      <w:tr w:rsidR="009B5C84" w:rsidRPr="008C33A4" w14:paraId="51575547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450E" w14:textId="31B09E9B" w:rsidR="00CB53E5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CB53E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2.1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032E" w14:textId="19BCB209" w:rsidR="00CB53E5" w:rsidRPr="001F62F8" w:rsidRDefault="004F02A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Talpa m</w:t>
            </w:r>
            <w:r w:rsidR="00DF3E7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ėgintuvėlia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FEA" w14:textId="3FC8D8A0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talpinti ne mažiau kaip 24 vnt. mėgintuvėlių po 1,5-2 ml</w:t>
            </w:r>
          </w:p>
          <w:p w14:paraId="1858F49D" w14:textId="1D7C0B4D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70DBAE0F" w14:textId="1DCD4CF9" w:rsidR="00F26D05" w:rsidRPr="001F62F8" w:rsidRDefault="00F26D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B5C84" w:rsidRPr="001F62F8" w14:paraId="11807D68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F545F" w14:textId="39843177" w:rsidR="00CB53E5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2.2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703E" w14:textId="0669774A" w:rsidR="00CB53E5" w:rsidRPr="001F62F8" w:rsidRDefault="00DF3E73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Greičio reguliavimo diapazonas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52C90D" w14:textId="7C5A0922" w:rsidR="00F26D05" w:rsidRPr="001F62F8" w:rsidRDefault="004F02A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siauresnėse ribose kaip </w:t>
            </w:r>
            <w:r w:rsidR="00DF3E7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500-2000 aps./min. (</w:t>
            </w:r>
            <w:r w:rsidR="00CF3245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tikslus žingsnio reguliavimas</w:t>
            </w:r>
            <w:r w:rsidR="00DF3E7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  <w:tr w:rsidR="009B5C84" w:rsidRPr="001F62F8" w14:paraId="12DA3F72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BACD" w14:textId="575ED367" w:rsidR="00CB53E5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2.3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643B" w14:textId="3E878D09" w:rsidR="00CB53E5" w:rsidRPr="001F62F8" w:rsidRDefault="00DF3E73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Skaitmenin</w:t>
            </w:r>
            <w:r w:rsidR="00FD0F9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ė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 laiko nustatym</w:t>
            </w:r>
            <w:r w:rsidR="00FD0F9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 ribos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88FE02" w14:textId="522F0C5C" w:rsidR="00CB53E5" w:rsidRPr="001F62F8" w:rsidRDefault="00FD0F91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siauresnėse ribose kaip </w:t>
            </w:r>
            <w:r w:rsidR="00DF3E7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1-15 min. (</w:t>
            </w:r>
            <w:r w:rsidR="002E7B22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reguliavimo žingsnis - </w:t>
            </w:r>
            <w:r w:rsidR="00DF3E7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 min.)</w:t>
            </w:r>
          </w:p>
        </w:tc>
      </w:tr>
      <w:tr w:rsidR="009B5C84" w:rsidRPr="001F62F8" w14:paraId="5B86DB62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095F3" w14:textId="362C4905" w:rsidR="00DF3E73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="00775C1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2.4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784B" w14:textId="238A60BD" w:rsidR="00DF3E73" w:rsidRPr="001F62F8" w:rsidRDefault="0038546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Svyravimo amplitudė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4E08B" w14:textId="4F8259B0" w:rsidR="00D01E89" w:rsidRPr="001F62F8" w:rsidRDefault="0038546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1E02D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 w:rsidR="001E02DC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(+/-3 mm)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vertikali</w:t>
            </w:r>
          </w:p>
        </w:tc>
      </w:tr>
      <w:tr w:rsidR="009B5C84" w:rsidRPr="001F62F8" w14:paraId="18CD90C1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F89FF" w14:textId="1663193E" w:rsidR="00DF3E73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3.2.5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AA3F" w14:textId="27026B73" w:rsidR="00DF3E73" w:rsidRPr="001F62F8" w:rsidRDefault="002E7B22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Ekranas 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38E59D" w14:textId="680337C2" w:rsidR="00D01E89" w:rsidRPr="001F62F8" w:rsidRDefault="002E7B22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LCD</w:t>
            </w:r>
            <w:r w:rsidR="003C7CE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 analogiško tipo</w:t>
            </w:r>
          </w:p>
        </w:tc>
      </w:tr>
      <w:tr w:rsidR="009B5C84" w:rsidRPr="001F62F8" w14:paraId="457C0ECB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3CDE1" w14:textId="40974D3A" w:rsidR="00BF153B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3.2.6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0808" w14:textId="16DD18D4" w:rsidR="00BF153B" w:rsidRPr="001F62F8" w:rsidRDefault="00BF153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Maitinimo </w:t>
            </w:r>
            <w:r w:rsidR="003C7CE3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įtampa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6E5D5" w14:textId="226B3BE7" w:rsidR="00BF153B" w:rsidRPr="001F62F8" w:rsidRDefault="00BF153B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230 V, 50 Hz</w:t>
            </w:r>
          </w:p>
        </w:tc>
      </w:tr>
      <w:tr w:rsidR="009B5C84" w:rsidRPr="008C33A4" w14:paraId="618C4AE3" w14:textId="77777777" w:rsidTr="001A10A4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005F2" w14:textId="49020264" w:rsidR="00EA4E05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3.2.7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1F16" w14:textId="3561E3FB" w:rsidR="00EA4E05" w:rsidRPr="001F62F8" w:rsidRDefault="00EA4E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>Garantija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A2405E" w14:textId="0AA18AC4" w:rsidR="00EA4E05" w:rsidRPr="001F62F8" w:rsidRDefault="00EA4E05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  <w:t>Sistemai suteikiama ne mažesnė nei 1 metų garantija, kuri prasideda nuo sistemos  priėmimo perdavimo akto pasirašymo dienos.</w:t>
            </w:r>
          </w:p>
        </w:tc>
      </w:tr>
      <w:tr w:rsidR="009B5C84" w:rsidRPr="008C33A4" w14:paraId="5EB3AAA7" w14:textId="77777777" w:rsidTr="001A10A4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364D7" w14:textId="0316F6CB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3.3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7B5" w14:textId="7777777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Džiovinimo spinta, 1 vnt.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319F28" w14:textId="17A8CE5A" w:rsidR="00265588" w:rsidRPr="001F62F8" w:rsidRDefault="00062F13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</w:t>
            </w:r>
            <w:r w:rsidR="00265588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kirta augalų mėginių džiovinimui kontroliuojamoje temperatūroje, siekiant užtikrinti vienodą drėgmės pašalinimą ir išsaugoti tiriamųjų medžiagų fizikines bei chemines savybes laboratoriniams tyrimams</w:t>
            </w:r>
          </w:p>
        </w:tc>
      </w:tr>
      <w:tr w:rsidR="009B5C84" w:rsidRPr="008C33A4" w14:paraId="0004FF89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6C2CD" w14:textId="1045D91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3.3.1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0F28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Darbinė temperatūra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2E65D2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kaip iki +250 °C</w:t>
            </w:r>
          </w:p>
        </w:tc>
      </w:tr>
      <w:tr w:rsidR="009B5C84" w:rsidRPr="001F62F8" w14:paraId="79398A00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BE0DE" w14:textId="4DDE1E5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3.3.2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8408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Temperatūros nuokrypis erdvėje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9C1760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didesnis nei ±1,5 %</w:t>
            </w:r>
          </w:p>
        </w:tc>
      </w:tr>
      <w:tr w:rsidR="009B5C84" w:rsidRPr="001F62F8" w14:paraId="7010419D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010D2" w14:textId="476FE8BB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3.3.3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14A3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Valdiklis 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1EB4F0" w14:textId="37AEEFAF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PID reguliavimas (tikslus temperatūros valdymas)</w:t>
            </w:r>
          </w:p>
        </w:tc>
      </w:tr>
      <w:tr w:rsidR="009B5C84" w:rsidRPr="008C33A4" w14:paraId="3A657A7F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0990" w14:textId="173F4DF4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3.3.4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B7F2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Priverstinė oro cirkuliacija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0EA890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 užtikrinti vienodą temperatūros pasiskirstymą</w:t>
            </w:r>
          </w:p>
        </w:tc>
      </w:tr>
      <w:tr w:rsidR="009B5C84" w:rsidRPr="008C33A4" w14:paraId="4E5EB58D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94056" w14:textId="2B40181D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3.3.5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1A26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C1E36E" w14:textId="4F25FC82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Skaitmeninis ekranas (OLED, LCD, LED ar lygiavertis) parametrų stebėjimui</w:t>
            </w:r>
          </w:p>
          <w:p w14:paraId="053E9ECC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9B5C84" w:rsidRPr="001F62F8" w14:paraId="71F7A23C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B9F7" w14:textId="256A9FA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3.3.6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071C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Vidinis tūris 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5B707F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mažesnis nei 130 litrai</w:t>
            </w:r>
          </w:p>
        </w:tc>
      </w:tr>
      <w:tr w:rsidR="009B5C84" w:rsidRPr="008C33A4" w14:paraId="2A675096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7C7D1" w14:textId="4A13D16B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3.3.7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65AE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Išoriniai matmenys (plotis × gylis × aukštis) 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4A3F33" w14:textId="3184EAF3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didesnis nei 720x720x800 mm </w:t>
            </w:r>
          </w:p>
        </w:tc>
      </w:tr>
      <w:tr w:rsidR="009B5C84" w:rsidRPr="001F62F8" w14:paraId="34EB2BC9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B41CA" w14:textId="4F2130B7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3.3.8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BE2B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Galingumas 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F76504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mažesnis nei 1400 W</w:t>
            </w:r>
          </w:p>
        </w:tc>
      </w:tr>
      <w:tr w:rsidR="009B5C84" w:rsidRPr="008C33A4" w14:paraId="3D9B3DD4" w14:textId="77777777" w:rsidTr="001A10A4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95FC" w14:textId="34E0AE05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3.3.9</w:t>
            </w:r>
          </w:p>
        </w:tc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7D4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Saugos sistemos</w:t>
            </w:r>
          </w:p>
        </w:tc>
        <w:tc>
          <w:tcPr>
            <w:tcW w:w="5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BFDD57" w14:textId="77777777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Garsinė ar vaizdinė signalizacija pranešanti apie nukrypimus nuo nustatytų parametrų.</w:t>
            </w:r>
          </w:p>
        </w:tc>
      </w:tr>
      <w:tr w:rsidR="009B5C84" w:rsidRPr="008C33A4" w14:paraId="53E8A360" w14:textId="77777777" w:rsidTr="001A10A4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9FC516" w14:textId="202B8208" w:rsidR="00265588" w:rsidRPr="001F62F8" w:rsidRDefault="00265588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>3.3.10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9305" w14:textId="24A48CAA" w:rsidR="00265588" w:rsidRPr="001F62F8" w:rsidRDefault="00265588" w:rsidP="004D69BD">
            <w:pPr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 xml:space="preserve">Garantija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D8DE" w14:textId="77777777" w:rsidR="00265588" w:rsidRPr="001F62F8" w:rsidRDefault="00265588" w:rsidP="004D69BD">
            <w:pP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</w:pPr>
            <w:r w:rsidRPr="001F62F8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  <w:t>Sistemai suteikiama ne mažesnė nei 1 metų garantija, kuri prasideda nuo sistemos  priėmimo perdavimo akto pasirašymo dienos.</w:t>
            </w:r>
          </w:p>
        </w:tc>
      </w:tr>
    </w:tbl>
    <w:p w14:paraId="2C0F60DF" w14:textId="77777777" w:rsidR="00265588" w:rsidRPr="001F62F8" w:rsidRDefault="00265588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778D0C5C" w14:textId="77777777" w:rsidR="00221C9F" w:rsidRPr="001F62F8" w:rsidRDefault="00221C9F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6116BF75" w14:textId="77777777" w:rsidR="00221C9F" w:rsidRPr="001F62F8" w:rsidRDefault="00221C9F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24FE6135" w14:textId="420113E2" w:rsidR="00AB6486" w:rsidRPr="001F62F8" w:rsidRDefault="001A10A4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4</w:t>
      </w:r>
      <w:r w:rsidR="00AB6486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dalis. </w:t>
      </w:r>
      <w:proofErr w:type="spellStart"/>
      <w:r w:rsidR="00FE735D" w:rsidRPr="001F62F8">
        <w:rPr>
          <w:rFonts w:ascii="Times New Roman" w:hAnsi="Times New Roman" w:cs="Times New Roman"/>
          <w:sz w:val="22"/>
          <w:szCs w:val="22"/>
          <w:lang w:val="lt-LT"/>
        </w:rPr>
        <w:t>Stereo</w:t>
      </w:r>
      <w:proofErr w:type="spellEnd"/>
      <w:r w:rsidR="00FE735D" w:rsidRPr="001F62F8">
        <w:rPr>
          <w:rFonts w:ascii="Times New Roman" w:hAnsi="Times New Roman" w:cs="Times New Roman"/>
          <w:sz w:val="22"/>
          <w:szCs w:val="22"/>
          <w:lang w:val="lt-LT"/>
        </w:rPr>
        <w:t xml:space="preserve"> mikroskopas su kamera ir ekranu,</w:t>
      </w:r>
      <w:r w:rsidR="00FE735D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  <w:r w:rsidR="00AB6486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1 vnt</w:t>
      </w:r>
      <w:r w:rsidR="00140B6D" w:rsidRPr="001F62F8">
        <w:rPr>
          <w:rFonts w:ascii="Times New Roman" w:hAnsi="Times New Roman" w:cs="Times New Roman"/>
          <w:b/>
          <w:bCs/>
          <w:sz w:val="22"/>
          <w:szCs w:val="22"/>
          <w:lang w:val="lt-LT"/>
        </w:rPr>
        <w:t>.</w:t>
      </w:r>
    </w:p>
    <w:tbl>
      <w:tblPr>
        <w:tblW w:w="977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180"/>
        <w:gridCol w:w="5874"/>
      </w:tblGrid>
      <w:tr w:rsidR="009B5C84" w:rsidRPr="008C33A4" w14:paraId="1E8FA85B" w14:textId="77777777" w:rsidTr="00140B6D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3BCD0C" w14:textId="1C01D5F0" w:rsidR="002E6389" w:rsidRPr="001F62F8" w:rsidRDefault="001A10A4" w:rsidP="004D6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2E43" w14:textId="1DFA76EA" w:rsidR="002E6389" w:rsidRPr="001F62F8" w:rsidRDefault="002E6389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5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997F35" w14:textId="2CB0AB2D" w:rsidR="002E6389" w:rsidRPr="001F62F8" w:rsidRDefault="002E6389" w:rsidP="004D69B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Reikalaujami minimalūs techniniai, funkciniai reikalavimų parametrai (rodikliai)</w:t>
            </w:r>
          </w:p>
        </w:tc>
      </w:tr>
      <w:tr w:rsidR="009B5C84" w:rsidRPr="008C33A4" w14:paraId="2012B223" w14:textId="77777777" w:rsidTr="00140B6D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66903" w14:textId="295BB263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921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5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3313F1" w14:textId="4D2DE729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Mikroskopas skirtas detaliai augalų lapų ir šaknų struktūros analizei, leidžiantis tirti jų morfologiją ir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mikrostruktūras</w:t>
            </w:r>
            <w:proofErr w:type="spellEnd"/>
          </w:p>
        </w:tc>
      </w:tr>
      <w:tr w:rsidR="009B5C84" w:rsidRPr="008C33A4" w14:paraId="135BF365" w14:textId="77777777" w:rsidTr="00140B6D">
        <w:trPr>
          <w:trHeight w:val="29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89CF2" w14:textId="07585FA3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.2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942D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Mikroskopo tipas</w:t>
            </w:r>
          </w:p>
        </w:tc>
        <w:tc>
          <w:tcPr>
            <w:tcW w:w="5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767F41" w14:textId="3C3DDF72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Profesionalus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stereo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priartinimo mikroskopas su lygiagrečia optika ir ekranu.</w:t>
            </w:r>
          </w:p>
        </w:tc>
      </w:tr>
      <w:tr w:rsidR="009B5C84" w:rsidRPr="001F62F8" w14:paraId="00C66D1A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5276F" w14:textId="5C1DA3AA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.3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9A92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Optinė sistema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34DDA8" w14:textId="2CB1F314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Lygiagreti.</w:t>
            </w:r>
          </w:p>
        </w:tc>
      </w:tr>
      <w:tr w:rsidR="009B5C84" w:rsidRPr="001F62F8" w14:paraId="68375162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2BC7" w14:textId="7B00959C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.4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4703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Vamzdžio tipas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11B9A" w14:textId="750A00E2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Trinokuliarinis</w:t>
            </w:r>
            <w:proofErr w:type="spellEnd"/>
          </w:p>
        </w:tc>
      </w:tr>
      <w:tr w:rsidR="009B5C84" w:rsidRPr="001F62F8" w14:paraId="5F3B5DE6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9FD56" w14:textId="0BF2AAEA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.5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92D4" w14:textId="0F283700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Okuliaras (objektyvas-i)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E58689" w14:textId="49214FD9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Didinimas 10x.</w:t>
            </w:r>
          </w:p>
        </w:tc>
      </w:tr>
      <w:tr w:rsidR="009B5C84" w:rsidRPr="001F62F8" w14:paraId="25573D97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E2304" w14:textId="74C8901E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.6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F77D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Regos laukas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E0689A" w14:textId="1E0104F0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mažesnis nei 22 mm. </w:t>
            </w:r>
          </w:p>
        </w:tc>
      </w:tr>
      <w:tr w:rsidR="009B5C84" w:rsidRPr="001F62F8" w14:paraId="5103EA89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29EC0" w14:textId="3AB3455A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.7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FDDE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Didinimo koeficientas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4830DA" w14:textId="63B84D09" w:rsidR="002F4C3A" w:rsidRPr="001F62F8" w:rsidRDefault="00221C9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</w:t>
            </w:r>
            <w:r w:rsidR="002F4C3A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 mažesnis kaip 9:1</w:t>
            </w:r>
          </w:p>
        </w:tc>
      </w:tr>
      <w:tr w:rsidR="009B5C84" w:rsidRPr="001F62F8" w14:paraId="008A09C2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962DD" w14:textId="4699366B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.8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6AA4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Priartinimas (Min)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A1CB73" w14:textId="0D990B4D" w:rsidR="003A5D8B" w:rsidRPr="001F62F8" w:rsidRDefault="00221C9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</w:t>
            </w:r>
            <w:r w:rsidR="003A5D8B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daugiau kaip 0,8x,</w:t>
            </w:r>
          </w:p>
        </w:tc>
      </w:tr>
      <w:tr w:rsidR="009B5C84" w:rsidRPr="001F62F8" w14:paraId="11FE1268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50688" w14:textId="12E5BD18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.9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6BF2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Priartinimas (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Max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51EE5E" w14:textId="590D99EC" w:rsidR="003A5D8B" w:rsidRPr="001F62F8" w:rsidRDefault="00221C9F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</w:t>
            </w:r>
            <w:r w:rsidR="003A5D8B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 mažiau kaip 7,5x</w:t>
            </w:r>
          </w:p>
        </w:tc>
      </w:tr>
      <w:tr w:rsidR="009B5C84" w:rsidRPr="001F62F8" w14:paraId="42089E5F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4CC83" w14:textId="5376F6B6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.10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A84A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Apšvietimas 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2EB88" w14:textId="5200EB8A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Atspindėta šviesa, skleidžiama šviesa.</w:t>
            </w:r>
          </w:p>
        </w:tc>
      </w:tr>
      <w:tr w:rsidR="009B5C84" w:rsidRPr="001F62F8" w14:paraId="2769A0A3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07B9A" w14:textId="550D5E89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.11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9BAA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Šviesos šaltinis ir intensyvumas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9A7EA1" w14:textId="0858F2E4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mažesnis nei LED 3W.</w:t>
            </w:r>
          </w:p>
        </w:tc>
      </w:tr>
      <w:tr w:rsidR="009B5C84" w:rsidRPr="001F62F8" w14:paraId="00B505AF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44F01" w14:textId="33137765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.12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9F45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Fokusavimo mechanizmas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C605F6" w14:textId="1BD0DB02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Tikslios eigos</w:t>
            </w:r>
          </w:p>
        </w:tc>
      </w:tr>
      <w:tr w:rsidR="009B5C84" w:rsidRPr="001F62F8" w14:paraId="6648DB2D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7C000" w14:textId="5E1C2AF9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.13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8709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Darbinis atstumas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B22AB4" w14:textId="647C2D79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kaip 90 mm</w:t>
            </w:r>
            <w:r w:rsidR="00DB0AD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9B5C84" w:rsidRPr="008C33A4" w14:paraId="01DDF6A0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2DA2" w14:textId="7608161F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.14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62FC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Mikroskopo kamera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4A7506" w14:textId="6107B385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Valdoma per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jutiklinį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ekraną.</w:t>
            </w:r>
          </w:p>
          <w:p w14:paraId="028E542A" w14:textId="01D9F64A" w:rsidR="00EC0030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Kameros </w:t>
            </w:r>
            <w:r w:rsidR="00DB0AD8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CMOS tipo jutiklis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lygiavertis, jutiklio dydis ne prastesnis nei 1/2,8 colio,  </w:t>
            </w:r>
            <w:r w:rsidR="0008122F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raiška </w:t>
            </w: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5 MP, tvirtinimo tipas C ar lygiavertis.</w:t>
            </w:r>
          </w:p>
        </w:tc>
      </w:tr>
      <w:tr w:rsidR="009B5C84" w:rsidRPr="001F62F8" w14:paraId="4808EAB7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B0D66" w14:textId="1A5583BE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.15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184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Kameros sąsajos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15F2B" w14:textId="798FB0A5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Atminties dydis ne mažesnis nei 128 GB. Sąsajos: WiFi standartas, USB 2.0, HDMI, </w:t>
            </w:r>
            <w:proofErr w:type="spellStart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MicroSD</w:t>
            </w:r>
            <w:proofErr w:type="spellEnd"/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kortelės lizdas (ar lygiavertės sąsajos). Palaikomos operacinės sistemos Android arba lygiavertės.</w:t>
            </w:r>
          </w:p>
        </w:tc>
      </w:tr>
      <w:tr w:rsidR="009B5C84" w:rsidRPr="001F62F8" w14:paraId="1BB77EEA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62715" w14:textId="248E539C" w:rsidR="002E638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2E638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.16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242D" w14:textId="77777777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Maitinimo šaltinis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069A21" w14:textId="64481113" w:rsidR="002E6389" w:rsidRPr="001F62F8" w:rsidRDefault="002E638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230 V</w:t>
            </w:r>
          </w:p>
        </w:tc>
      </w:tr>
      <w:tr w:rsidR="009B5C84" w:rsidRPr="001F62F8" w14:paraId="7626B6F2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E21B8" w14:textId="08BE34DD" w:rsidR="00AA3491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AA3491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.17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4F3B" w14:textId="27997B0D" w:rsidR="00AA3491" w:rsidRPr="001F62F8" w:rsidRDefault="00AA3491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Sertifikatas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6C7DE5" w14:textId="1143E841" w:rsidR="00AA3491" w:rsidRPr="001F62F8" w:rsidRDefault="00AA3491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 ar lygiavertis</w:t>
            </w:r>
          </w:p>
        </w:tc>
      </w:tr>
      <w:tr w:rsidR="009B5C84" w:rsidRPr="008C33A4" w14:paraId="5450833B" w14:textId="77777777" w:rsidTr="00140B6D">
        <w:trPr>
          <w:trHeight w:val="29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02F85" w14:textId="5FCBE8C5" w:rsidR="009405A9" w:rsidRPr="001F62F8" w:rsidRDefault="00D53B7C" w:rsidP="004D69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="009405A9" w:rsidRPr="001F62F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.18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D456" w14:textId="2FC7F23B" w:rsidR="009405A9" w:rsidRPr="001F62F8" w:rsidRDefault="009405A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hAnsi="Times New Roman" w:cs="Times New Roman"/>
                <w:sz w:val="22"/>
                <w:szCs w:val="22"/>
                <w:lang w:val="lt-LT" w:eastAsia="ja-JP"/>
              </w:rPr>
              <w:t xml:space="preserve">Garantija </w:t>
            </w:r>
          </w:p>
        </w:tc>
        <w:tc>
          <w:tcPr>
            <w:tcW w:w="5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ADCAFA" w14:textId="66BDD576" w:rsidR="009405A9" w:rsidRPr="001F62F8" w:rsidRDefault="009405A9" w:rsidP="004D69B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F62F8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lt-LT" w:eastAsia="lt-LT"/>
              </w:rPr>
              <w:t>Sistemai suteikiama ne mažesnė nei 1 metų garantija, kuri prasideda nuo sistemos  priėmimo perdavimo akto pasirašymo dienos.</w:t>
            </w:r>
          </w:p>
        </w:tc>
      </w:tr>
    </w:tbl>
    <w:p w14:paraId="207BB9F1" w14:textId="3080414F" w:rsidR="00AA3491" w:rsidRPr="009B5C84" w:rsidRDefault="00AA3491" w:rsidP="004D69BD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sectPr w:rsidR="00AA3491" w:rsidRPr="009B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AA6"/>
    <w:multiLevelType w:val="hybridMultilevel"/>
    <w:tmpl w:val="4C28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7CF"/>
    <w:multiLevelType w:val="multilevel"/>
    <w:tmpl w:val="8E5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A5F7D"/>
    <w:multiLevelType w:val="multilevel"/>
    <w:tmpl w:val="05BC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5C65"/>
    <w:multiLevelType w:val="hybridMultilevel"/>
    <w:tmpl w:val="D43A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AE6"/>
    <w:multiLevelType w:val="multilevel"/>
    <w:tmpl w:val="4144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96EB2"/>
    <w:multiLevelType w:val="multilevel"/>
    <w:tmpl w:val="EB36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63BEC"/>
    <w:multiLevelType w:val="multilevel"/>
    <w:tmpl w:val="0F5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B1850"/>
    <w:multiLevelType w:val="hybridMultilevel"/>
    <w:tmpl w:val="E672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40002">
    <w:abstractNumId w:val="5"/>
  </w:num>
  <w:num w:numId="2" w16cid:durableId="1018777838">
    <w:abstractNumId w:val="6"/>
  </w:num>
  <w:num w:numId="3" w16cid:durableId="1232043275">
    <w:abstractNumId w:val="1"/>
  </w:num>
  <w:num w:numId="4" w16cid:durableId="1363745683">
    <w:abstractNumId w:val="0"/>
  </w:num>
  <w:num w:numId="5" w16cid:durableId="1869373797">
    <w:abstractNumId w:val="3"/>
  </w:num>
  <w:num w:numId="6" w16cid:durableId="532619912">
    <w:abstractNumId w:val="7"/>
  </w:num>
  <w:num w:numId="7" w16cid:durableId="447696618">
    <w:abstractNumId w:val="4"/>
  </w:num>
  <w:num w:numId="8" w16cid:durableId="111930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3C"/>
    <w:rsid w:val="000058B6"/>
    <w:rsid w:val="00040282"/>
    <w:rsid w:val="00057828"/>
    <w:rsid w:val="00062F13"/>
    <w:rsid w:val="0008122F"/>
    <w:rsid w:val="00083743"/>
    <w:rsid w:val="000B2500"/>
    <w:rsid w:val="000B4934"/>
    <w:rsid w:val="000C02D9"/>
    <w:rsid w:val="000C2807"/>
    <w:rsid w:val="000C51C2"/>
    <w:rsid w:val="000C59B6"/>
    <w:rsid w:val="00106F03"/>
    <w:rsid w:val="0011576B"/>
    <w:rsid w:val="0012525C"/>
    <w:rsid w:val="00140B6D"/>
    <w:rsid w:val="001624B0"/>
    <w:rsid w:val="0016783B"/>
    <w:rsid w:val="00170D64"/>
    <w:rsid w:val="00190239"/>
    <w:rsid w:val="001A10A4"/>
    <w:rsid w:val="001B78A1"/>
    <w:rsid w:val="001E02DC"/>
    <w:rsid w:val="001E777B"/>
    <w:rsid w:val="001F62F8"/>
    <w:rsid w:val="00205D86"/>
    <w:rsid w:val="00221C9F"/>
    <w:rsid w:val="002317B4"/>
    <w:rsid w:val="002428B0"/>
    <w:rsid w:val="002513CE"/>
    <w:rsid w:val="00256983"/>
    <w:rsid w:val="00256D3A"/>
    <w:rsid w:val="00265588"/>
    <w:rsid w:val="002A66E8"/>
    <w:rsid w:val="002C6DC9"/>
    <w:rsid w:val="002E2284"/>
    <w:rsid w:val="002E6389"/>
    <w:rsid w:val="002E7B22"/>
    <w:rsid w:val="002F4C3A"/>
    <w:rsid w:val="002F4F7B"/>
    <w:rsid w:val="00310414"/>
    <w:rsid w:val="00314068"/>
    <w:rsid w:val="00326F14"/>
    <w:rsid w:val="00327B72"/>
    <w:rsid w:val="003325DA"/>
    <w:rsid w:val="0033365B"/>
    <w:rsid w:val="00346E31"/>
    <w:rsid w:val="00357096"/>
    <w:rsid w:val="0037318D"/>
    <w:rsid w:val="0038301E"/>
    <w:rsid w:val="00383F83"/>
    <w:rsid w:val="00385465"/>
    <w:rsid w:val="00386025"/>
    <w:rsid w:val="003A11FF"/>
    <w:rsid w:val="003A2020"/>
    <w:rsid w:val="003A5D8B"/>
    <w:rsid w:val="003B1384"/>
    <w:rsid w:val="003B494F"/>
    <w:rsid w:val="003B70A0"/>
    <w:rsid w:val="003C7CE3"/>
    <w:rsid w:val="003D077D"/>
    <w:rsid w:val="003D7B3E"/>
    <w:rsid w:val="003F3B16"/>
    <w:rsid w:val="0040406F"/>
    <w:rsid w:val="00417225"/>
    <w:rsid w:val="0041750A"/>
    <w:rsid w:val="004248CD"/>
    <w:rsid w:val="004256A8"/>
    <w:rsid w:val="004308D5"/>
    <w:rsid w:val="00430E01"/>
    <w:rsid w:val="00432675"/>
    <w:rsid w:val="00435EB8"/>
    <w:rsid w:val="004778EC"/>
    <w:rsid w:val="004D69BD"/>
    <w:rsid w:val="004F02AB"/>
    <w:rsid w:val="0053117D"/>
    <w:rsid w:val="00536EBD"/>
    <w:rsid w:val="00547C96"/>
    <w:rsid w:val="00556A06"/>
    <w:rsid w:val="00560937"/>
    <w:rsid w:val="00562F6E"/>
    <w:rsid w:val="005A2276"/>
    <w:rsid w:val="005B18ED"/>
    <w:rsid w:val="005D229E"/>
    <w:rsid w:val="005D5AA3"/>
    <w:rsid w:val="005F28CD"/>
    <w:rsid w:val="005F4C0E"/>
    <w:rsid w:val="00601E07"/>
    <w:rsid w:val="0061595D"/>
    <w:rsid w:val="006209F7"/>
    <w:rsid w:val="006422F7"/>
    <w:rsid w:val="006448F8"/>
    <w:rsid w:val="00657718"/>
    <w:rsid w:val="00667DE5"/>
    <w:rsid w:val="00672424"/>
    <w:rsid w:val="006769F7"/>
    <w:rsid w:val="00682B2D"/>
    <w:rsid w:val="006A00F0"/>
    <w:rsid w:val="006A58E7"/>
    <w:rsid w:val="006B2F09"/>
    <w:rsid w:val="006B4040"/>
    <w:rsid w:val="006C6ECD"/>
    <w:rsid w:val="006F3606"/>
    <w:rsid w:val="00704002"/>
    <w:rsid w:val="00711907"/>
    <w:rsid w:val="007632CF"/>
    <w:rsid w:val="0076487D"/>
    <w:rsid w:val="00775C1C"/>
    <w:rsid w:val="007A0F08"/>
    <w:rsid w:val="007C2A34"/>
    <w:rsid w:val="007E4601"/>
    <w:rsid w:val="00805590"/>
    <w:rsid w:val="008321E4"/>
    <w:rsid w:val="00832B53"/>
    <w:rsid w:val="00851FD3"/>
    <w:rsid w:val="0085329B"/>
    <w:rsid w:val="008709BF"/>
    <w:rsid w:val="008B1329"/>
    <w:rsid w:val="008C33A4"/>
    <w:rsid w:val="008D1CEB"/>
    <w:rsid w:val="008D2CD3"/>
    <w:rsid w:val="008E7A50"/>
    <w:rsid w:val="008F30FD"/>
    <w:rsid w:val="00900D1D"/>
    <w:rsid w:val="00922912"/>
    <w:rsid w:val="00926B9C"/>
    <w:rsid w:val="009405A9"/>
    <w:rsid w:val="009578A2"/>
    <w:rsid w:val="00972858"/>
    <w:rsid w:val="00975E40"/>
    <w:rsid w:val="00976CD8"/>
    <w:rsid w:val="00981909"/>
    <w:rsid w:val="009836D6"/>
    <w:rsid w:val="009842F5"/>
    <w:rsid w:val="00984B5A"/>
    <w:rsid w:val="00986A19"/>
    <w:rsid w:val="00990EA3"/>
    <w:rsid w:val="00993E9B"/>
    <w:rsid w:val="009B58A2"/>
    <w:rsid w:val="009B5C84"/>
    <w:rsid w:val="009C46CD"/>
    <w:rsid w:val="009D27E5"/>
    <w:rsid w:val="009E2046"/>
    <w:rsid w:val="009F4F04"/>
    <w:rsid w:val="00A021A1"/>
    <w:rsid w:val="00A053EF"/>
    <w:rsid w:val="00A24122"/>
    <w:rsid w:val="00A37B5F"/>
    <w:rsid w:val="00A52429"/>
    <w:rsid w:val="00A70561"/>
    <w:rsid w:val="00AA087C"/>
    <w:rsid w:val="00AA126E"/>
    <w:rsid w:val="00AA3491"/>
    <w:rsid w:val="00AA70CA"/>
    <w:rsid w:val="00AB3B26"/>
    <w:rsid w:val="00AB6486"/>
    <w:rsid w:val="00AD1491"/>
    <w:rsid w:val="00AD64FD"/>
    <w:rsid w:val="00AE6304"/>
    <w:rsid w:val="00B27D30"/>
    <w:rsid w:val="00B31A6A"/>
    <w:rsid w:val="00BA0310"/>
    <w:rsid w:val="00BB2D37"/>
    <w:rsid w:val="00BE5BB9"/>
    <w:rsid w:val="00BF153B"/>
    <w:rsid w:val="00BF751D"/>
    <w:rsid w:val="00C004D0"/>
    <w:rsid w:val="00C20228"/>
    <w:rsid w:val="00C23F37"/>
    <w:rsid w:val="00C44948"/>
    <w:rsid w:val="00C44A60"/>
    <w:rsid w:val="00C44AA8"/>
    <w:rsid w:val="00C72A23"/>
    <w:rsid w:val="00C748C7"/>
    <w:rsid w:val="00C87A0A"/>
    <w:rsid w:val="00C90DD9"/>
    <w:rsid w:val="00CA1A3A"/>
    <w:rsid w:val="00CB286A"/>
    <w:rsid w:val="00CB53E5"/>
    <w:rsid w:val="00CC09AC"/>
    <w:rsid w:val="00CC7DBF"/>
    <w:rsid w:val="00CD43F3"/>
    <w:rsid w:val="00CF3245"/>
    <w:rsid w:val="00D01E89"/>
    <w:rsid w:val="00D21807"/>
    <w:rsid w:val="00D31EB0"/>
    <w:rsid w:val="00D47FA0"/>
    <w:rsid w:val="00D52784"/>
    <w:rsid w:val="00D53B7C"/>
    <w:rsid w:val="00D806DA"/>
    <w:rsid w:val="00DA7CF2"/>
    <w:rsid w:val="00DB0AD8"/>
    <w:rsid w:val="00DC57A8"/>
    <w:rsid w:val="00DC7D8E"/>
    <w:rsid w:val="00DD70F2"/>
    <w:rsid w:val="00DE17A9"/>
    <w:rsid w:val="00DE3B9E"/>
    <w:rsid w:val="00DF05D2"/>
    <w:rsid w:val="00DF3E73"/>
    <w:rsid w:val="00DF4CE8"/>
    <w:rsid w:val="00DF5A4F"/>
    <w:rsid w:val="00DF5B10"/>
    <w:rsid w:val="00DF6A18"/>
    <w:rsid w:val="00E153B6"/>
    <w:rsid w:val="00E1739B"/>
    <w:rsid w:val="00E217ED"/>
    <w:rsid w:val="00E235A1"/>
    <w:rsid w:val="00E3238D"/>
    <w:rsid w:val="00E370A9"/>
    <w:rsid w:val="00E37185"/>
    <w:rsid w:val="00E5692F"/>
    <w:rsid w:val="00EA4E05"/>
    <w:rsid w:val="00EB1D6A"/>
    <w:rsid w:val="00EC0030"/>
    <w:rsid w:val="00EE57D5"/>
    <w:rsid w:val="00EF2EE1"/>
    <w:rsid w:val="00F23890"/>
    <w:rsid w:val="00F24F66"/>
    <w:rsid w:val="00F26D05"/>
    <w:rsid w:val="00F33FA4"/>
    <w:rsid w:val="00F37160"/>
    <w:rsid w:val="00F54214"/>
    <w:rsid w:val="00F7289F"/>
    <w:rsid w:val="00F76A86"/>
    <w:rsid w:val="00F9303C"/>
    <w:rsid w:val="00F95869"/>
    <w:rsid w:val="00FA67C5"/>
    <w:rsid w:val="00FB126C"/>
    <w:rsid w:val="00FC0EBA"/>
    <w:rsid w:val="00FD0F91"/>
    <w:rsid w:val="00FD3B0D"/>
    <w:rsid w:val="00FD3C14"/>
    <w:rsid w:val="00FE41DC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E42C"/>
  <w15:chartTrackingRefBased/>
  <w15:docId w15:val="{4CFE4837-CDDF-4743-A0CC-12E3CA0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26E"/>
    <w:pPr>
      <w:spacing w:after="0" w:line="240" w:lineRule="auto"/>
    </w:pPr>
    <w:rPr>
      <w:rFonts w:ascii="Aptos" w:hAnsi="Aptos" w:cs="Aptos"/>
      <w:kern w:val="0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3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3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3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3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3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3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3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3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303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303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30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30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30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30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3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30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30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30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3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303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303C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64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6486"/>
    <w:rPr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6486"/>
    <w:rPr>
      <w:rFonts w:ascii="Aptos" w:hAnsi="Aptos" w:cs="Aptos"/>
      <w:kern w:val="0"/>
      <w:sz w:val="20"/>
      <w:szCs w:val="20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778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78EC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6983"/>
    <w:rPr>
      <w:b/>
      <w:bCs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6983"/>
    <w:rPr>
      <w:rFonts w:ascii="Aptos" w:hAnsi="Aptos" w:cs="Aptos"/>
      <w:b/>
      <w:bCs/>
      <w:kern w:val="0"/>
      <w:sz w:val="20"/>
      <w:szCs w:val="20"/>
      <w:lang w:val="en-US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21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6367</Words>
  <Characters>3630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LAMMC MI - Projektai - Rasa Mašalaitė</dc:creator>
  <cp:keywords/>
  <dc:description/>
  <cp:lastModifiedBy>Neringa Bartuševičiūtė</cp:lastModifiedBy>
  <cp:revision>10</cp:revision>
  <cp:lastPrinted>2026-02-12T17:47:00Z</cp:lastPrinted>
  <dcterms:created xsi:type="dcterms:W3CDTF">2026-02-17T12:25:00Z</dcterms:created>
  <dcterms:modified xsi:type="dcterms:W3CDTF">2026-02-23T09:25:00Z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49defd0c7933a53bfc7cbec3f0e695870233a751ec2d3ce55854c2bcc2433620</vt:lpwstr>
  </property>
</Properties>
</file>