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43E5E" w14:textId="77777777" w:rsidR="00325EAE" w:rsidRPr="00325EAE" w:rsidRDefault="00325EAE" w:rsidP="00325EAE">
      <w:pPr>
        <w:spacing w:after="0" w:line="240" w:lineRule="auto"/>
        <w:rPr>
          <w:rFonts w:ascii="Times New Roman" w:hAnsi="Times New Roman" w:cs="Times New Roman"/>
        </w:rPr>
      </w:pPr>
      <w:r w:rsidRPr="00325EAE">
        <w:rPr>
          <w:rFonts w:ascii="Times New Roman" w:hAnsi="Times New Roman" w:cs="Times New Roman"/>
          <w:b/>
          <w:bCs/>
        </w:rPr>
        <w:t>Klausimas 1:</w:t>
      </w:r>
      <w:r w:rsidRPr="00325EAE">
        <w:rPr>
          <w:rFonts w:ascii="Times New Roman" w:hAnsi="Times New Roman" w:cs="Times New Roman"/>
        </w:rPr>
        <w:t xml:space="preserve"> Pagal apsaugos zonų planų rengimo ir tvirtinimo aprašo 6.1.2 punktą teikiant tvirtinimui Planus privalo būti pateikti konkrečių objektų, kuriems registruojamos apsaugos zonos, teisėtumą įrodantys dokumentai (statinio kadastro duomenų bylos arba statybą leidžiantys dokumentai ar atitinkami suderinti projektai). Prašome paaiškinti kokius dokumentus Užsakovas planuoja pateikti neregistruotų tinklų teisėtumui įrodyti?</w:t>
      </w:r>
    </w:p>
    <w:p w14:paraId="4CD99502" w14:textId="77777777" w:rsidR="00325EAE" w:rsidRDefault="00325EAE" w:rsidP="00325EAE">
      <w:pPr>
        <w:spacing w:after="0" w:line="240" w:lineRule="auto"/>
        <w:jc w:val="both"/>
        <w:rPr>
          <w:rFonts w:ascii="Times New Roman" w:hAnsi="Times New Roman" w:cs="Times New Roman"/>
          <w:b/>
          <w:bCs/>
        </w:rPr>
      </w:pPr>
      <w:r w:rsidRPr="00325EAE">
        <w:rPr>
          <w:rFonts w:ascii="Times New Roman" w:hAnsi="Times New Roman" w:cs="Times New Roman"/>
          <w:b/>
          <w:bCs/>
        </w:rPr>
        <w:t xml:space="preserve">Atsakymas: </w:t>
      </w:r>
    </w:p>
    <w:p w14:paraId="0F3B3023" w14:textId="77777777" w:rsidR="00325EAE" w:rsidRPr="00325EAE" w:rsidRDefault="00325EAE" w:rsidP="00325EAE">
      <w:pPr>
        <w:spacing w:after="0" w:line="240" w:lineRule="auto"/>
        <w:jc w:val="both"/>
        <w:rPr>
          <w:rFonts w:ascii="Times New Roman" w:hAnsi="Times New Roman" w:cs="Times New Roman"/>
        </w:rPr>
      </w:pPr>
      <w:r w:rsidRPr="00325EAE">
        <w:rPr>
          <w:rFonts w:ascii="Times New Roman" w:hAnsi="Times New Roman" w:cs="Times New Roman"/>
        </w:rPr>
        <w:t>Užsakovas neregistruotų tinklų teisėtumą pagrįs šiais dokumentais:</w:t>
      </w:r>
    </w:p>
    <w:p w14:paraId="6CB27A64" w14:textId="765B5414" w:rsidR="00325EAE" w:rsidRPr="00325EAE" w:rsidRDefault="00325EAE" w:rsidP="00325EAE">
      <w:pPr>
        <w:numPr>
          <w:ilvl w:val="0"/>
          <w:numId w:val="1"/>
        </w:numPr>
        <w:spacing w:after="0" w:line="240" w:lineRule="auto"/>
        <w:jc w:val="both"/>
        <w:rPr>
          <w:rFonts w:ascii="Times New Roman" w:hAnsi="Times New Roman" w:cs="Times New Roman"/>
        </w:rPr>
      </w:pPr>
      <w:r w:rsidRPr="00325EAE">
        <w:rPr>
          <w:rFonts w:ascii="Times New Roman" w:hAnsi="Times New Roman" w:cs="Times New Roman"/>
          <w:b/>
          <w:bCs/>
        </w:rPr>
        <w:t>Jonavos rajono savivaldybės tarybos 2015 m. liepos 30 d. sprendimu Nr. 1TS-0200</w:t>
      </w:r>
      <w:r w:rsidRPr="00325EAE">
        <w:rPr>
          <w:rFonts w:ascii="Times New Roman" w:hAnsi="Times New Roman" w:cs="Times New Roman"/>
        </w:rPr>
        <w:t xml:space="preserve"> „Dėl savivaldybės viešojo geriamojo vandens tiekėjo ir nuotekų tvarkytojo skyrimo“, kuriuo UAB „Jonavos vandenys“ paskirta savivaldybės viešuoju geriamojo vandens tiekėju ir nuotekų tvarkytoju bei jai pavesta viešojo geriamojo vandens tiekimo ir nuotekų tvarkymo teritorijose vykdyti viešąjį geriamojo vandens tiekimą ir nuotekų tvarkymą</w:t>
      </w:r>
      <w:r>
        <w:rPr>
          <w:rFonts w:ascii="Times New Roman" w:hAnsi="Times New Roman" w:cs="Times New Roman"/>
        </w:rPr>
        <w:t>;</w:t>
      </w:r>
    </w:p>
    <w:p w14:paraId="160E39B4" w14:textId="53E3A28C" w:rsidR="00325EAE" w:rsidRPr="00325EAE" w:rsidRDefault="00325EAE" w:rsidP="00325EAE">
      <w:pPr>
        <w:numPr>
          <w:ilvl w:val="0"/>
          <w:numId w:val="1"/>
        </w:numPr>
        <w:spacing w:after="0" w:line="240" w:lineRule="auto"/>
        <w:jc w:val="both"/>
        <w:rPr>
          <w:rFonts w:ascii="Times New Roman" w:hAnsi="Times New Roman" w:cs="Times New Roman"/>
        </w:rPr>
      </w:pPr>
      <w:r w:rsidRPr="00325EAE">
        <w:rPr>
          <w:rFonts w:ascii="Times New Roman" w:hAnsi="Times New Roman" w:cs="Times New Roman"/>
          <w:b/>
          <w:bCs/>
        </w:rPr>
        <w:t>Jonavos rajono savivaldybės tarybos 2015 m. liepos 30 d. sprendimu Nr. 1TS-0201</w:t>
      </w:r>
      <w:r w:rsidRPr="00325EAE">
        <w:rPr>
          <w:rFonts w:ascii="Times New Roman" w:hAnsi="Times New Roman" w:cs="Times New Roman"/>
        </w:rPr>
        <w:t xml:space="preserve"> „Dėl savivaldybės paviršinių nuotekų tvarkytojo skyrimo“, kuriuo UAB „Jonavos vandenys“ paskirta savivaldybės paviršinių nuotekų tvarkytoju ir jai pavesta savivaldybės teritorijoje vykdyti paviršinių nuotekų tvarkymą</w:t>
      </w:r>
      <w:r>
        <w:rPr>
          <w:rFonts w:ascii="Times New Roman" w:hAnsi="Times New Roman" w:cs="Times New Roman"/>
        </w:rPr>
        <w:t>;</w:t>
      </w:r>
    </w:p>
    <w:p w14:paraId="3AC86D1B" w14:textId="77777777" w:rsidR="00325EAE" w:rsidRPr="00325EAE" w:rsidRDefault="00325EAE" w:rsidP="00325EAE">
      <w:pPr>
        <w:numPr>
          <w:ilvl w:val="0"/>
          <w:numId w:val="1"/>
        </w:numPr>
        <w:spacing w:after="0" w:line="240" w:lineRule="auto"/>
        <w:jc w:val="both"/>
        <w:rPr>
          <w:rFonts w:ascii="Times New Roman" w:hAnsi="Times New Roman" w:cs="Times New Roman"/>
        </w:rPr>
      </w:pPr>
      <w:r w:rsidRPr="00325EAE">
        <w:rPr>
          <w:rFonts w:ascii="Times New Roman" w:hAnsi="Times New Roman" w:cs="Times New Roman"/>
          <w:b/>
          <w:bCs/>
        </w:rPr>
        <w:t>Lietuvos Respublikos geriamojo vandens tiekimo ir nuotekų tvarkymo įstatymo 20 straipsnio 2 dalies 4 punktu</w:t>
      </w:r>
      <w:r w:rsidRPr="00325EAE">
        <w:rPr>
          <w:rFonts w:ascii="Times New Roman" w:hAnsi="Times New Roman" w:cs="Times New Roman"/>
        </w:rPr>
        <w:t>, kuris nustato, kad geriamojo vandens tiekėjas (taip pat garantinis vandens tiekėjas) privalo teisės aktų nustatyta tvarka naudoti, prižiūrėti ir atnaujinti nuosavybės teise ar kitaip teisėtai valdomą ir (arba) naudojamą geriamojo vandens tiekimo, nuotekų tvarkymo bei paviršinių nuotekų tvarkymo infrastruktūrą, taip pat bešeimininkę infrastruktūrą, naudojamą viešosioms paslaugoms teikti.</w:t>
      </w:r>
    </w:p>
    <w:p w14:paraId="360E7FEC" w14:textId="77777777" w:rsidR="00325EAE" w:rsidRPr="00325EAE" w:rsidRDefault="00325EAE" w:rsidP="00325EAE">
      <w:pPr>
        <w:spacing w:after="0" w:line="240" w:lineRule="auto"/>
        <w:jc w:val="both"/>
        <w:rPr>
          <w:rFonts w:ascii="Times New Roman" w:hAnsi="Times New Roman" w:cs="Times New Roman"/>
        </w:rPr>
      </w:pPr>
      <w:r w:rsidRPr="00325EAE">
        <w:rPr>
          <w:rFonts w:ascii="Times New Roman" w:hAnsi="Times New Roman" w:cs="Times New Roman"/>
        </w:rPr>
        <w:t>Atsižvelgiant į tai, neregistruotų tinklų teisėtumas grindžiamas savivaldybės tarybos sprendimais, kuriais UAB „Jonavos vandenys“ pavesta vykdyti atitinkamą veiklą ir eksploatuoti infrastruktūrą, taip pat įstatymo nuostatomis, įtvirtinančiomis tiekėjo pareigą teisėtai valdyti, naudoti ir prižiūrėti geriamojo vandens bei nuotekų infrastruktūrą.</w:t>
      </w:r>
    </w:p>
    <w:p w14:paraId="28667DDF" w14:textId="77777777" w:rsidR="00325EAE" w:rsidRDefault="00325EAE" w:rsidP="00325EAE">
      <w:pPr>
        <w:spacing w:after="0" w:line="240" w:lineRule="auto"/>
        <w:jc w:val="both"/>
        <w:rPr>
          <w:rFonts w:ascii="Times New Roman" w:hAnsi="Times New Roman" w:cs="Times New Roman"/>
          <w:b/>
          <w:bCs/>
        </w:rPr>
      </w:pPr>
    </w:p>
    <w:p w14:paraId="07503842" w14:textId="4AB54D62" w:rsidR="00325EAE" w:rsidRPr="00325EAE" w:rsidRDefault="00325EAE" w:rsidP="00325EAE">
      <w:pPr>
        <w:spacing w:after="0" w:line="240" w:lineRule="auto"/>
        <w:jc w:val="both"/>
        <w:rPr>
          <w:rFonts w:ascii="Times New Roman" w:hAnsi="Times New Roman" w:cs="Times New Roman"/>
        </w:rPr>
      </w:pPr>
      <w:r w:rsidRPr="00325EAE">
        <w:rPr>
          <w:rFonts w:ascii="Times New Roman" w:hAnsi="Times New Roman" w:cs="Times New Roman"/>
          <w:b/>
          <w:bCs/>
        </w:rPr>
        <w:t>Klausimas 2:</w:t>
      </w:r>
      <w:r w:rsidRPr="00325EAE">
        <w:rPr>
          <w:rFonts w:ascii="Times New Roman" w:hAnsi="Times New Roman" w:cs="Times New Roman"/>
        </w:rPr>
        <w:t xml:space="preserve"> Pagal apsaugos zonų planų rengimo ir tvirtinimo aprašo 7 punkto reikalavimus erdviniai duomenys turi būti parengti vadovaujantis aprašu bei duomenų rinkinio specifikacija (atitinkamai Pirkimo dokumentų Techninės specifikacijos 4 skyriui). Apraše nurodoma, kad už duomenų atitikimą specifikacijai atsako ir Plano rengėjas ir Plano iniciatorius. Erdvinių duomenų rinkinio specifikacijoje nurodoma, kad registruojant apsaugos zoną privaloma nurodyti šios apsaugos zonos plotį bei objekto, kuriam registruojama apsaugos zona, unikalų numerį. Iš šios specifikacijos aprašymo yra aišku, kad skirtingo pločio apsaugos zonos, o taip pat ir apsaugos zonos skirtingiems objektams (kurie turi unikalų numerį) turi būti registruojamos atskirais poligonais. Tuo tarpu rinkoje pasitaiko atvejų, kai apsaugos zonų planai rengiami nesivadovaujant erdvinių duomenų rinkinio specifikacija ir tinklams, kurie turi skirtingus unikalius numerius ir kurių apsaugos zonų pločiai skirtingi – nustatoma viena bendra apsaugos zona. Prašome patikslinti, ar šiuo konkrečiu atveju Užsakovas siekia nustatyti ir užregistruoti apsaugos zonas pagal minėtų teisės aktų reikalavimus ar vertins pakankamu ir teisėtu, kad skirtingo pločio bei skirtingus unikalius numerius turintiems tinklams registruojamos apsaugos zonos būtų teikiamos kaip vienas bendras apsaugos zonų poligonas? Tokiu atveju vertinsime, kad po apsaugos zonų įregistravimo galimi nepatogumai (pavyzdžiui rekonstruojant mažą tinklo dalį ir esant poreikiui perregistruoti pakeistą apsaugos zonos poligoną) nebus vertinami kaip nekokybiškai suteikta paslauga.</w:t>
      </w:r>
    </w:p>
    <w:p w14:paraId="2B8AE57D" w14:textId="77777777" w:rsidR="00325EAE" w:rsidRPr="00325EAE" w:rsidRDefault="00325EAE" w:rsidP="00325EAE">
      <w:pPr>
        <w:spacing w:after="0" w:line="240" w:lineRule="auto"/>
        <w:jc w:val="both"/>
        <w:rPr>
          <w:rFonts w:ascii="Times New Roman" w:hAnsi="Times New Roman" w:cs="Times New Roman"/>
        </w:rPr>
      </w:pPr>
      <w:r w:rsidRPr="00325EAE">
        <w:rPr>
          <w:rFonts w:ascii="Times New Roman" w:hAnsi="Times New Roman" w:cs="Times New Roman"/>
          <w:b/>
          <w:bCs/>
        </w:rPr>
        <w:t xml:space="preserve">Atsakymas: </w:t>
      </w:r>
      <w:r w:rsidRPr="00325EAE">
        <w:rPr>
          <w:rFonts w:ascii="Times New Roman" w:hAnsi="Times New Roman" w:cs="Times New Roman"/>
        </w:rPr>
        <w:t>Užsakovas vertins kaip kokybiškai suteiktą paslaugą, jei skirtingo pločio bei skirtingus unikalius numerius turintiems tinklams registruojamos apsaugos zonos bus teikiamos kaip vienas bendras apsaugos zonų poligonas.</w:t>
      </w:r>
    </w:p>
    <w:p w14:paraId="743CDBA6" w14:textId="77777777" w:rsidR="00A159C3" w:rsidRPr="00325EAE" w:rsidRDefault="00A159C3" w:rsidP="00325EAE">
      <w:pPr>
        <w:spacing w:after="0" w:line="240" w:lineRule="auto"/>
        <w:rPr>
          <w:rFonts w:ascii="Times New Roman" w:hAnsi="Times New Roman" w:cs="Times New Roman"/>
        </w:rPr>
      </w:pPr>
    </w:p>
    <w:sectPr w:rsidR="00A159C3" w:rsidRPr="00325EAE" w:rsidSect="00325EAE">
      <w:pgSz w:w="12240" w:h="15840"/>
      <w:pgMar w:top="567" w:right="56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615CD"/>
    <w:multiLevelType w:val="multilevel"/>
    <w:tmpl w:val="0B8EB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6635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13"/>
    <w:rsid w:val="000D4B4A"/>
    <w:rsid w:val="000F3CD7"/>
    <w:rsid w:val="00290113"/>
    <w:rsid w:val="00325EAE"/>
    <w:rsid w:val="00754BFA"/>
    <w:rsid w:val="00A159C3"/>
    <w:rsid w:val="00B32815"/>
    <w:rsid w:val="00D90039"/>
    <w:rsid w:val="00FC7B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4B3CC"/>
  <w15:chartTrackingRefBased/>
  <w15:docId w15:val="{D8F43A85-31B6-48E8-98D2-B5932B76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AE"/>
    <w:pPr>
      <w:spacing w:line="278" w:lineRule="auto"/>
    </w:pPr>
    <w:rPr>
      <w:sz w:val="24"/>
      <w:szCs w:val="24"/>
    </w:rPr>
  </w:style>
  <w:style w:type="paragraph" w:styleId="Antrat1">
    <w:name w:val="heading 1"/>
    <w:basedOn w:val="prastasis"/>
    <w:next w:val="prastasis"/>
    <w:link w:val="Antrat1Diagrama"/>
    <w:uiPriority w:val="9"/>
    <w:qFormat/>
    <w:rsid w:val="002901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901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9011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9011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9011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9011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011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011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011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011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9011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9011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9011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9011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9011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011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011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011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0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01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011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011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011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0113"/>
    <w:rPr>
      <w:i/>
      <w:iCs/>
      <w:color w:val="404040" w:themeColor="text1" w:themeTint="BF"/>
    </w:rPr>
  </w:style>
  <w:style w:type="paragraph" w:styleId="Sraopastraipa">
    <w:name w:val="List Paragraph"/>
    <w:basedOn w:val="prastasis"/>
    <w:uiPriority w:val="34"/>
    <w:qFormat/>
    <w:rsid w:val="00290113"/>
    <w:pPr>
      <w:ind w:left="720"/>
      <w:contextualSpacing/>
    </w:pPr>
  </w:style>
  <w:style w:type="character" w:styleId="Rykuspabraukimas">
    <w:name w:val="Intense Emphasis"/>
    <w:basedOn w:val="Numatytasispastraiposriftas"/>
    <w:uiPriority w:val="21"/>
    <w:qFormat/>
    <w:rsid w:val="00290113"/>
    <w:rPr>
      <w:i/>
      <w:iCs/>
      <w:color w:val="2F5496" w:themeColor="accent1" w:themeShade="BF"/>
    </w:rPr>
  </w:style>
  <w:style w:type="paragraph" w:styleId="Iskirtacitata">
    <w:name w:val="Intense Quote"/>
    <w:basedOn w:val="prastasis"/>
    <w:next w:val="prastasis"/>
    <w:link w:val="IskirtacitataDiagrama"/>
    <w:uiPriority w:val="30"/>
    <w:qFormat/>
    <w:rsid w:val="002901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90113"/>
    <w:rPr>
      <w:i/>
      <w:iCs/>
      <w:color w:val="2F5496" w:themeColor="accent1" w:themeShade="BF"/>
    </w:rPr>
  </w:style>
  <w:style w:type="character" w:styleId="Rykinuoroda">
    <w:name w:val="Intense Reference"/>
    <w:basedOn w:val="Numatytasispastraiposriftas"/>
    <w:uiPriority w:val="32"/>
    <w:qFormat/>
    <w:rsid w:val="00290113"/>
    <w:rPr>
      <w:b/>
      <w:bCs/>
      <w:smallCaps/>
      <w:color w:val="2F5496" w:themeColor="accent1" w:themeShade="BF"/>
      <w:spacing w:val="5"/>
    </w:rPr>
  </w:style>
  <w:style w:type="character" w:styleId="Hipersaitas">
    <w:name w:val="Hyperlink"/>
    <w:basedOn w:val="Numatytasispastraiposriftas"/>
    <w:uiPriority w:val="99"/>
    <w:unhideWhenUsed/>
    <w:rsid w:val="00325E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2487</Words>
  <Characters>1419</Characters>
  <Application>Microsoft Office Word</Application>
  <DocSecurity>0</DocSecurity>
  <Lines>11</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Rusonienė</dc:creator>
  <cp:keywords/>
  <dc:description/>
  <cp:lastModifiedBy>Sandra Rusonienė</cp:lastModifiedBy>
  <cp:revision>3</cp:revision>
  <dcterms:created xsi:type="dcterms:W3CDTF">2026-03-02T06:59:00Z</dcterms:created>
  <dcterms:modified xsi:type="dcterms:W3CDTF">2026-03-02T07:06:00Z</dcterms:modified>
</cp:coreProperties>
</file>