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70DC0" w14:textId="77777777" w:rsidR="007F6A4E" w:rsidRDefault="007F6A4E"/>
    <w:p w14:paraId="03B73A79" w14:textId="77777777" w:rsidR="007F6A4E" w:rsidRDefault="007F6A4E"/>
    <w:p w14:paraId="274ADE85" w14:textId="77777777" w:rsidR="007F6A4E" w:rsidRDefault="007F6A4E"/>
    <w:p w14:paraId="1D28999B" w14:textId="77777777" w:rsidR="00943831" w:rsidRDefault="00943831" w:rsidP="00C545A3">
      <w:pPr>
        <w:tabs>
          <w:tab w:val="left" w:pos="709"/>
          <w:tab w:val="left" w:pos="851"/>
          <w:tab w:val="left" w:pos="993"/>
        </w:tabs>
        <w:ind w:firstLine="567"/>
        <w:jc w:val="center"/>
      </w:pPr>
    </w:p>
    <w:p w14:paraId="39999C8F" w14:textId="77777777" w:rsidR="0080561B" w:rsidRDefault="00754119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  <w:r>
        <w:rPr>
          <w:b/>
        </w:rPr>
        <w:t>„ROLL UP“</w:t>
      </w:r>
      <w:r w:rsidR="00585DBD">
        <w:rPr>
          <w:b/>
        </w:rPr>
        <w:t xml:space="preserve"> STENDŲ</w:t>
      </w:r>
      <w:r w:rsidR="009E283D">
        <w:rPr>
          <w:b/>
        </w:rPr>
        <w:t xml:space="preserve"> </w:t>
      </w:r>
      <w:r w:rsidR="00FD262E" w:rsidRPr="00FD262E">
        <w:rPr>
          <w:b/>
        </w:rPr>
        <w:t>TECHNINĖ SPECIFIKACIJA</w:t>
      </w:r>
    </w:p>
    <w:p w14:paraId="0A909748" w14:textId="77777777" w:rsidR="0036380E" w:rsidRPr="0081301F" w:rsidRDefault="0036380E" w:rsidP="00C545A3">
      <w:pPr>
        <w:tabs>
          <w:tab w:val="left" w:pos="709"/>
          <w:tab w:val="left" w:pos="851"/>
          <w:tab w:val="left" w:pos="993"/>
        </w:tabs>
        <w:ind w:firstLine="567"/>
        <w:jc w:val="center"/>
        <w:rPr>
          <w:b/>
        </w:rPr>
      </w:pPr>
    </w:p>
    <w:tbl>
      <w:tblPr>
        <w:tblW w:w="10899" w:type="dxa"/>
        <w:tblInd w:w="-14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23"/>
        <w:gridCol w:w="8350"/>
        <w:gridCol w:w="1826"/>
      </w:tblGrid>
      <w:tr w:rsidR="00FD262E" w:rsidRPr="0036380E" w14:paraId="65744C71" w14:textId="77777777" w:rsidTr="00603F27">
        <w:trPr>
          <w:trHeight w:val="39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085ABA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Eil. Nr.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8D8CE8" w14:textId="77777777" w:rsidR="00FD262E" w:rsidRPr="0036380E" w:rsidRDefault="00FD262E" w:rsidP="004B2437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P</w:t>
            </w:r>
            <w:r w:rsidR="004B2437">
              <w:rPr>
                <w:rFonts w:eastAsia="Times New Roman"/>
                <w:b/>
                <w:bCs/>
                <w:color w:val="000000"/>
                <w:lang w:eastAsia="ru-RU"/>
              </w:rPr>
              <w:t>aslaugos</w:t>
            </w: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pavadinimas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635303" w14:textId="77777777" w:rsidR="00FD262E" w:rsidRPr="0036380E" w:rsidRDefault="00FD262E" w:rsidP="0081301F">
            <w:pPr>
              <w:jc w:val="center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b/>
                <w:bCs/>
                <w:color w:val="000000"/>
                <w:lang w:eastAsia="ru-RU"/>
              </w:rPr>
              <w:t>Mato vnt.</w:t>
            </w:r>
          </w:p>
        </w:tc>
      </w:tr>
      <w:tr w:rsidR="00FD262E" w:rsidRPr="0036380E" w14:paraId="3552292A" w14:textId="77777777" w:rsidTr="00943831">
        <w:trPr>
          <w:trHeight w:val="293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A5674A" w14:textId="77777777" w:rsidR="00FD262E" w:rsidRPr="00491B70" w:rsidRDefault="00845B2B" w:rsidP="00491B70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784C5D" w14:textId="77777777" w:rsidR="009E283D" w:rsidRDefault="00FD262E" w:rsidP="009E283D">
            <w:pPr>
              <w:tabs>
                <w:tab w:val="left" w:pos="709"/>
                <w:tab w:val="left" w:pos="851"/>
                <w:tab w:val="left" w:pos="993"/>
              </w:tabs>
              <w:ind w:firstLine="567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1. </w:t>
            </w:r>
            <w:r w:rsidR="00FD5763">
              <w:rPr>
                <w:b/>
              </w:rPr>
              <w:t>ROLL UP STENDŲ</w:t>
            </w:r>
            <w:r w:rsidR="00076A53">
              <w:rPr>
                <w:b/>
              </w:rPr>
              <w:t xml:space="preserve"> </w:t>
            </w:r>
            <w:r w:rsidR="009E283D" w:rsidRPr="00FD262E">
              <w:rPr>
                <w:b/>
              </w:rPr>
              <w:t>TECHNINĖ SPECIFIKACIJA</w:t>
            </w:r>
          </w:p>
          <w:p w14:paraId="37165464" w14:textId="77777777" w:rsidR="00FD262E" w:rsidRPr="00845B2B" w:rsidRDefault="00FD262E" w:rsidP="006C086B">
            <w:pPr>
              <w:rPr>
                <w:b/>
              </w:rPr>
            </w:pPr>
          </w:p>
        </w:tc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05A8A" w14:textId="77777777" w:rsidR="00182E63" w:rsidRPr="0036380E" w:rsidRDefault="00D86CEC" w:rsidP="00182E63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vnt.</w:t>
            </w:r>
          </w:p>
          <w:p w14:paraId="7E8E54A5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FD262E" w:rsidRPr="0036380E" w14:paraId="51FAAECA" w14:textId="77777777" w:rsidTr="00603F27">
        <w:trPr>
          <w:trHeight w:val="405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020767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2B768" w14:textId="77777777" w:rsidR="00FD262E" w:rsidRPr="0036380E" w:rsidRDefault="004B2437" w:rsidP="0081301F">
            <w:pPr>
              <w:jc w:val="both"/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  <w:r w:rsidRPr="0036380E">
              <w:rPr>
                <w:rFonts w:eastAsia="Times New Roman"/>
                <w:color w:val="000000"/>
                <w:lang w:eastAsia="ru-RU"/>
              </w:rPr>
              <w:t>BVPŽ kodas</w:t>
            </w:r>
            <w:r>
              <w:rPr>
                <w:rFonts w:eastAsia="Times New Roman"/>
                <w:color w:val="000000"/>
                <w:lang w:eastAsia="ru-RU"/>
              </w:rPr>
              <w:t xml:space="preserve"> – </w:t>
            </w:r>
            <w:r w:rsidR="00865EB2" w:rsidRPr="00865EB2">
              <w:rPr>
                <w:b/>
              </w:rPr>
              <w:t>39298200-9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A30B70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FD262E" w:rsidRPr="0036380E" w14:paraId="2A76CCFC" w14:textId="77777777" w:rsidTr="00E85B61">
        <w:trPr>
          <w:trHeight w:val="7947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1052D4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  <w:tc>
          <w:tcPr>
            <w:tcW w:w="8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464185" w14:textId="77777777" w:rsidR="0040377C" w:rsidRDefault="00BB53CF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Preliminarus „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 w:rsidR="0040377C">
              <w:t>“</w:t>
            </w:r>
            <w:r w:rsidR="00BA4F0A">
              <w:t xml:space="preserve"> stendo</w:t>
            </w:r>
            <w:r w:rsidR="0040377C">
              <w:t xml:space="preserve"> dydis 80 x</w:t>
            </w:r>
            <w:r w:rsidR="00CD13C1">
              <w:t xml:space="preserve"> 200</w:t>
            </w:r>
            <w:r w:rsidR="007D7921">
              <w:t xml:space="preserve"> cm</w:t>
            </w:r>
            <w:r w:rsidR="00CD13C1">
              <w:t xml:space="preserve"> </w:t>
            </w:r>
            <w:r w:rsidR="007D7921">
              <w:t xml:space="preserve">( +-10 cm). Dydis </w:t>
            </w:r>
            <w:r w:rsidR="00F71AE3">
              <w:t xml:space="preserve">gali </w:t>
            </w:r>
            <w:r w:rsidR="00BA4F0A">
              <w:t xml:space="preserve">minimaliai </w:t>
            </w:r>
            <w:r w:rsidR="007D7921">
              <w:t>skirtis suderinus su užsakovu</w:t>
            </w:r>
            <w:r w:rsidR="00CD13C1">
              <w:t>.</w:t>
            </w:r>
          </w:p>
          <w:p w14:paraId="7C4C4F20" w14:textId="77777777" w:rsidR="0040377C" w:rsidRDefault="0040377C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Bendras komplekto svoris</w:t>
            </w:r>
            <w:r w:rsidR="007F6A4E">
              <w:t xml:space="preserve"> ne didesnis nei 8</w:t>
            </w:r>
            <w:r w:rsidR="00CD13C1">
              <w:t>kg.</w:t>
            </w:r>
          </w:p>
          <w:p w14:paraId="1684673A" w14:textId="77777777" w:rsidR="0040377C" w:rsidRDefault="005A3478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Pageidautina „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 w:rsidR="0040377C">
              <w:t>“</w:t>
            </w:r>
            <w:r w:rsidR="00BA4F0A">
              <w:t xml:space="preserve"> stendo</w:t>
            </w:r>
            <w:r w:rsidR="0040377C">
              <w:t xml:space="preserve"> </w:t>
            </w:r>
            <w:r w:rsidR="00CD13C1">
              <w:t>konstrukcijų spalva juoda</w:t>
            </w:r>
            <w:r w:rsidR="007D7921">
              <w:t xml:space="preserve"> arba sidabrinė</w:t>
            </w:r>
            <w:r w:rsidR="00CD13C1">
              <w:t>.</w:t>
            </w:r>
          </w:p>
          <w:p w14:paraId="7078E56C" w14:textId="77777777" w:rsidR="0040377C" w:rsidRDefault="00CD13C1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Plakatas pagamintas iš PVC medžiagos.</w:t>
            </w:r>
          </w:p>
          <w:p w14:paraId="690659C4" w14:textId="77777777" w:rsidR="00CD13C1" w:rsidRDefault="00CD13C1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Stendo komponentai turi būti iš lengvo aliuminio arba alternatyvios medžiagos.</w:t>
            </w:r>
          </w:p>
          <w:p w14:paraId="33AEA605" w14:textId="77777777" w:rsidR="00CD13C1" w:rsidRDefault="00F71AE3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„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 w:rsidR="00CD13C1">
              <w:t xml:space="preserve">“ </w:t>
            </w:r>
            <w:r w:rsidR="00BA4F0A">
              <w:t>stendas</w:t>
            </w:r>
            <w:r w:rsidR="00416810">
              <w:t xml:space="preserve"> </w:t>
            </w:r>
            <w:r w:rsidR="00CD13C1">
              <w:t>turi būti su 2 plakatais</w:t>
            </w:r>
            <w:r w:rsidR="00416810">
              <w:t xml:space="preserve"> (vienodais)</w:t>
            </w:r>
            <w:r w:rsidR="00CD13C1">
              <w:t xml:space="preserve"> iš abiejų pusių.</w:t>
            </w:r>
          </w:p>
          <w:p w14:paraId="4E23E448" w14:textId="77777777" w:rsidR="00CD13C1" w:rsidRDefault="00CD13C1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Konstrukcija turi būti tvirta ir nenuvirsti pučiant vėjui, todėl konstrukcija turi būti su laikikliais, kurie padeda visą rėmą išlaikyti tiesiai</w:t>
            </w:r>
            <w:r w:rsidR="00943831">
              <w:t xml:space="preserve"> (Jei pagrindas turės kojeles pageidautina, kad jos būtų su įsmeigiamais kuoliukais)</w:t>
            </w:r>
            <w:r>
              <w:t>.</w:t>
            </w:r>
          </w:p>
          <w:p w14:paraId="51F98F86" w14:textId="77777777" w:rsidR="00FC4993" w:rsidRDefault="00416810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„</w:t>
            </w:r>
            <w:proofErr w:type="spellStart"/>
            <w:r>
              <w:t>Roll</w:t>
            </w:r>
            <w:proofErr w:type="spellEnd"/>
            <w:r>
              <w:t xml:space="preserve"> </w:t>
            </w:r>
            <w:proofErr w:type="spellStart"/>
            <w:r>
              <w:t>up</w:t>
            </w:r>
            <w:proofErr w:type="spellEnd"/>
            <w:r w:rsidR="00FC4993">
              <w:t>“</w:t>
            </w:r>
            <w:r w:rsidR="00BA4F0A">
              <w:t xml:space="preserve"> stendas</w:t>
            </w:r>
            <w:r>
              <w:t xml:space="preserve"> turi </w:t>
            </w:r>
            <w:r w:rsidR="00BA4F0A">
              <w:t>būti</w:t>
            </w:r>
            <w:r w:rsidR="00FC4993">
              <w:t xml:space="preserve"> pritaikytas naudoti tiek lauke, tiek viduje.</w:t>
            </w:r>
          </w:p>
          <w:p w14:paraId="6E03DAB3" w14:textId="77777777" w:rsidR="00CD13C1" w:rsidRDefault="00CD13C1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Visas komplektas turi būti su transportavimo krepšiu.</w:t>
            </w:r>
          </w:p>
          <w:p w14:paraId="24E9E8C2" w14:textId="77777777" w:rsidR="00CD13C1" w:rsidRDefault="00CD13C1" w:rsidP="0040377C">
            <w:pPr>
              <w:pStyle w:val="ListParagraph"/>
              <w:numPr>
                <w:ilvl w:val="0"/>
                <w:numId w:val="23"/>
              </w:numPr>
              <w:ind w:left="871"/>
            </w:pPr>
            <w:r>
              <w:t>Logotipus pateikia užsakovas, maketą daro tiekėjas</w:t>
            </w:r>
            <w:r w:rsidR="00FD5763">
              <w:t xml:space="preserve"> (pagal pateiktą vizualinį identitetą)</w:t>
            </w:r>
            <w:r>
              <w:t>.</w:t>
            </w:r>
          </w:p>
          <w:p w14:paraId="3C932B53" w14:textId="77777777" w:rsidR="00151E4C" w:rsidRPr="00A52577" w:rsidRDefault="00151E4C" w:rsidP="00764C05">
            <w:pPr>
              <w:spacing w:line="270" w:lineRule="atLeast"/>
            </w:pPr>
          </w:p>
          <w:p w14:paraId="74F1E89D" w14:textId="77777777" w:rsidR="00764C05" w:rsidRPr="00151E4C" w:rsidRDefault="00481246" w:rsidP="00151E4C">
            <w:pPr>
              <w:rPr>
                <w:i/>
              </w:rPr>
            </w:pPr>
            <w:r>
              <w:rPr>
                <w:i/>
              </w:rPr>
              <w:t>Konstrukcijų p</w:t>
            </w:r>
            <w:r w:rsidR="00151E4C">
              <w:rPr>
                <w:i/>
              </w:rPr>
              <w:t>avyzdžiai</w:t>
            </w:r>
            <w:r w:rsidR="00F71AE3">
              <w:rPr>
                <w:i/>
              </w:rPr>
              <w:t xml:space="preserve"> (PVC tentas turi būti iš abiejų pusių)</w:t>
            </w:r>
            <w:r w:rsidR="00E85B61" w:rsidRPr="00764C05">
              <w:rPr>
                <w:i/>
              </w:rPr>
              <w:t>:</w:t>
            </w:r>
          </w:p>
          <w:p w14:paraId="7F75CA97" w14:textId="77777777" w:rsidR="00764C05" w:rsidRDefault="00764C05" w:rsidP="00E85B61">
            <w:pPr>
              <w:pStyle w:val="ListParagraph"/>
              <w:spacing w:after="240" w:line="270" w:lineRule="atLeast"/>
            </w:pPr>
          </w:p>
          <w:p w14:paraId="64E9F0EC" w14:textId="77777777" w:rsidR="00FD262E" w:rsidRPr="00D86CEC" w:rsidRDefault="00943831" w:rsidP="00943831">
            <w:pPr>
              <w:pStyle w:val="ListParagraph"/>
              <w:spacing w:after="240" w:line="270" w:lineRule="atLeast"/>
            </w:pPr>
            <w:r>
              <w:rPr>
                <w:noProof/>
              </w:rPr>
              <w:drawing>
                <wp:inline distT="0" distB="0" distL="0" distR="0" wp14:anchorId="22BD223E" wp14:editId="4CD75766">
                  <wp:extent cx="1062426" cy="1754545"/>
                  <wp:effectExtent l="0" t="0" r="444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oll upa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2426" cy="1754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1246">
              <w:t xml:space="preserve">    </w:t>
            </w:r>
          </w:p>
        </w:tc>
        <w:tc>
          <w:tcPr>
            <w:tcW w:w="1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C877D" w14:textId="77777777" w:rsidR="00FD262E" w:rsidRPr="0036380E" w:rsidRDefault="00FD262E" w:rsidP="0036380E">
            <w:pPr>
              <w:rPr>
                <w:rFonts w:eastAsia="Times New Roman"/>
                <w:b/>
                <w:bCs/>
                <w:color w:val="000000"/>
                <w:lang w:val="ru-RU" w:eastAsia="ru-RU"/>
              </w:rPr>
            </w:pPr>
          </w:p>
        </w:tc>
      </w:tr>
    </w:tbl>
    <w:p w14:paraId="1D6765E7" w14:textId="6168784F" w:rsidR="00D0422B" w:rsidRPr="00807020" w:rsidRDefault="00D0422B" w:rsidP="00807020">
      <w:pPr>
        <w:tabs>
          <w:tab w:val="left" w:pos="390"/>
          <w:tab w:val="left" w:pos="570"/>
        </w:tabs>
        <w:rPr>
          <w:rFonts w:eastAsia="Times New Roman"/>
          <w:i/>
          <w:iCs/>
          <w:noProof/>
          <w:sz w:val="20"/>
          <w:szCs w:val="20"/>
          <w:lang w:eastAsia="en-US"/>
        </w:rPr>
      </w:pPr>
    </w:p>
    <w:sectPr w:rsidR="00D0422B" w:rsidRPr="00807020" w:rsidSect="00807020">
      <w:pgSz w:w="11906" w:h="16838"/>
      <w:pgMar w:top="426" w:right="424" w:bottom="720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0FAAE" w14:textId="77777777" w:rsidR="00D96CAE" w:rsidRDefault="00D96CAE" w:rsidP="00D0422B">
      <w:r>
        <w:separator/>
      </w:r>
    </w:p>
  </w:endnote>
  <w:endnote w:type="continuationSeparator" w:id="0">
    <w:p w14:paraId="794D7A37" w14:textId="77777777" w:rsidR="00D96CAE" w:rsidRDefault="00D96CAE" w:rsidP="00D04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D55BF" w14:textId="77777777" w:rsidR="00D96CAE" w:rsidRDefault="00D96CAE" w:rsidP="00D0422B">
      <w:r>
        <w:separator/>
      </w:r>
    </w:p>
  </w:footnote>
  <w:footnote w:type="continuationSeparator" w:id="0">
    <w:p w14:paraId="4B874B9E" w14:textId="77777777" w:rsidR="00D96CAE" w:rsidRDefault="00D96CAE" w:rsidP="00D04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713DB"/>
    <w:multiLevelType w:val="multilevel"/>
    <w:tmpl w:val="5834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F57A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9552A6"/>
    <w:multiLevelType w:val="multilevel"/>
    <w:tmpl w:val="D43233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2B22EC"/>
    <w:multiLevelType w:val="hybridMultilevel"/>
    <w:tmpl w:val="EC60DA6A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95081A"/>
    <w:multiLevelType w:val="hybridMultilevel"/>
    <w:tmpl w:val="1FB4C2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11632"/>
    <w:multiLevelType w:val="hybridMultilevel"/>
    <w:tmpl w:val="D2F24F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55D1"/>
    <w:multiLevelType w:val="hybridMultilevel"/>
    <w:tmpl w:val="DEC023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2ECD"/>
    <w:multiLevelType w:val="hybridMultilevel"/>
    <w:tmpl w:val="3E943C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64543"/>
    <w:multiLevelType w:val="hybridMultilevel"/>
    <w:tmpl w:val="B48853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560EF"/>
    <w:multiLevelType w:val="hybridMultilevel"/>
    <w:tmpl w:val="3768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F62"/>
    <w:multiLevelType w:val="hybridMultilevel"/>
    <w:tmpl w:val="F6408D9E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876B7D"/>
    <w:multiLevelType w:val="hybridMultilevel"/>
    <w:tmpl w:val="E45AF58C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766481F"/>
    <w:multiLevelType w:val="hybridMultilevel"/>
    <w:tmpl w:val="09929A1C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FDB5149"/>
    <w:multiLevelType w:val="hybridMultilevel"/>
    <w:tmpl w:val="60A2AC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D4FB3"/>
    <w:multiLevelType w:val="hybridMultilevel"/>
    <w:tmpl w:val="AC188F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C1F62"/>
    <w:multiLevelType w:val="multilevel"/>
    <w:tmpl w:val="5FB2CE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8E6330A"/>
    <w:multiLevelType w:val="hybridMultilevel"/>
    <w:tmpl w:val="89308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D96FF4"/>
    <w:multiLevelType w:val="hybridMultilevel"/>
    <w:tmpl w:val="772425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D70D9"/>
    <w:multiLevelType w:val="hybridMultilevel"/>
    <w:tmpl w:val="F55EAE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3222F"/>
    <w:multiLevelType w:val="hybridMultilevel"/>
    <w:tmpl w:val="46D004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15EE3"/>
    <w:multiLevelType w:val="hybridMultilevel"/>
    <w:tmpl w:val="6C569120"/>
    <w:lvl w:ilvl="0" w:tplc="21A28A3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2C7E47"/>
    <w:multiLevelType w:val="multilevel"/>
    <w:tmpl w:val="7AB4F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495262860">
    <w:abstractNumId w:val="11"/>
  </w:num>
  <w:num w:numId="2" w16cid:durableId="569846528">
    <w:abstractNumId w:val="20"/>
  </w:num>
  <w:num w:numId="3" w16cid:durableId="1213272009">
    <w:abstractNumId w:val="3"/>
  </w:num>
  <w:num w:numId="4" w16cid:durableId="1677805968">
    <w:abstractNumId w:val="9"/>
  </w:num>
  <w:num w:numId="5" w16cid:durableId="1619483312">
    <w:abstractNumId w:val="1"/>
  </w:num>
  <w:num w:numId="6" w16cid:durableId="410658788">
    <w:abstractNumId w:val="8"/>
  </w:num>
  <w:num w:numId="7" w16cid:durableId="733813717">
    <w:abstractNumId w:val="17"/>
  </w:num>
  <w:num w:numId="8" w16cid:durableId="14116548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959213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50010714">
    <w:abstractNumId w:val="7"/>
  </w:num>
  <w:num w:numId="11" w16cid:durableId="1590625675">
    <w:abstractNumId w:val="4"/>
  </w:num>
  <w:num w:numId="12" w16cid:durableId="304743191">
    <w:abstractNumId w:val="15"/>
  </w:num>
  <w:num w:numId="13" w16cid:durableId="161512155">
    <w:abstractNumId w:val="2"/>
  </w:num>
  <w:num w:numId="14" w16cid:durableId="1008286884">
    <w:abstractNumId w:val="19"/>
  </w:num>
  <w:num w:numId="15" w16cid:durableId="1739086582">
    <w:abstractNumId w:val="18"/>
  </w:num>
  <w:num w:numId="16" w16cid:durableId="1648122146">
    <w:abstractNumId w:val="14"/>
  </w:num>
  <w:num w:numId="17" w16cid:durableId="9575279">
    <w:abstractNumId w:val="10"/>
  </w:num>
  <w:num w:numId="18" w16cid:durableId="116534147">
    <w:abstractNumId w:val="5"/>
  </w:num>
  <w:num w:numId="19" w16cid:durableId="1869635427">
    <w:abstractNumId w:val="6"/>
  </w:num>
  <w:num w:numId="20" w16cid:durableId="1507817617">
    <w:abstractNumId w:val="13"/>
  </w:num>
  <w:num w:numId="21" w16cid:durableId="1173371642">
    <w:abstractNumId w:val="21"/>
  </w:num>
  <w:num w:numId="22" w16cid:durableId="1730378771">
    <w:abstractNumId w:val="16"/>
  </w:num>
  <w:num w:numId="23" w16cid:durableId="8337158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7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A3C"/>
    <w:rsid w:val="00014F3A"/>
    <w:rsid w:val="00031C26"/>
    <w:rsid w:val="000629F9"/>
    <w:rsid w:val="00072A3F"/>
    <w:rsid w:val="00076A53"/>
    <w:rsid w:val="00083D3B"/>
    <w:rsid w:val="0009408B"/>
    <w:rsid w:val="000A17AD"/>
    <w:rsid w:val="000B5E4E"/>
    <w:rsid w:val="000C78C7"/>
    <w:rsid w:val="000D601D"/>
    <w:rsid w:val="001267E9"/>
    <w:rsid w:val="00132E82"/>
    <w:rsid w:val="00147F9F"/>
    <w:rsid w:val="00151E4C"/>
    <w:rsid w:val="00153D5B"/>
    <w:rsid w:val="001762F5"/>
    <w:rsid w:val="00182E63"/>
    <w:rsid w:val="001A49FE"/>
    <w:rsid w:val="001C4CD7"/>
    <w:rsid w:val="001E2F06"/>
    <w:rsid w:val="002022A8"/>
    <w:rsid w:val="002105CC"/>
    <w:rsid w:val="00220991"/>
    <w:rsid w:val="00221618"/>
    <w:rsid w:val="00221BE9"/>
    <w:rsid w:val="00224467"/>
    <w:rsid w:val="00226A72"/>
    <w:rsid w:val="00230CEB"/>
    <w:rsid w:val="00285169"/>
    <w:rsid w:val="00287333"/>
    <w:rsid w:val="002B43BF"/>
    <w:rsid w:val="002C6466"/>
    <w:rsid w:val="002F04EE"/>
    <w:rsid w:val="00316EAF"/>
    <w:rsid w:val="00317D2D"/>
    <w:rsid w:val="00330F48"/>
    <w:rsid w:val="00331823"/>
    <w:rsid w:val="00333A7D"/>
    <w:rsid w:val="0034287F"/>
    <w:rsid w:val="0036380E"/>
    <w:rsid w:val="00373426"/>
    <w:rsid w:val="00392EB0"/>
    <w:rsid w:val="003E5F7B"/>
    <w:rsid w:val="0040377C"/>
    <w:rsid w:val="0040746F"/>
    <w:rsid w:val="00414B34"/>
    <w:rsid w:val="00416810"/>
    <w:rsid w:val="00421AF1"/>
    <w:rsid w:val="00437439"/>
    <w:rsid w:val="00437C40"/>
    <w:rsid w:val="004679BB"/>
    <w:rsid w:val="00481246"/>
    <w:rsid w:val="0048285C"/>
    <w:rsid w:val="00491B70"/>
    <w:rsid w:val="004B2437"/>
    <w:rsid w:val="004C087E"/>
    <w:rsid w:val="004C0C64"/>
    <w:rsid w:val="004C67F9"/>
    <w:rsid w:val="004E0274"/>
    <w:rsid w:val="004E6103"/>
    <w:rsid w:val="00510B5A"/>
    <w:rsid w:val="00511869"/>
    <w:rsid w:val="00515239"/>
    <w:rsid w:val="00521384"/>
    <w:rsid w:val="00530164"/>
    <w:rsid w:val="005409A4"/>
    <w:rsid w:val="00550D1C"/>
    <w:rsid w:val="00550DCF"/>
    <w:rsid w:val="00556389"/>
    <w:rsid w:val="00576D1B"/>
    <w:rsid w:val="00585DBD"/>
    <w:rsid w:val="005868D0"/>
    <w:rsid w:val="005A3478"/>
    <w:rsid w:val="005A6382"/>
    <w:rsid w:val="005B61A1"/>
    <w:rsid w:val="005C74E9"/>
    <w:rsid w:val="005D0FA7"/>
    <w:rsid w:val="005D18BC"/>
    <w:rsid w:val="005D3CEB"/>
    <w:rsid w:val="005E7EF5"/>
    <w:rsid w:val="00603F27"/>
    <w:rsid w:val="006056DD"/>
    <w:rsid w:val="00605CB3"/>
    <w:rsid w:val="006076D2"/>
    <w:rsid w:val="0061736B"/>
    <w:rsid w:val="00656C34"/>
    <w:rsid w:val="00662A3C"/>
    <w:rsid w:val="00670EB8"/>
    <w:rsid w:val="006725EB"/>
    <w:rsid w:val="00675EF7"/>
    <w:rsid w:val="006942C1"/>
    <w:rsid w:val="006957FB"/>
    <w:rsid w:val="006A2B93"/>
    <w:rsid w:val="006B6539"/>
    <w:rsid w:val="006C086B"/>
    <w:rsid w:val="00702126"/>
    <w:rsid w:val="007056AC"/>
    <w:rsid w:val="00713CBB"/>
    <w:rsid w:val="007175F6"/>
    <w:rsid w:val="00754119"/>
    <w:rsid w:val="007563CB"/>
    <w:rsid w:val="00764C05"/>
    <w:rsid w:val="00783D18"/>
    <w:rsid w:val="00787336"/>
    <w:rsid w:val="007B33F3"/>
    <w:rsid w:val="007B60F9"/>
    <w:rsid w:val="007D7921"/>
    <w:rsid w:val="007E149B"/>
    <w:rsid w:val="007E5882"/>
    <w:rsid w:val="007E6DE9"/>
    <w:rsid w:val="007F6A4E"/>
    <w:rsid w:val="007F72DA"/>
    <w:rsid w:val="007F7BA4"/>
    <w:rsid w:val="0080561B"/>
    <w:rsid w:val="00807020"/>
    <w:rsid w:val="0081301F"/>
    <w:rsid w:val="008157DA"/>
    <w:rsid w:val="0082522B"/>
    <w:rsid w:val="00827D3D"/>
    <w:rsid w:val="008319A4"/>
    <w:rsid w:val="008338A2"/>
    <w:rsid w:val="008377A9"/>
    <w:rsid w:val="008440BB"/>
    <w:rsid w:val="00845B2B"/>
    <w:rsid w:val="0084727C"/>
    <w:rsid w:val="00861BF8"/>
    <w:rsid w:val="00865EB2"/>
    <w:rsid w:val="0087573F"/>
    <w:rsid w:val="00875F90"/>
    <w:rsid w:val="008A6A0F"/>
    <w:rsid w:val="008A6A9A"/>
    <w:rsid w:val="008C2D20"/>
    <w:rsid w:val="008D28F7"/>
    <w:rsid w:val="008D4AA5"/>
    <w:rsid w:val="00903171"/>
    <w:rsid w:val="0090511D"/>
    <w:rsid w:val="009135E3"/>
    <w:rsid w:val="00922BC2"/>
    <w:rsid w:val="00933B9F"/>
    <w:rsid w:val="009405AB"/>
    <w:rsid w:val="00943831"/>
    <w:rsid w:val="009576D2"/>
    <w:rsid w:val="00977E92"/>
    <w:rsid w:val="009A24EF"/>
    <w:rsid w:val="009D2D3C"/>
    <w:rsid w:val="009D62A5"/>
    <w:rsid w:val="009E283D"/>
    <w:rsid w:val="00A126DA"/>
    <w:rsid w:val="00A4627C"/>
    <w:rsid w:val="00A50698"/>
    <w:rsid w:val="00A732CB"/>
    <w:rsid w:val="00A8089F"/>
    <w:rsid w:val="00A84506"/>
    <w:rsid w:val="00A95B7D"/>
    <w:rsid w:val="00AF31F7"/>
    <w:rsid w:val="00AF5237"/>
    <w:rsid w:val="00B05434"/>
    <w:rsid w:val="00B057DB"/>
    <w:rsid w:val="00B20AFC"/>
    <w:rsid w:val="00B2453B"/>
    <w:rsid w:val="00B251E0"/>
    <w:rsid w:val="00B331A1"/>
    <w:rsid w:val="00B4503A"/>
    <w:rsid w:val="00B80E92"/>
    <w:rsid w:val="00BA4F0A"/>
    <w:rsid w:val="00BA64D0"/>
    <w:rsid w:val="00BB53CF"/>
    <w:rsid w:val="00BD5A92"/>
    <w:rsid w:val="00BE2499"/>
    <w:rsid w:val="00C137D8"/>
    <w:rsid w:val="00C15C7A"/>
    <w:rsid w:val="00C254FE"/>
    <w:rsid w:val="00C53C4C"/>
    <w:rsid w:val="00C545A3"/>
    <w:rsid w:val="00C6063A"/>
    <w:rsid w:val="00C76B39"/>
    <w:rsid w:val="00CA1127"/>
    <w:rsid w:val="00CA5BF8"/>
    <w:rsid w:val="00CB3DDD"/>
    <w:rsid w:val="00CB5844"/>
    <w:rsid w:val="00CD1048"/>
    <w:rsid w:val="00CD13C1"/>
    <w:rsid w:val="00CD7760"/>
    <w:rsid w:val="00CE6CBE"/>
    <w:rsid w:val="00CF3A78"/>
    <w:rsid w:val="00CF5BBB"/>
    <w:rsid w:val="00D0422B"/>
    <w:rsid w:val="00D321BF"/>
    <w:rsid w:val="00D377BB"/>
    <w:rsid w:val="00D86CEC"/>
    <w:rsid w:val="00D91C2A"/>
    <w:rsid w:val="00D96CAE"/>
    <w:rsid w:val="00DB1478"/>
    <w:rsid w:val="00DD503D"/>
    <w:rsid w:val="00E03C6D"/>
    <w:rsid w:val="00E376C0"/>
    <w:rsid w:val="00E6757C"/>
    <w:rsid w:val="00E7550C"/>
    <w:rsid w:val="00E85B61"/>
    <w:rsid w:val="00E92217"/>
    <w:rsid w:val="00EA72A4"/>
    <w:rsid w:val="00ED0427"/>
    <w:rsid w:val="00ED6429"/>
    <w:rsid w:val="00EE23B2"/>
    <w:rsid w:val="00EE7438"/>
    <w:rsid w:val="00EF3DE7"/>
    <w:rsid w:val="00F21B76"/>
    <w:rsid w:val="00F34687"/>
    <w:rsid w:val="00F36920"/>
    <w:rsid w:val="00F3775E"/>
    <w:rsid w:val="00F37FDA"/>
    <w:rsid w:val="00F534D2"/>
    <w:rsid w:val="00F57F39"/>
    <w:rsid w:val="00F65CB0"/>
    <w:rsid w:val="00F71AE3"/>
    <w:rsid w:val="00F8158E"/>
    <w:rsid w:val="00F85313"/>
    <w:rsid w:val="00F9563E"/>
    <w:rsid w:val="00FA2D12"/>
    <w:rsid w:val="00FC45D1"/>
    <w:rsid w:val="00FC4993"/>
    <w:rsid w:val="00FC678A"/>
    <w:rsid w:val="00FD262E"/>
    <w:rsid w:val="00FD40A2"/>
    <w:rsid w:val="00FD5763"/>
    <w:rsid w:val="00FE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8CA9CF"/>
  <w15:docId w15:val="{A83AA456-A093-494D-9B29-1882AC05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16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6382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D0422B"/>
    <w:rPr>
      <w:rFonts w:eastAsia="Times New Roman"/>
      <w:sz w:val="20"/>
      <w:szCs w:val="20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D042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D0422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22BC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BC2"/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466"/>
    <w:rPr>
      <w:rFonts w:ascii="Tahoma" w:eastAsiaTheme="minorEastAsia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75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5E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5EF7"/>
    <w:rPr>
      <w:rFonts w:ascii="Times New Roman" w:eastAsiaTheme="minorEastAsia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EF7"/>
    <w:rPr>
      <w:rFonts w:ascii="Times New Roman" w:eastAsiaTheme="minorEastAsia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675EF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paragraph" w:styleId="NormalWeb">
    <w:name w:val="Normal (Web)"/>
    <w:basedOn w:val="Normal"/>
    <w:uiPriority w:val="99"/>
    <w:unhideWhenUsed/>
    <w:rsid w:val="00933B9F"/>
  </w:style>
  <w:style w:type="character" w:customStyle="1" w:styleId="shorttext">
    <w:name w:val="short_text"/>
    <w:basedOn w:val="DefaultParagraphFont"/>
    <w:rsid w:val="004B2437"/>
  </w:style>
  <w:style w:type="paragraph" w:styleId="NoSpacing">
    <w:name w:val="No Spacing"/>
    <w:uiPriority w:val="1"/>
    <w:qFormat/>
    <w:rsid w:val="00D86C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Hyperlink">
    <w:name w:val="Hyperlink"/>
    <w:basedOn w:val="DefaultParagraphFont"/>
    <w:uiPriority w:val="99"/>
    <w:unhideWhenUsed/>
    <w:rsid w:val="002F04E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764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2BF32-BD20-409B-9460-FEE77E02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405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Lukas Garla</cp:lastModifiedBy>
  <cp:revision>2</cp:revision>
  <cp:lastPrinted>2024-01-17T08:17:00Z</cp:lastPrinted>
  <dcterms:created xsi:type="dcterms:W3CDTF">2026-03-02T09:01:00Z</dcterms:created>
  <dcterms:modified xsi:type="dcterms:W3CDTF">2026-03-02T09:01:00Z</dcterms:modified>
</cp:coreProperties>
</file>