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9F58" w14:textId="77777777" w:rsidR="00106699" w:rsidRPr="00DD4F87" w:rsidRDefault="00106699" w:rsidP="00106699">
      <w:pPr>
        <w:jc w:val="right"/>
        <w:rPr>
          <w:b/>
          <w:i/>
          <w:color w:val="FF0000"/>
          <w:sz w:val="28"/>
          <w:szCs w:val="28"/>
        </w:rPr>
      </w:pPr>
      <w:r w:rsidRPr="00DD4F87">
        <w:rPr>
          <w:i/>
        </w:rPr>
        <w:t>Atviro (supaprastinto) konkurso sąlygų</w:t>
      </w:r>
    </w:p>
    <w:p w14:paraId="5802BCBB" w14:textId="5069EDEE" w:rsidR="00D96CF1" w:rsidRPr="00DD4F87" w:rsidRDefault="00D17BA6" w:rsidP="00825EB3">
      <w:pPr>
        <w:jc w:val="right"/>
        <w:rPr>
          <w:i/>
        </w:rPr>
      </w:pPr>
      <w:r w:rsidRPr="00DD4F87">
        <w:rPr>
          <w:i/>
        </w:rPr>
        <w:t xml:space="preserve"> </w:t>
      </w:r>
      <w:r w:rsidR="00DD4F87" w:rsidRPr="00DD4F87">
        <w:rPr>
          <w:i/>
        </w:rPr>
        <w:t xml:space="preserve">7 </w:t>
      </w:r>
      <w:r w:rsidRPr="00DD4F87">
        <w:rPr>
          <w:i/>
        </w:rPr>
        <w:t xml:space="preserve">priedas </w:t>
      </w:r>
      <w:r w:rsidR="00DC4B01">
        <w:rPr>
          <w:i/>
        </w:rPr>
        <w:t xml:space="preserve">2 </w:t>
      </w:r>
      <w:r w:rsidR="005A1340" w:rsidRPr="00DD4F87">
        <w:rPr>
          <w:i/>
        </w:rPr>
        <w:t xml:space="preserve"> priedo </w:t>
      </w:r>
      <w:r w:rsidR="00DC4B01">
        <w:rPr>
          <w:i/>
        </w:rPr>
        <w:t>1</w:t>
      </w:r>
      <w:r w:rsidR="002B2C86" w:rsidRPr="00DD4F87">
        <w:rPr>
          <w:i/>
        </w:rPr>
        <w:t xml:space="preserve"> priedelis</w:t>
      </w:r>
    </w:p>
    <w:p w14:paraId="0EABD90E" w14:textId="77777777" w:rsidR="00825EB3" w:rsidRPr="00825EB3" w:rsidRDefault="00825EB3" w:rsidP="00825EB3">
      <w:pPr>
        <w:jc w:val="right"/>
      </w:pPr>
    </w:p>
    <w:p w14:paraId="7C0F3E80" w14:textId="77777777" w:rsidR="00D96CF1" w:rsidRPr="00306495" w:rsidRDefault="00D96CF1" w:rsidP="00D96CF1">
      <w:pPr>
        <w:keepNext/>
        <w:tabs>
          <w:tab w:val="left" w:pos="5174"/>
        </w:tabs>
        <w:ind w:right="140"/>
        <w:jc w:val="center"/>
        <w:outlineLvl w:val="0"/>
        <w:rPr>
          <w:bCs/>
          <w:lang w:eastAsia="x-none"/>
        </w:rPr>
      </w:pPr>
    </w:p>
    <w:p w14:paraId="6FDDBC44" w14:textId="77777777" w:rsidR="00D96CF1" w:rsidRPr="00400566" w:rsidRDefault="00D96CF1" w:rsidP="00D96CF1">
      <w:pPr>
        <w:jc w:val="center"/>
      </w:pPr>
      <w:r w:rsidRPr="00400566">
        <w:rPr>
          <w:color w:val="000000"/>
        </w:rPr>
        <w:t>___________________________________</w:t>
      </w:r>
    </w:p>
    <w:p w14:paraId="288C8201" w14:textId="77777777" w:rsidR="00D96CF1" w:rsidRPr="00306495" w:rsidRDefault="00D96CF1" w:rsidP="00D96CF1">
      <w:pPr>
        <w:jc w:val="center"/>
      </w:pPr>
      <w:r w:rsidRPr="00306495">
        <w:rPr>
          <w:color w:val="000000"/>
        </w:rPr>
        <w:t> (Tiekėjo pavadinimas)</w:t>
      </w:r>
    </w:p>
    <w:p w14:paraId="3164193C" w14:textId="77777777" w:rsidR="00D96CF1" w:rsidRPr="00306495" w:rsidRDefault="00D96CF1" w:rsidP="00D96CF1"/>
    <w:p w14:paraId="6828E777" w14:textId="77777777" w:rsidR="00D96CF1" w:rsidRPr="00306495" w:rsidRDefault="00D96CF1" w:rsidP="00D96CF1"/>
    <w:p w14:paraId="0444A3D0" w14:textId="77777777" w:rsidR="00D96CF1" w:rsidRDefault="00D96CF1" w:rsidP="00D96CF1">
      <w:pPr>
        <w:rPr>
          <w:color w:val="000000"/>
          <w:u w:val="single"/>
        </w:rPr>
      </w:pPr>
      <w:r w:rsidRPr="00025718">
        <w:rPr>
          <w:color w:val="000000"/>
          <w:u w:val="single"/>
        </w:rPr>
        <w:t>L</w:t>
      </w:r>
      <w:r>
        <w:rPr>
          <w:color w:val="000000"/>
          <w:u w:val="single"/>
        </w:rPr>
        <w:t xml:space="preserve">ietuvos kariuomenės </w:t>
      </w:r>
    </w:p>
    <w:p w14:paraId="584D2566" w14:textId="3F6D1F81" w:rsidR="00D96CF1" w:rsidRDefault="00D96CF1" w:rsidP="00D96CF1">
      <w:pPr>
        <w:rPr>
          <w:color w:val="000000"/>
          <w:u w:val="single"/>
        </w:rPr>
      </w:pPr>
      <w:r>
        <w:rPr>
          <w:color w:val="000000"/>
          <w:u w:val="single"/>
        </w:rPr>
        <w:t>Gynybos Štabui</w:t>
      </w:r>
    </w:p>
    <w:p w14:paraId="1ECEB8BF" w14:textId="77777777" w:rsidR="00575A18" w:rsidRDefault="00575A18" w:rsidP="00575A18">
      <w:pPr>
        <w:jc w:val="center"/>
        <w:rPr>
          <w:b/>
          <w:bCs/>
          <w:smallCaps/>
          <w:color w:val="000000"/>
        </w:rPr>
      </w:pPr>
      <w:r w:rsidRPr="00306495">
        <w:rPr>
          <w:b/>
          <w:bCs/>
          <w:smallCaps/>
          <w:color w:val="000000"/>
        </w:rPr>
        <w:t>TIEKĖJO DEKLARACIJA</w:t>
      </w:r>
    </w:p>
    <w:p w14:paraId="55FD3DE6" w14:textId="77777777" w:rsidR="00575A18" w:rsidRPr="00306495" w:rsidRDefault="00575A18" w:rsidP="00575A18">
      <w:pPr>
        <w:jc w:val="center"/>
      </w:pPr>
    </w:p>
    <w:p w14:paraId="750A875D" w14:textId="77777777" w:rsidR="00575A18" w:rsidRPr="00306495" w:rsidRDefault="00575A18" w:rsidP="00575A18">
      <w:pPr>
        <w:jc w:val="center"/>
      </w:pPr>
      <w:r w:rsidRPr="00306495">
        <w:rPr>
          <w:color w:val="000000"/>
        </w:rPr>
        <w:t>__________________</w:t>
      </w:r>
    </w:p>
    <w:p w14:paraId="2FF7F19F" w14:textId="77777777" w:rsidR="00575A18" w:rsidRPr="00306495" w:rsidRDefault="00575A18" w:rsidP="00575A18">
      <w:pPr>
        <w:jc w:val="center"/>
      </w:pPr>
      <w:r w:rsidRPr="00306495">
        <w:rPr>
          <w:color w:val="000000"/>
        </w:rPr>
        <w:t>(Data)</w:t>
      </w:r>
    </w:p>
    <w:p w14:paraId="2612157A" w14:textId="77777777" w:rsidR="00575A18" w:rsidRPr="00025718" w:rsidRDefault="00575A18" w:rsidP="00575A18">
      <w:pPr>
        <w:jc w:val="center"/>
        <w:rPr>
          <w:color w:val="000000"/>
          <w:u w:val="single"/>
        </w:rPr>
      </w:pPr>
    </w:p>
    <w:p w14:paraId="7F495C34" w14:textId="77777777" w:rsidR="00E44991" w:rsidRDefault="00E44991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p w14:paraId="2E4023D4" w14:textId="77777777" w:rsidR="00D96CF1" w:rsidRDefault="00D96CF1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p w14:paraId="1AE2C084" w14:textId="0E7BCB08" w:rsidR="00D96CF1" w:rsidRDefault="00616557" w:rsidP="00D96CF1">
      <w:pPr>
        <w:suppressAutoHyphens/>
        <w:autoSpaceDE w:val="0"/>
        <w:ind w:firstLine="709"/>
        <w:jc w:val="both"/>
        <w:textAlignment w:val="baseline"/>
        <w:rPr>
          <w:rFonts w:eastAsia="Calibri"/>
          <w:b/>
          <w:szCs w:val="24"/>
          <w:lang w:eastAsia="en-US"/>
        </w:rPr>
      </w:pPr>
      <w:r w:rsidRPr="00616557">
        <w:rPr>
          <w:color w:val="000000"/>
        </w:rPr>
        <w:t>Patvirtinu, kad viešojo pirkimo „Apgyvendinimo paslaugos Romos mieste, Italijoje“ laimėjimo atveju, sutarties vykdymo metu teikiama apgyvendinimo paslauga atitiks žemiau nurodytus reikalavimus</w:t>
      </w:r>
      <w:bookmarkStart w:id="0" w:name="_GoBack"/>
      <w:bookmarkEnd w:id="0"/>
      <w:r w:rsidR="00D96CF1">
        <w:rPr>
          <w:color w:val="000000"/>
        </w:rPr>
        <w:t>.</w:t>
      </w:r>
    </w:p>
    <w:p w14:paraId="3C632CC1" w14:textId="77777777" w:rsidR="00E44991" w:rsidRDefault="00E44991" w:rsidP="00D421B6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tbl>
      <w:tblPr>
        <w:tblStyle w:val="TableGrid"/>
        <w:tblW w:w="10315" w:type="dxa"/>
        <w:tblLook w:val="04A0" w:firstRow="1" w:lastRow="0" w:firstColumn="1" w:lastColumn="0" w:noHBand="0" w:noVBand="1"/>
      </w:tblPr>
      <w:tblGrid>
        <w:gridCol w:w="10315"/>
      </w:tblGrid>
      <w:tr w:rsidR="007337B2" w14:paraId="17B60589" w14:textId="77777777" w:rsidTr="00825EB3">
        <w:trPr>
          <w:trHeight w:val="233"/>
        </w:trPr>
        <w:tc>
          <w:tcPr>
            <w:tcW w:w="10315" w:type="dxa"/>
          </w:tcPr>
          <w:p w14:paraId="4C403E1F" w14:textId="7A90CB6F" w:rsidR="007337B2" w:rsidRPr="007337B2" w:rsidRDefault="007337B2" w:rsidP="0046443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b/>
              </w:rPr>
              <w:t>Apgyvendinimo paslaugos Romos mieste, I</w:t>
            </w:r>
            <w:r w:rsidRPr="00D96CF1">
              <w:rPr>
                <w:b/>
              </w:rPr>
              <w:t>talijoje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 paslaugos parametrai</w:t>
            </w:r>
          </w:p>
        </w:tc>
      </w:tr>
      <w:tr w:rsidR="007337B2" w14:paraId="5E10FDCA" w14:textId="77777777" w:rsidTr="00825EB3">
        <w:trPr>
          <w:trHeight w:val="233"/>
        </w:trPr>
        <w:tc>
          <w:tcPr>
            <w:tcW w:w="10315" w:type="dxa"/>
            <w:vAlign w:val="center"/>
          </w:tcPr>
          <w:p w14:paraId="04A6AB5C" w14:textId="26B560BC" w:rsidR="007337B2" w:rsidRPr="007337B2" w:rsidRDefault="007337B2" w:rsidP="007337B2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337B2">
              <w:rPr>
                <w:rFonts w:eastAsia="Calibri"/>
                <w:szCs w:val="24"/>
                <w:lang w:eastAsia="en-US"/>
              </w:rPr>
              <w:t>1.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A54662">
              <w:rPr>
                <w:rFonts w:eastAsia="Calibri"/>
                <w:szCs w:val="24"/>
                <w:lang w:eastAsia="en-US"/>
              </w:rPr>
              <w:t>Ilgalaikio</w:t>
            </w:r>
            <w:r w:rsidRPr="007337B2">
              <w:rPr>
                <w:rFonts w:eastAsia="Calibri"/>
                <w:szCs w:val="24"/>
                <w:lang w:eastAsia="en-US"/>
              </w:rPr>
              <w:t xml:space="preserve"> </w:t>
            </w:r>
            <w:r w:rsidR="00A54662">
              <w:rPr>
                <w:rFonts w:eastAsia="Calibri"/>
                <w:szCs w:val="24"/>
                <w:lang w:eastAsia="en-US"/>
              </w:rPr>
              <w:t xml:space="preserve">apgyvendinimo paslaugų teikimas </w:t>
            </w:r>
            <w:r w:rsidRPr="007337B2">
              <w:rPr>
                <w:rFonts w:eastAsia="Calibri"/>
                <w:szCs w:val="24"/>
                <w:lang w:eastAsia="en-US"/>
              </w:rPr>
              <w:t>asmeniui Romos mieste (Italija),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Municipio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I,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Municipio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II arba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Tuscolano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Nord rajonuose. </w:t>
            </w:r>
            <w:r w:rsidRPr="007337B2">
              <w:rPr>
                <w:rFonts w:eastAsia="Calibri"/>
                <w:szCs w:val="24"/>
                <w:lang w:eastAsia="en-US"/>
              </w:rPr>
              <w:t>Gyvenamoji vieta turi būti ne t</w:t>
            </w:r>
            <w:r>
              <w:rPr>
                <w:rFonts w:eastAsia="Calibri"/>
                <w:szCs w:val="24"/>
                <w:lang w:eastAsia="en-US"/>
              </w:rPr>
              <w:t xml:space="preserve">oliau, kaip 1000 m. nuo A metro </w:t>
            </w:r>
            <w:r w:rsidRPr="007337B2">
              <w:rPr>
                <w:rFonts w:eastAsia="Calibri"/>
                <w:szCs w:val="24"/>
                <w:lang w:eastAsia="en-US"/>
              </w:rPr>
              <w:t>linijos.</w:t>
            </w:r>
          </w:p>
        </w:tc>
      </w:tr>
      <w:tr w:rsidR="007337B2" w14:paraId="26C4EB21" w14:textId="77777777" w:rsidTr="00825EB3">
        <w:trPr>
          <w:trHeight w:val="233"/>
        </w:trPr>
        <w:tc>
          <w:tcPr>
            <w:tcW w:w="10315" w:type="dxa"/>
            <w:vAlign w:val="center"/>
          </w:tcPr>
          <w:p w14:paraId="4CE51376" w14:textId="7731F76B" w:rsidR="007337B2" w:rsidRPr="007337B2" w:rsidRDefault="007337B2" w:rsidP="007337B2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337B2">
              <w:rPr>
                <w:rFonts w:eastAsia="Calibri"/>
                <w:szCs w:val="24"/>
                <w:lang w:eastAsia="en-US"/>
              </w:rPr>
              <w:t>2.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A54662">
              <w:rPr>
                <w:rFonts w:eastAsia="Calibri"/>
                <w:szCs w:val="24"/>
                <w:lang w:eastAsia="en-US"/>
              </w:rPr>
              <w:t>B</w:t>
            </w:r>
            <w:r w:rsidRPr="007337B2">
              <w:rPr>
                <w:rFonts w:eastAsia="Calibri"/>
                <w:szCs w:val="24"/>
                <w:lang w:eastAsia="en-US"/>
              </w:rPr>
              <w:t>utas/apartamentai arb</w:t>
            </w:r>
            <w:r>
              <w:rPr>
                <w:rFonts w:eastAsia="Calibri"/>
                <w:szCs w:val="24"/>
                <w:lang w:eastAsia="en-US"/>
              </w:rPr>
              <w:t xml:space="preserve">a atskiras namas su patogumais. </w:t>
            </w:r>
            <w:r w:rsidRPr="007337B2">
              <w:rPr>
                <w:rFonts w:eastAsia="Calibri"/>
                <w:szCs w:val="24"/>
                <w:lang w:eastAsia="en-US"/>
              </w:rPr>
              <w:t>Turi būti įrengta šildymo, kondicionav</w:t>
            </w:r>
            <w:r>
              <w:rPr>
                <w:rFonts w:eastAsia="Calibri"/>
                <w:szCs w:val="24"/>
                <w:lang w:eastAsia="en-US"/>
              </w:rPr>
              <w:t xml:space="preserve">imo sistema, internetinis ryšys </w:t>
            </w:r>
            <w:r w:rsidRPr="007337B2">
              <w:rPr>
                <w:rFonts w:eastAsia="Calibri"/>
                <w:szCs w:val="24"/>
                <w:lang w:eastAsia="en-US"/>
              </w:rPr>
              <w:t>ir kabelinė/palydovinė televizija. Pata</w:t>
            </w:r>
            <w:r>
              <w:rPr>
                <w:rFonts w:eastAsia="Calibri"/>
                <w:szCs w:val="24"/>
                <w:lang w:eastAsia="en-US"/>
              </w:rPr>
              <w:t xml:space="preserve">lpoje turi būti veikiantis dūmų </w:t>
            </w:r>
            <w:r w:rsidRPr="007337B2">
              <w:rPr>
                <w:rFonts w:eastAsia="Calibri"/>
                <w:szCs w:val="24"/>
                <w:lang w:eastAsia="en-US"/>
              </w:rPr>
              <w:t>detektorius, jei reikalaujama</w:t>
            </w:r>
            <w:r>
              <w:rPr>
                <w:rFonts w:eastAsia="Calibri"/>
                <w:szCs w:val="24"/>
                <w:lang w:eastAsia="en-US"/>
              </w:rPr>
              <w:t xml:space="preserve"> – gesintuvas ar kitos apsaugos priemonės. </w:t>
            </w:r>
            <w:r w:rsidRPr="007337B2">
              <w:rPr>
                <w:rFonts w:eastAsia="Calibri"/>
                <w:szCs w:val="24"/>
                <w:lang w:eastAsia="en-US"/>
              </w:rPr>
              <w:t xml:space="preserve">Būsto plotas turi būti ne mažiau kaip </w:t>
            </w:r>
            <w:r>
              <w:rPr>
                <w:rFonts w:eastAsia="Calibri"/>
                <w:szCs w:val="24"/>
                <w:lang w:eastAsia="en-US"/>
              </w:rPr>
              <w:t xml:space="preserve">30 kv. m., patalpoje turi būti: </w:t>
            </w:r>
            <w:r w:rsidRPr="007337B2">
              <w:rPr>
                <w:rFonts w:eastAsia="Calibri"/>
                <w:szCs w:val="24"/>
                <w:lang w:eastAsia="en-US"/>
              </w:rPr>
              <w:t>svetainė/miegamasis/virtuvė (gali būti bend</w:t>
            </w:r>
            <w:r>
              <w:rPr>
                <w:rFonts w:eastAsia="Calibri"/>
                <w:szCs w:val="24"/>
                <w:lang w:eastAsia="en-US"/>
              </w:rPr>
              <w:t xml:space="preserve">ra erdvė) ir sanitarinės patalpos. </w:t>
            </w:r>
            <w:r w:rsidRPr="007337B2">
              <w:rPr>
                <w:rFonts w:eastAsia="Calibri"/>
                <w:szCs w:val="24"/>
                <w:lang w:eastAsia="en-US"/>
              </w:rPr>
              <w:t xml:space="preserve">Būstas turi būti švarus, tvarkingas, </w:t>
            </w:r>
            <w:r>
              <w:rPr>
                <w:rFonts w:eastAsia="Calibri"/>
                <w:szCs w:val="24"/>
                <w:lang w:eastAsia="en-US"/>
              </w:rPr>
              <w:t xml:space="preserve">suremontuotas, pilnai įrengtas, </w:t>
            </w:r>
            <w:r w:rsidRPr="007337B2">
              <w:rPr>
                <w:rFonts w:eastAsia="Calibri"/>
                <w:szCs w:val="24"/>
                <w:lang w:eastAsia="en-US"/>
              </w:rPr>
              <w:t xml:space="preserve">paruoštas gyventi ir skirtas </w:t>
            </w:r>
            <w:r>
              <w:rPr>
                <w:rFonts w:eastAsia="Calibri"/>
                <w:szCs w:val="24"/>
                <w:lang w:eastAsia="en-US"/>
              </w:rPr>
              <w:t xml:space="preserve">nerūkantiems. Patalpų šildymas, vėdinimas, oro kondicionavimas, </w:t>
            </w:r>
            <w:r w:rsidRPr="007337B2">
              <w:rPr>
                <w:rFonts w:eastAsia="Calibri"/>
                <w:szCs w:val="24"/>
                <w:lang w:eastAsia="en-US"/>
              </w:rPr>
              <w:t>apšvi</w:t>
            </w:r>
            <w:r>
              <w:rPr>
                <w:rFonts w:eastAsia="Calibri"/>
                <w:szCs w:val="24"/>
                <w:lang w:eastAsia="en-US"/>
              </w:rPr>
              <w:t xml:space="preserve">etimas turi atitikti minimalias </w:t>
            </w:r>
            <w:r w:rsidRPr="007337B2">
              <w:rPr>
                <w:rFonts w:eastAsia="Calibri"/>
                <w:szCs w:val="24"/>
                <w:lang w:eastAsia="en-US"/>
              </w:rPr>
              <w:t>higienos normas, kurios garan</w:t>
            </w:r>
            <w:r>
              <w:rPr>
                <w:rFonts w:eastAsia="Calibri"/>
                <w:szCs w:val="24"/>
                <w:lang w:eastAsia="en-US"/>
              </w:rPr>
              <w:t xml:space="preserve">tuoja sveiką, saugią ir tinkamą </w:t>
            </w:r>
            <w:r w:rsidRPr="007337B2">
              <w:rPr>
                <w:rFonts w:eastAsia="Calibri"/>
                <w:szCs w:val="24"/>
                <w:lang w:eastAsia="en-US"/>
              </w:rPr>
              <w:t>gyvenamąją aplinką.</w:t>
            </w:r>
          </w:p>
        </w:tc>
      </w:tr>
      <w:tr w:rsidR="007337B2" w14:paraId="2322D442" w14:textId="77777777" w:rsidTr="00825EB3">
        <w:trPr>
          <w:trHeight w:val="233"/>
        </w:trPr>
        <w:tc>
          <w:tcPr>
            <w:tcW w:w="10315" w:type="dxa"/>
            <w:vAlign w:val="center"/>
          </w:tcPr>
          <w:p w14:paraId="1244ADF3" w14:textId="782081CD" w:rsidR="007337B2" w:rsidRPr="007337B2" w:rsidRDefault="007337B2" w:rsidP="007337B2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337B2">
              <w:rPr>
                <w:rFonts w:eastAsia="Calibri"/>
                <w:szCs w:val="24"/>
                <w:lang w:eastAsia="en-US"/>
              </w:rPr>
              <w:t>3.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04409B">
              <w:rPr>
                <w:rFonts w:eastAsia="Calibri"/>
                <w:szCs w:val="24"/>
                <w:lang w:eastAsia="en-US"/>
              </w:rPr>
              <w:t>B</w:t>
            </w:r>
            <w:r w:rsidRPr="007337B2">
              <w:rPr>
                <w:rFonts w:eastAsia="Calibri"/>
                <w:szCs w:val="24"/>
                <w:lang w:eastAsia="en-US"/>
              </w:rPr>
              <w:t>utas/apartamentai arb</w:t>
            </w:r>
            <w:r>
              <w:rPr>
                <w:rFonts w:eastAsia="Calibri"/>
                <w:szCs w:val="24"/>
                <w:lang w:eastAsia="en-US"/>
              </w:rPr>
              <w:t xml:space="preserve">a atskiras namas su patogumais. </w:t>
            </w:r>
            <w:r w:rsidRPr="007337B2">
              <w:rPr>
                <w:rFonts w:eastAsia="Calibri"/>
                <w:szCs w:val="24"/>
                <w:lang w:eastAsia="en-US"/>
              </w:rPr>
              <w:t>Turi būti įrengta šildymo, kondicionav</w:t>
            </w:r>
            <w:r>
              <w:rPr>
                <w:rFonts w:eastAsia="Calibri"/>
                <w:szCs w:val="24"/>
                <w:lang w:eastAsia="en-US"/>
              </w:rPr>
              <w:t xml:space="preserve">imo sistema, internetinis ryšys </w:t>
            </w:r>
            <w:r w:rsidRPr="007337B2">
              <w:rPr>
                <w:rFonts w:eastAsia="Calibri"/>
                <w:szCs w:val="24"/>
                <w:lang w:eastAsia="en-US"/>
              </w:rPr>
              <w:t>ir kabelinė/palydovinė televizija. Pata</w:t>
            </w:r>
            <w:r>
              <w:rPr>
                <w:rFonts w:eastAsia="Calibri"/>
                <w:szCs w:val="24"/>
                <w:lang w:eastAsia="en-US"/>
              </w:rPr>
              <w:t xml:space="preserve">lpoje turi būti veikiantis dūmų </w:t>
            </w:r>
            <w:r w:rsidRPr="007337B2">
              <w:rPr>
                <w:rFonts w:eastAsia="Calibri"/>
                <w:szCs w:val="24"/>
                <w:lang w:eastAsia="en-US"/>
              </w:rPr>
              <w:t>detektorius, jei reikalaujama – gesintuvas ar k</w:t>
            </w:r>
            <w:r>
              <w:rPr>
                <w:rFonts w:eastAsia="Calibri"/>
                <w:szCs w:val="24"/>
                <w:lang w:eastAsia="en-US"/>
              </w:rPr>
              <w:t xml:space="preserve">itos apsaugos priemonės. </w:t>
            </w:r>
            <w:r w:rsidRPr="007337B2">
              <w:rPr>
                <w:rFonts w:eastAsia="Calibri"/>
                <w:szCs w:val="24"/>
                <w:lang w:eastAsia="en-US"/>
              </w:rPr>
              <w:t xml:space="preserve">Būsto plotas turi būti ne mažiau kaip </w:t>
            </w:r>
            <w:r>
              <w:rPr>
                <w:rFonts w:eastAsia="Calibri"/>
                <w:szCs w:val="24"/>
                <w:lang w:eastAsia="en-US"/>
              </w:rPr>
              <w:t xml:space="preserve">30 kv. m., patalpoje turi būti: </w:t>
            </w:r>
            <w:r w:rsidRPr="007337B2">
              <w:rPr>
                <w:rFonts w:eastAsia="Calibri"/>
                <w:szCs w:val="24"/>
                <w:lang w:eastAsia="en-US"/>
              </w:rPr>
              <w:t>svetainė/miegamasis/virtuvė (gali bū</w:t>
            </w:r>
            <w:r>
              <w:rPr>
                <w:rFonts w:eastAsia="Calibri"/>
                <w:szCs w:val="24"/>
                <w:lang w:eastAsia="en-US"/>
              </w:rPr>
              <w:t xml:space="preserve">ti bendra erdvė) ir sanitarinės patalpos. </w:t>
            </w:r>
            <w:r w:rsidRPr="007337B2">
              <w:rPr>
                <w:rFonts w:eastAsia="Calibri"/>
                <w:szCs w:val="24"/>
                <w:lang w:eastAsia="en-US"/>
              </w:rPr>
              <w:t xml:space="preserve">Būstas turi būti švarus, tvarkingas, </w:t>
            </w:r>
            <w:r>
              <w:rPr>
                <w:rFonts w:eastAsia="Calibri"/>
                <w:szCs w:val="24"/>
                <w:lang w:eastAsia="en-US"/>
              </w:rPr>
              <w:t xml:space="preserve">suremontuotas, pilnai įrengtas, </w:t>
            </w:r>
            <w:r w:rsidRPr="007337B2">
              <w:rPr>
                <w:rFonts w:eastAsia="Calibri"/>
                <w:szCs w:val="24"/>
                <w:lang w:eastAsia="en-US"/>
              </w:rPr>
              <w:t xml:space="preserve">paruoštas gyventi ir skirtas </w:t>
            </w:r>
            <w:r>
              <w:rPr>
                <w:rFonts w:eastAsia="Calibri"/>
                <w:szCs w:val="24"/>
                <w:lang w:eastAsia="en-US"/>
              </w:rPr>
              <w:t xml:space="preserve">nerūkantiems. Patalpų šildymas, </w:t>
            </w:r>
            <w:r w:rsidRPr="007337B2">
              <w:rPr>
                <w:rFonts w:eastAsia="Calibri"/>
                <w:szCs w:val="24"/>
                <w:lang w:eastAsia="en-US"/>
              </w:rPr>
              <w:t>vėdinimas, oro kondicionavimas, apšvi</w:t>
            </w:r>
            <w:r>
              <w:rPr>
                <w:rFonts w:eastAsia="Calibri"/>
                <w:szCs w:val="24"/>
                <w:lang w:eastAsia="en-US"/>
              </w:rPr>
              <w:t xml:space="preserve">etimas turi atitikti minimalias </w:t>
            </w:r>
            <w:r w:rsidRPr="007337B2">
              <w:rPr>
                <w:rFonts w:eastAsia="Calibri"/>
                <w:szCs w:val="24"/>
                <w:lang w:eastAsia="en-US"/>
              </w:rPr>
              <w:t>higienos normas, kurios garan</w:t>
            </w:r>
            <w:r>
              <w:rPr>
                <w:rFonts w:eastAsia="Calibri"/>
                <w:szCs w:val="24"/>
                <w:lang w:eastAsia="en-US"/>
              </w:rPr>
              <w:t xml:space="preserve">tuoja sveiką, saugią ir tinkamą </w:t>
            </w:r>
            <w:r w:rsidRPr="007337B2">
              <w:rPr>
                <w:rFonts w:eastAsia="Calibri"/>
                <w:szCs w:val="24"/>
                <w:lang w:eastAsia="en-US"/>
              </w:rPr>
              <w:t>gyvenamąją aplinką.</w:t>
            </w:r>
          </w:p>
        </w:tc>
      </w:tr>
      <w:tr w:rsidR="007337B2" w14:paraId="4F1B1011" w14:textId="77777777" w:rsidTr="00825EB3">
        <w:trPr>
          <w:trHeight w:val="233"/>
        </w:trPr>
        <w:tc>
          <w:tcPr>
            <w:tcW w:w="10315" w:type="dxa"/>
            <w:vAlign w:val="center"/>
          </w:tcPr>
          <w:p w14:paraId="273E9C76" w14:textId="33EDE361" w:rsidR="007337B2" w:rsidRPr="007337B2" w:rsidRDefault="007337B2" w:rsidP="0004409B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337B2">
              <w:rPr>
                <w:rFonts w:eastAsia="Calibri"/>
                <w:szCs w:val="24"/>
                <w:lang w:eastAsia="en-US"/>
              </w:rPr>
              <w:t>4.</w:t>
            </w:r>
            <w:r w:rsidR="00A54662">
              <w:t xml:space="preserve"> </w:t>
            </w:r>
            <w:r w:rsidR="00A54662" w:rsidRPr="00A54662">
              <w:rPr>
                <w:rFonts w:eastAsia="Calibri"/>
                <w:szCs w:val="24"/>
                <w:lang w:eastAsia="en-US"/>
              </w:rPr>
              <w:t>Patalpose negali būti jokių vabzdžių, t</w:t>
            </w:r>
            <w:r w:rsidR="00A54662">
              <w:rPr>
                <w:rFonts w:eastAsia="Calibri"/>
                <w:szCs w:val="24"/>
                <w:lang w:eastAsia="en-US"/>
              </w:rPr>
              <w:t xml:space="preserve">arakonų, pelių ar kitų kenkėjų. </w:t>
            </w:r>
            <w:r w:rsidR="00A54662" w:rsidRPr="00A54662">
              <w:rPr>
                <w:rFonts w:eastAsia="Calibri"/>
                <w:szCs w:val="24"/>
                <w:lang w:eastAsia="en-US"/>
              </w:rPr>
              <w:t>Jei atsiranda – paslaugų teikėjas privalo nedelsiant atlikti dezinsekc</w:t>
            </w:r>
            <w:r w:rsidR="00A54662">
              <w:rPr>
                <w:rFonts w:eastAsia="Calibri"/>
                <w:szCs w:val="24"/>
                <w:lang w:eastAsia="en-US"/>
              </w:rPr>
              <w:t xml:space="preserve">iją </w:t>
            </w:r>
            <w:r w:rsidR="00A54662" w:rsidRPr="00A54662">
              <w:rPr>
                <w:rFonts w:eastAsia="Calibri"/>
                <w:szCs w:val="24"/>
                <w:lang w:eastAsia="en-US"/>
              </w:rPr>
              <w:t>ar deratizaciją.</w:t>
            </w:r>
          </w:p>
        </w:tc>
      </w:tr>
      <w:tr w:rsidR="007337B2" w14:paraId="2F25F42C" w14:textId="77777777" w:rsidTr="00825EB3">
        <w:trPr>
          <w:trHeight w:val="233"/>
        </w:trPr>
        <w:tc>
          <w:tcPr>
            <w:tcW w:w="10315" w:type="dxa"/>
            <w:vAlign w:val="center"/>
          </w:tcPr>
          <w:p w14:paraId="7747BE9A" w14:textId="0E263259" w:rsidR="00A54662" w:rsidRPr="00A54662" w:rsidRDefault="007337B2" w:rsidP="0004409B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337B2">
              <w:rPr>
                <w:rFonts w:eastAsia="Calibri"/>
                <w:szCs w:val="24"/>
                <w:lang w:eastAsia="en-US"/>
              </w:rPr>
              <w:t>5</w:t>
            </w:r>
            <w:r>
              <w:rPr>
                <w:rFonts w:eastAsia="Calibri"/>
                <w:szCs w:val="24"/>
                <w:lang w:eastAsia="en-US"/>
              </w:rPr>
              <w:t>.</w:t>
            </w:r>
            <w:r w:rsidR="00A54662">
              <w:rPr>
                <w:rFonts w:eastAsia="Calibri"/>
                <w:szCs w:val="24"/>
                <w:lang w:eastAsia="en-US"/>
              </w:rPr>
              <w:t xml:space="preserve"> </w:t>
            </w:r>
            <w:r w:rsidR="00A54662" w:rsidRPr="00A54662">
              <w:rPr>
                <w:rFonts w:eastAsia="Calibri"/>
                <w:szCs w:val="24"/>
                <w:lang w:eastAsia="en-US"/>
              </w:rPr>
              <w:t>Įvykus gedimui, paslaugų teikėj</w:t>
            </w:r>
            <w:r w:rsidR="00A54662">
              <w:rPr>
                <w:rFonts w:eastAsia="Calibri"/>
                <w:szCs w:val="24"/>
                <w:lang w:eastAsia="en-US"/>
              </w:rPr>
              <w:t xml:space="preserve">as gedimus turi pašalinti per 5 </w:t>
            </w:r>
            <w:r w:rsidR="00A54662" w:rsidRPr="00A54662">
              <w:rPr>
                <w:rFonts w:eastAsia="Calibri"/>
                <w:szCs w:val="24"/>
                <w:lang w:eastAsia="en-US"/>
              </w:rPr>
              <w:t>(penkias) dienas nuo gauto pranešim</w:t>
            </w:r>
            <w:r w:rsidR="00A54662">
              <w:rPr>
                <w:rFonts w:eastAsia="Calibri"/>
                <w:szCs w:val="24"/>
                <w:lang w:eastAsia="en-US"/>
              </w:rPr>
              <w:t xml:space="preserve">o. Išimtinais, sudėtingų gedimų </w:t>
            </w:r>
            <w:r w:rsidR="00A54662" w:rsidRPr="00A54662">
              <w:rPr>
                <w:rFonts w:eastAsia="Calibri"/>
                <w:szCs w:val="24"/>
                <w:lang w:eastAsia="en-US"/>
              </w:rPr>
              <w:t>atvejais, gedimus pašalinti per maksi</w:t>
            </w:r>
            <w:r w:rsidR="00A54662">
              <w:rPr>
                <w:rFonts w:eastAsia="Calibri"/>
                <w:szCs w:val="24"/>
                <w:lang w:eastAsia="en-US"/>
              </w:rPr>
              <w:t xml:space="preserve">maliai trumpiausią, su užsakovu </w:t>
            </w:r>
            <w:r w:rsidR="00A54662" w:rsidRPr="00A54662">
              <w:rPr>
                <w:rFonts w:eastAsia="Calibri"/>
                <w:szCs w:val="24"/>
                <w:lang w:eastAsia="en-US"/>
              </w:rPr>
              <w:t>suderintą, laiką.</w:t>
            </w:r>
          </w:p>
          <w:p w14:paraId="1668083E" w14:textId="77777777" w:rsidR="00A54662" w:rsidRPr="00A54662" w:rsidRDefault="00A54662" w:rsidP="0004409B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54662">
              <w:rPr>
                <w:rFonts w:eastAsia="Calibri"/>
                <w:szCs w:val="24"/>
                <w:lang w:eastAsia="en-US"/>
              </w:rPr>
              <w:t>Į kainą turi būti įskaičiuoti visi su būstu susiję mokesčiai:</w:t>
            </w:r>
          </w:p>
          <w:p w14:paraId="3010F463" w14:textId="77777777" w:rsidR="00A54662" w:rsidRPr="00A54662" w:rsidRDefault="00A54662" w:rsidP="0004409B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54662">
              <w:rPr>
                <w:rFonts w:eastAsia="Calibri"/>
                <w:szCs w:val="24"/>
                <w:lang w:eastAsia="en-US"/>
              </w:rPr>
              <w:t>- nuomos mokestis;</w:t>
            </w:r>
          </w:p>
          <w:p w14:paraId="157C46D8" w14:textId="77777777" w:rsidR="00A54662" w:rsidRPr="00A54662" w:rsidRDefault="00A54662" w:rsidP="0004409B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54662">
              <w:rPr>
                <w:rFonts w:eastAsia="Calibri"/>
                <w:szCs w:val="24"/>
                <w:lang w:eastAsia="en-US"/>
              </w:rPr>
              <w:t>- komunaliniai mokesčiai (elektra, vanduo, šildymas ir kiti);</w:t>
            </w:r>
          </w:p>
          <w:p w14:paraId="5BB68DE1" w14:textId="77777777" w:rsidR="00A54662" w:rsidRPr="00A54662" w:rsidRDefault="00A54662" w:rsidP="0004409B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54662">
              <w:rPr>
                <w:rFonts w:eastAsia="Calibri"/>
                <w:szCs w:val="24"/>
                <w:lang w:eastAsia="en-US"/>
              </w:rPr>
              <w:t>- internetas ir internetinė/kabelinė televizija;</w:t>
            </w:r>
          </w:p>
          <w:p w14:paraId="056DE089" w14:textId="77777777" w:rsidR="00A54662" w:rsidRPr="00A54662" w:rsidRDefault="00A54662" w:rsidP="0004409B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54662">
              <w:rPr>
                <w:rFonts w:eastAsia="Calibri"/>
                <w:szCs w:val="24"/>
                <w:lang w:eastAsia="en-US"/>
              </w:rPr>
              <w:t>- ir kiti.</w:t>
            </w:r>
          </w:p>
          <w:p w14:paraId="4E0EBCA4" w14:textId="6B7550EB" w:rsidR="00A54662" w:rsidRPr="00A54662" w:rsidRDefault="00A54662" w:rsidP="0004409B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54662">
              <w:rPr>
                <w:rFonts w:eastAsia="Calibri"/>
                <w:szCs w:val="24"/>
                <w:lang w:eastAsia="en-US"/>
              </w:rPr>
              <w:t>Pirkėjas už juos papildomai nemoka. Apgyvendinimo pas</w:t>
            </w:r>
            <w:r>
              <w:rPr>
                <w:rFonts w:eastAsia="Calibri"/>
                <w:szCs w:val="24"/>
                <w:lang w:eastAsia="en-US"/>
              </w:rPr>
              <w:t xml:space="preserve">laugas </w:t>
            </w:r>
            <w:r w:rsidRPr="00A54662">
              <w:rPr>
                <w:rFonts w:eastAsia="Calibri"/>
                <w:szCs w:val="24"/>
                <w:lang w:eastAsia="en-US"/>
              </w:rPr>
              <w:t>galima užsakyti/atsisakyti be papildo</w:t>
            </w:r>
            <w:r>
              <w:rPr>
                <w:rFonts w:eastAsia="Calibri"/>
                <w:szCs w:val="24"/>
                <w:lang w:eastAsia="en-US"/>
              </w:rPr>
              <w:t xml:space="preserve">mo mokesčio iš anksto (prieš 60 </w:t>
            </w:r>
            <w:r w:rsidRPr="00A54662">
              <w:rPr>
                <w:rFonts w:eastAsia="Calibri"/>
                <w:szCs w:val="24"/>
                <w:lang w:eastAsia="en-US"/>
              </w:rPr>
              <w:t>d. iki numatomo atv</w:t>
            </w:r>
            <w:r>
              <w:rPr>
                <w:rFonts w:eastAsia="Calibri"/>
                <w:szCs w:val="24"/>
                <w:lang w:eastAsia="en-US"/>
              </w:rPr>
              <w:t xml:space="preserve">ykimo ar išvykimo) informuojant paslaugos teikėją </w:t>
            </w:r>
            <w:r w:rsidRPr="00A54662">
              <w:rPr>
                <w:rFonts w:eastAsia="Calibri"/>
                <w:szCs w:val="24"/>
                <w:lang w:eastAsia="en-US"/>
              </w:rPr>
              <w:t>nurodytu elektroniniu paštu.</w:t>
            </w:r>
          </w:p>
          <w:p w14:paraId="44718AF3" w14:textId="582DEB06" w:rsidR="007337B2" w:rsidRPr="007337B2" w:rsidRDefault="00A54662" w:rsidP="0004409B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A54662">
              <w:rPr>
                <w:rFonts w:eastAsia="Calibri"/>
                <w:szCs w:val="24"/>
                <w:lang w:eastAsia="en-US"/>
              </w:rPr>
              <w:t>Būsto draudimu pasirūpina paslaugos tie</w:t>
            </w:r>
            <w:r>
              <w:rPr>
                <w:rFonts w:eastAsia="Calibri"/>
                <w:szCs w:val="24"/>
                <w:lang w:eastAsia="en-US"/>
              </w:rPr>
              <w:t xml:space="preserve">kėjas arba būsto savininkas iki </w:t>
            </w:r>
            <w:r w:rsidRPr="00A54662">
              <w:rPr>
                <w:rFonts w:eastAsia="Calibri"/>
                <w:szCs w:val="24"/>
                <w:lang w:eastAsia="en-US"/>
              </w:rPr>
              <w:t>patalpų perdavimo dienos. Priešingu atveju, nuomininkas neatsako už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A54662">
              <w:rPr>
                <w:rFonts w:eastAsia="Calibri"/>
                <w:szCs w:val="24"/>
                <w:lang w:eastAsia="en-US"/>
              </w:rPr>
              <w:t xml:space="preserve">įvykusius incidentus ir jo </w:t>
            </w:r>
            <w:r>
              <w:rPr>
                <w:rFonts w:eastAsia="Calibri"/>
                <w:szCs w:val="24"/>
                <w:lang w:eastAsia="en-US"/>
              </w:rPr>
              <w:t xml:space="preserve">pasekmes (pvz. vagystes, kilusį gaisrą ir dėl </w:t>
            </w:r>
            <w:r w:rsidRPr="00A54662">
              <w:rPr>
                <w:rFonts w:eastAsia="Calibri"/>
                <w:szCs w:val="24"/>
                <w:lang w:eastAsia="en-US"/>
              </w:rPr>
              <w:t xml:space="preserve">to padarytą žalą </w:t>
            </w:r>
            <w:r>
              <w:rPr>
                <w:rFonts w:eastAsia="Calibri"/>
                <w:szCs w:val="24"/>
                <w:lang w:eastAsia="en-US"/>
              </w:rPr>
              <w:t xml:space="preserve">būstui ir tretiesiems asmenims. </w:t>
            </w:r>
            <w:r w:rsidRPr="00A54662">
              <w:rPr>
                <w:rFonts w:eastAsia="Calibri"/>
                <w:szCs w:val="24"/>
                <w:lang w:eastAsia="en-US"/>
              </w:rPr>
              <w:t>Pasla</w:t>
            </w:r>
            <w:r w:rsidR="0004409B">
              <w:rPr>
                <w:rFonts w:eastAsia="Calibri"/>
                <w:szCs w:val="24"/>
                <w:lang w:eastAsia="en-US"/>
              </w:rPr>
              <w:t xml:space="preserve">ugos teikėjas skiria kontaktinį </w:t>
            </w:r>
            <w:r w:rsidRPr="00A54662">
              <w:rPr>
                <w:rFonts w:eastAsia="Calibri"/>
                <w:szCs w:val="24"/>
                <w:lang w:eastAsia="en-US"/>
              </w:rPr>
              <w:t>a</w:t>
            </w:r>
            <w:r>
              <w:rPr>
                <w:rFonts w:eastAsia="Calibri"/>
                <w:szCs w:val="24"/>
                <w:lang w:eastAsia="en-US"/>
              </w:rPr>
              <w:t xml:space="preserve">smenį/vadybininką, atsakingą už </w:t>
            </w:r>
            <w:r w:rsidRPr="00A54662">
              <w:rPr>
                <w:rFonts w:eastAsia="Calibri"/>
                <w:szCs w:val="24"/>
                <w:lang w:eastAsia="en-US"/>
              </w:rPr>
              <w:t>sutarties vykdymą ir iškilusių probleminių klausimų sprendimą.</w:t>
            </w:r>
          </w:p>
        </w:tc>
      </w:tr>
    </w:tbl>
    <w:p w14:paraId="1FF9AED9" w14:textId="77777777" w:rsidR="005D0A8D" w:rsidRPr="005D0A8D" w:rsidRDefault="005D0A8D" w:rsidP="0004409B">
      <w:pPr>
        <w:suppressAutoHyphens/>
        <w:autoSpaceDE w:val="0"/>
        <w:jc w:val="both"/>
        <w:textAlignment w:val="baseline"/>
        <w:rPr>
          <w:rFonts w:eastAsia="Calibri"/>
          <w:b/>
          <w:szCs w:val="24"/>
          <w:lang w:eastAsia="en-US"/>
        </w:rPr>
      </w:pPr>
    </w:p>
    <w:p w14:paraId="0620BF84" w14:textId="77777777" w:rsidR="007337B2" w:rsidRDefault="007337B2" w:rsidP="0004409B">
      <w:pPr>
        <w:tabs>
          <w:tab w:val="left" w:pos="360"/>
        </w:tabs>
        <w:suppressAutoHyphens/>
        <w:autoSpaceDE w:val="0"/>
        <w:jc w:val="both"/>
        <w:textAlignment w:val="baseline"/>
        <w:rPr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240"/>
        <w:gridCol w:w="2779"/>
      </w:tblGrid>
      <w:tr w:rsidR="007337B2" w:rsidRPr="00E812C3" w14:paraId="7925BB46" w14:textId="77777777" w:rsidTr="009426A2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2A0B2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" w:type="dxa"/>
          </w:tcPr>
          <w:p w14:paraId="799BA048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0DF44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" w:type="dxa"/>
          </w:tcPr>
          <w:p w14:paraId="3962304F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4232A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337B2" w:rsidRPr="00E812C3" w14:paraId="4F62E6D1" w14:textId="77777777" w:rsidTr="009426A2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E7566" w14:textId="77777777" w:rsidR="007337B2" w:rsidRPr="00E812C3" w:rsidRDefault="007337B2" w:rsidP="0004409B">
            <w:pPr>
              <w:snapToGrid w:val="0"/>
              <w:jc w:val="both"/>
              <w:rPr>
                <w:rFonts w:eastAsia="Calibri"/>
                <w:position w:val="6"/>
                <w:sz w:val="20"/>
              </w:rPr>
            </w:pPr>
            <w:r w:rsidRPr="00E812C3">
              <w:rPr>
                <w:rFonts w:eastAsia="Calibri"/>
                <w:position w:val="6"/>
                <w:sz w:val="20"/>
              </w:rPr>
              <w:t xml:space="preserve">    (Tiekėjo arba jo įgalioto asmens pareigų pavadinimas)</w:t>
            </w:r>
          </w:p>
        </w:tc>
        <w:tc>
          <w:tcPr>
            <w:tcW w:w="240" w:type="dxa"/>
          </w:tcPr>
          <w:p w14:paraId="6F3AA564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7D747" w14:textId="2FD2790A" w:rsidR="007337B2" w:rsidRPr="00E812C3" w:rsidRDefault="0004409B" w:rsidP="0004409B">
            <w:pPr>
              <w:ind w:right="-1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position w:val="6"/>
                <w:sz w:val="20"/>
              </w:rPr>
              <w:t xml:space="preserve">      </w:t>
            </w:r>
            <w:r w:rsidR="007337B2" w:rsidRPr="00E812C3">
              <w:rPr>
                <w:rFonts w:eastAsia="Calibri"/>
                <w:position w:val="6"/>
                <w:sz w:val="20"/>
              </w:rPr>
              <w:t xml:space="preserve"> (Parašas)</w:t>
            </w:r>
          </w:p>
        </w:tc>
        <w:tc>
          <w:tcPr>
            <w:tcW w:w="240" w:type="dxa"/>
          </w:tcPr>
          <w:p w14:paraId="543A92A3" w14:textId="77777777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85ADE" w14:textId="769AD6FD" w:rsidR="007337B2" w:rsidRPr="00E812C3" w:rsidRDefault="007337B2" w:rsidP="0004409B">
            <w:pPr>
              <w:ind w:right="-1"/>
              <w:jc w:val="both"/>
              <w:rPr>
                <w:rFonts w:eastAsia="Calibri"/>
                <w:sz w:val="20"/>
              </w:rPr>
            </w:pPr>
            <w:r w:rsidRPr="00E812C3">
              <w:rPr>
                <w:rFonts w:eastAsia="Calibri"/>
                <w:position w:val="6"/>
                <w:sz w:val="20"/>
              </w:rPr>
              <w:t xml:space="preserve"> </w:t>
            </w:r>
            <w:r w:rsidR="0004409B">
              <w:rPr>
                <w:rFonts w:eastAsia="Calibri"/>
                <w:position w:val="6"/>
                <w:sz w:val="20"/>
              </w:rPr>
              <w:t xml:space="preserve">        </w:t>
            </w:r>
            <w:r w:rsidRPr="00E812C3">
              <w:rPr>
                <w:rFonts w:eastAsia="Calibri"/>
                <w:position w:val="6"/>
                <w:sz w:val="20"/>
              </w:rPr>
              <w:t xml:space="preserve"> (Vardas ir pavardė)</w:t>
            </w:r>
          </w:p>
        </w:tc>
      </w:tr>
    </w:tbl>
    <w:p w14:paraId="203DB68C" w14:textId="77777777" w:rsidR="007337B2" w:rsidRDefault="007337B2" w:rsidP="00825EB3">
      <w:pPr>
        <w:pStyle w:val="Body2"/>
        <w:spacing w:after="0"/>
        <w:ind w:firstLine="709"/>
        <w:rPr>
          <w:rFonts w:eastAsia="Calibri" w:cs="Times New Roman"/>
          <w:color w:val="auto"/>
          <w:sz w:val="24"/>
          <w:szCs w:val="24"/>
          <w:bdr w:val="none" w:sz="0" w:space="0" w:color="auto"/>
          <w:lang w:val="lt-LT" w:eastAsia="lt-LT"/>
        </w:rPr>
      </w:pPr>
    </w:p>
    <w:sectPr w:rsidR="007337B2" w:rsidSect="00946A2E">
      <w:headerReference w:type="default" r:id="rId8"/>
      <w:pgSz w:w="11907" w:h="16839" w:code="9"/>
      <w:pgMar w:top="850" w:right="562" w:bottom="850" w:left="113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685E9" w14:textId="77777777" w:rsidR="00534BF2" w:rsidRDefault="00534BF2">
      <w:r>
        <w:separator/>
      </w:r>
    </w:p>
  </w:endnote>
  <w:endnote w:type="continuationSeparator" w:id="0">
    <w:p w14:paraId="7059AD7B" w14:textId="77777777" w:rsidR="00534BF2" w:rsidRDefault="0053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F728D" w14:textId="77777777" w:rsidR="00534BF2" w:rsidRDefault="00534BF2">
      <w:r>
        <w:separator/>
      </w:r>
    </w:p>
  </w:footnote>
  <w:footnote w:type="continuationSeparator" w:id="0">
    <w:p w14:paraId="43CF320E" w14:textId="77777777" w:rsidR="00534BF2" w:rsidRDefault="0053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0B64" w14:textId="45BDDDAA" w:rsidR="00654971" w:rsidRPr="00E20B52" w:rsidRDefault="00654971" w:rsidP="00946A2E">
    <w:pPr>
      <w:pStyle w:val="Header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6456"/>
    <w:multiLevelType w:val="hybridMultilevel"/>
    <w:tmpl w:val="9FDC2AF2"/>
    <w:lvl w:ilvl="0" w:tplc="D5049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3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A92B5F"/>
    <w:multiLevelType w:val="hybridMultilevel"/>
    <w:tmpl w:val="B674F846"/>
    <w:lvl w:ilvl="0" w:tplc="4BD0CC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0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543A6C"/>
    <w:multiLevelType w:val="multilevel"/>
    <w:tmpl w:val="04BAA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911091"/>
    <w:multiLevelType w:val="multilevel"/>
    <w:tmpl w:val="459A840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41730C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280795"/>
    <w:multiLevelType w:val="hybridMultilevel"/>
    <w:tmpl w:val="63A05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A43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i-FI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B4"/>
    <w:rsid w:val="00000EBF"/>
    <w:rsid w:val="00022ADE"/>
    <w:rsid w:val="00025B26"/>
    <w:rsid w:val="0003633C"/>
    <w:rsid w:val="00036DD4"/>
    <w:rsid w:val="0004409B"/>
    <w:rsid w:val="000441B4"/>
    <w:rsid w:val="00080E70"/>
    <w:rsid w:val="00082CAA"/>
    <w:rsid w:val="000927B8"/>
    <w:rsid w:val="00092F69"/>
    <w:rsid w:val="000A5C0B"/>
    <w:rsid w:val="000D214B"/>
    <w:rsid w:val="000F0F83"/>
    <w:rsid w:val="000F2A18"/>
    <w:rsid w:val="00105A43"/>
    <w:rsid w:val="00106699"/>
    <w:rsid w:val="00110B23"/>
    <w:rsid w:val="001225D4"/>
    <w:rsid w:val="00130C69"/>
    <w:rsid w:val="001516ED"/>
    <w:rsid w:val="00154A0D"/>
    <w:rsid w:val="001608FE"/>
    <w:rsid w:val="0017383B"/>
    <w:rsid w:val="0018133B"/>
    <w:rsid w:val="00196536"/>
    <w:rsid w:val="00197E6B"/>
    <w:rsid w:val="001A062B"/>
    <w:rsid w:val="001C09D6"/>
    <w:rsid w:val="001C754F"/>
    <w:rsid w:val="001D08F5"/>
    <w:rsid w:val="001D1672"/>
    <w:rsid w:val="001E2795"/>
    <w:rsid w:val="001E2858"/>
    <w:rsid w:val="001E31B8"/>
    <w:rsid w:val="00203F37"/>
    <w:rsid w:val="002055AB"/>
    <w:rsid w:val="00206C80"/>
    <w:rsid w:val="00216DEC"/>
    <w:rsid w:val="00223470"/>
    <w:rsid w:val="00232F62"/>
    <w:rsid w:val="00246257"/>
    <w:rsid w:val="0025780C"/>
    <w:rsid w:val="0026324D"/>
    <w:rsid w:val="00273467"/>
    <w:rsid w:val="002912F6"/>
    <w:rsid w:val="0029435B"/>
    <w:rsid w:val="00295881"/>
    <w:rsid w:val="00296AC4"/>
    <w:rsid w:val="002B2C86"/>
    <w:rsid w:val="002B3289"/>
    <w:rsid w:val="002B37A1"/>
    <w:rsid w:val="002B529E"/>
    <w:rsid w:val="002B78C9"/>
    <w:rsid w:val="002B78DA"/>
    <w:rsid w:val="002C0CF9"/>
    <w:rsid w:val="002C4930"/>
    <w:rsid w:val="002C4B41"/>
    <w:rsid w:val="002C5404"/>
    <w:rsid w:val="002D4DC5"/>
    <w:rsid w:val="002E4BF0"/>
    <w:rsid w:val="002F011D"/>
    <w:rsid w:val="0030506A"/>
    <w:rsid w:val="00306DF1"/>
    <w:rsid w:val="00317085"/>
    <w:rsid w:val="00317ED8"/>
    <w:rsid w:val="003216C5"/>
    <w:rsid w:val="003311C1"/>
    <w:rsid w:val="003338AC"/>
    <w:rsid w:val="003412FD"/>
    <w:rsid w:val="00344E57"/>
    <w:rsid w:val="00347934"/>
    <w:rsid w:val="00356867"/>
    <w:rsid w:val="00356C96"/>
    <w:rsid w:val="003616B4"/>
    <w:rsid w:val="00362475"/>
    <w:rsid w:val="0036452B"/>
    <w:rsid w:val="00365A0B"/>
    <w:rsid w:val="0036654C"/>
    <w:rsid w:val="00370049"/>
    <w:rsid w:val="00371B19"/>
    <w:rsid w:val="0038667B"/>
    <w:rsid w:val="00392E20"/>
    <w:rsid w:val="003A23E7"/>
    <w:rsid w:val="003B66E2"/>
    <w:rsid w:val="003B68F1"/>
    <w:rsid w:val="003C2E63"/>
    <w:rsid w:val="003C6A63"/>
    <w:rsid w:val="003D1B63"/>
    <w:rsid w:val="003D2CC6"/>
    <w:rsid w:val="003D5828"/>
    <w:rsid w:val="003E75A5"/>
    <w:rsid w:val="003F75C2"/>
    <w:rsid w:val="003F7ECC"/>
    <w:rsid w:val="0041350A"/>
    <w:rsid w:val="00420E9B"/>
    <w:rsid w:val="00424104"/>
    <w:rsid w:val="00445CC4"/>
    <w:rsid w:val="0045388D"/>
    <w:rsid w:val="00453EBA"/>
    <w:rsid w:val="00461846"/>
    <w:rsid w:val="0046443A"/>
    <w:rsid w:val="004738C8"/>
    <w:rsid w:val="00476477"/>
    <w:rsid w:val="00476E64"/>
    <w:rsid w:val="00496E7B"/>
    <w:rsid w:val="00497FB4"/>
    <w:rsid w:val="004A0F8B"/>
    <w:rsid w:val="004A51E8"/>
    <w:rsid w:val="004C5121"/>
    <w:rsid w:val="004D1235"/>
    <w:rsid w:val="004F078B"/>
    <w:rsid w:val="004F570F"/>
    <w:rsid w:val="00501CE3"/>
    <w:rsid w:val="00505332"/>
    <w:rsid w:val="00511CEF"/>
    <w:rsid w:val="005310D0"/>
    <w:rsid w:val="00532FC4"/>
    <w:rsid w:val="00534BF2"/>
    <w:rsid w:val="00553DB7"/>
    <w:rsid w:val="00554D57"/>
    <w:rsid w:val="00557097"/>
    <w:rsid w:val="00560355"/>
    <w:rsid w:val="00565A75"/>
    <w:rsid w:val="00571D69"/>
    <w:rsid w:val="00575A18"/>
    <w:rsid w:val="00580AA1"/>
    <w:rsid w:val="00580B0A"/>
    <w:rsid w:val="005852EC"/>
    <w:rsid w:val="00586F44"/>
    <w:rsid w:val="00592241"/>
    <w:rsid w:val="005A0E2E"/>
    <w:rsid w:val="005A0E38"/>
    <w:rsid w:val="005A1340"/>
    <w:rsid w:val="005A46B9"/>
    <w:rsid w:val="005A6B76"/>
    <w:rsid w:val="005B2426"/>
    <w:rsid w:val="005B68C5"/>
    <w:rsid w:val="005B6DF4"/>
    <w:rsid w:val="005C1453"/>
    <w:rsid w:val="005D0753"/>
    <w:rsid w:val="005D0A8D"/>
    <w:rsid w:val="005D21B7"/>
    <w:rsid w:val="005D5CAD"/>
    <w:rsid w:val="005E023E"/>
    <w:rsid w:val="005E3F47"/>
    <w:rsid w:val="005E516D"/>
    <w:rsid w:val="005F44C3"/>
    <w:rsid w:val="005F50AD"/>
    <w:rsid w:val="005F67E7"/>
    <w:rsid w:val="00603D92"/>
    <w:rsid w:val="00607776"/>
    <w:rsid w:val="00614887"/>
    <w:rsid w:val="00616557"/>
    <w:rsid w:val="00616B36"/>
    <w:rsid w:val="00623C0C"/>
    <w:rsid w:val="00630D86"/>
    <w:rsid w:val="0063313A"/>
    <w:rsid w:val="0063347F"/>
    <w:rsid w:val="00644E3A"/>
    <w:rsid w:val="00654971"/>
    <w:rsid w:val="00660642"/>
    <w:rsid w:val="00660A04"/>
    <w:rsid w:val="00666439"/>
    <w:rsid w:val="0066760C"/>
    <w:rsid w:val="0067322A"/>
    <w:rsid w:val="006804FA"/>
    <w:rsid w:val="00690061"/>
    <w:rsid w:val="006A021E"/>
    <w:rsid w:val="006A2532"/>
    <w:rsid w:val="006B1BED"/>
    <w:rsid w:val="006B64EF"/>
    <w:rsid w:val="006C096F"/>
    <w:rsid w:val="006C0F35"/>
    <w:rsid w:val="006D3430"/>
    <w:rsid w:val="006D6938"/>
    <w:rsid w:val="006E014D"/>
    <w:rsid w:val="006F222E"/>
    <w:rsid w:val="00705E64"/>
    <w:rsid w:val="0071136D"/>
    <w:rsid w:val="00713573"/>
    <w:rsid w:val="00723857"/>
    <w:rsid w:val="00724ED6"/>
    <w:rsid w:val="00726FBE"/>
    <w:rsid w:val="007270B0"/>
    <w:rsid w:val="00727380"/>
    <w:rsid w:val="007337B2"/>
    <w:rsid w:val="007363F8"/>
    <w:rsid w:val="00744852"/>
    <w:rsid w:val="00753EA9"/>
    <w:rsid w:val="00770EBD"/>
    <w:rsid w:val="00773C36"/>
    <w:rsid w:val="0078450D"/>
    <w:rsid w:val="00785256"/>
    <w:rsid w:val="00790BC6"/>
    <w:rsid w:val="00795B2E"/>
    <w:rsid w:val="00797953"/>
    <w:rsid w:val="00797FF3"/>
    <w:rsid w:val="007B2830"/>
    <w:rsid w:val="007B4F69"/>
    <w:rsid w:val="007C3E96"/>
    <w:rsid w:val="007D4CD7"/>
    <w:rsid w:val="007D6C70"/>
    <w:rsid w:val="007E3C8B"/>
    <w:rsid w:val="007E712D"/>
    <w:rsid w:val="008002AC"/>
    <w:rsid w:val="0081312F"/>
    <w:rsid w:val="00817F0A"/>
    <w:rsid w:val="00825EB3"/>
    <w:rsid w:val="00832512"/>
    <w:rsid w:val="00833DAB"/>
    <w:rsid w:val="00834B8A"/>
    <w:rsid w:val="008456D8"/>
    <w:rsid w:val="00884E67"/>
    <w:rsid w:val="008856E5"/>
    <w:rsid w:val="0088722B"/>
    <w:rsid w:val="00890803"/>
    <w:rsid w:val="00891EA6"/>
    <w:rsid w:val="00897506"/>
    <w:rsid w:val="008A13F1"/>
    <w:rsid w:val="008A1A83"/>
    <w:rsid w:val="008B63F3"/>
    <w:rsid w:val="008C3903"/>
    <w:rsid w:val="008C4F26"/>
    <w:rsid w:val="008D318E"/>
    <w:rsid w:val="008E4E2A"/>
    <w:rsid w:val="00902090"/>
    <w:rsid w:val="00904214"/>
    <w:rsid w:val="009070E4"/>
    <w:rsid w:val="009164F7"/>
    <w:rsid w:val="00927E31"/>
    <w:rsid w:val="0094139E"/>
    <w:rsid w:val="009460A1"/>
    <w:rsid w:val="00946A2E"/>
    <w:rsid w:val="00955779"/>
    <w:rsid w:val="0095658E"/>
    <w:rsid w:val="009574F0"/>
    <w:rsid w:val="00962E6D"/>
    <w:rsid w:val="00967551"/>
    <w:rsid w:val="009714F5"/>
    <w:rsid w:val="009722BD"/>
    <w:rsid w:val="00981401"/>
    <w:rsid w:val="00986CF1"/>
    <w:rsid w:val="0099482D"/>
    <w:rsid w:val="009A3D17"/>
    <w:rsid w:val="009A7C5D"/>
    <w:rsid w:val="009B7369"/>
    <w:rsid w:val="009D110A"/>
    <w:rsid w:val="009D12CB"/>
    <w:rsid w:val="009D1BF7"/>
    <w:rsid w:val="009E791B"/>
    <w:rsid w:val="00A030ED"/>
    <w:rsid w:val="00A05912"/>
    <w:rsid w:val="00A11989"/>
    <w:rsid w:val="00A32125"/>
    <w:rsid w:val="00A34B57"/>
    <w:rsid w:val="00A34DBA"/>
    <w:rsid w:val="00A35050"/>
    <w:rsid w:val="00A53A5F"/>
    <w:rsid w:val="00A54662"/>
    <w:rsid w:val="00A61785"/>
    <w:rsid w:val="00A657ED"/>
    <w:rsid w:val="00A65AA6"/>
    <w:rsid w:val="00A7034F"/>
    <w:rsid w:val="00A77CAA"/>
    <w:rsid w:val="00A8255D"/>
    <w:rsid w:val="00A82782"/>
    <w:rsid w:val="00A94605"/>
    <w:rsid w:val="00AA1ECE"/>
    <w:rsid w:val="00AA4FFB"/>
    <w:rsid w:val="00AA7D80"/>
    <w:rsid w:val="00AB111C"/>
    <w:rsid w:val="00AC3008"/>
    <w:rsid w:val="00AC4A7E"/>
    <w:rsid w:val="00AC5647"/>
    <w:rsid w:val="00AD341D"/>
    <w:rsid w:val="00AD5E11"/>
    <w:rsid w:val="00AD641D"/>
    <w:rsid w:val="00AE2A3B"/>
    <w:rsid w:val="00AE43C0"/>
    <w:rsid w:val="00AF1954"/>
    <w:rsid w:val="00AF37EE"/>
    <w:rsid w:val="00B0386B"/>
    <w:rsid w:val="00B0593C"/>
    <w:rsid w:val="00B07716"/>
    <w:rsid w:val="00B120C3"/>
    <w:rsid w:val="00B220FD"/>
    <w:rsid w:val="00B31F7D"/>
    <w:rsid w:val="00B357FE"/>
    <w:rsid w:val="00B44AED"/>
    <w:rsid w:val="00B4616A"/>
    <w:rsid w:val="00B46BC9"/>
    <w:rsid w:val="00B55F3C"/>
    <w:rsid w:val="00B61F0B"/>
    <w:rsid w:val="00B63EA9"/>
    <w:rsid w:val="00B65665"/>
    <w:rsid w:val="00B70DA0"/>
    <w:rsid w:val="00B74089"/>
    <w:rsid w:val="00B841CF"/>
    <w:rsid w:val="00B84630"/>
    <w:rsid w:val="00B85D04"/>
    <w:rsid w:val="00B874CE"/>
    <w:rsid w:val="00B90531"/>
    <w:rsid w:val="00B970AF"/>
    <w:rsid w:val="00BB1F2C"/>
    <w:rsid w:val="00BC2C6A"/>
    <w:rsid w:val="00BD069A"/>
    <w:rsid w:val="00BE4435"/>
    <w:rsid w:val="00BE6A9C"/>
    <w:rsid w:val="00BE7C8D"/>
    <w:rsid w:val="00BF39F0"/>
    <w:rsid w:val="00BF487E"/>
    <w:rsid w:val="00C002A7"/>
    <w:rsid w:val="00C15DF1"/>
    <w:rsid w:val="00C2561D"/>
    <w:rsid w:val="00C3642A"/>
    <w:rsid w:val="00C43086"/>
    <w:rsid w:val="00C6428F"/>
    <w:rsid w:val="00C73721"/>
    <w:rsid w:val="00C74B45"/>
    <w:rsid w:val="00C74F2D"/>
    <w:rsid w:val="00C81170"/>
    <w:rsid w:val="00C8654D"/>
    <w:rsid w:val="00C9014B"/>
    <w:rsid w:val="00C956BB"/>
    <w:rsid w:val="00CA0547"/>
    <w:rsid w:val="00CB7D6A"/>
    <w:rsid w:val="00CB7E5B"/>
    <w:rsid w:val="00CB7FC6"/>
    <w:rsid w:val="00CC09E5"/>
    <w:rsid w:val="00CD3170"/>
    <w:rsid w:val="00CD3EC8"/>
    <w:rsid w:val="00CD4C5B"/>
    <w:rsid w:val="00CE222F"/>
    <w:rsid w:val="00CE227A"/>
    <w:rsid w:val="00CE2FCE"/>
    <w:rsid w:val="00CF4E50"/>
    <w:rsid w:val="00D049EF"/>
    <w:rsid w:val="00D070FF"/>
    <w:rsid w:val="00D17BA6"/>
    <w:rsid w:val="00D21927"/>
    <w:rsid w:val="00D2400F"/>
    <w:rsid w:val="00D421B6"/>
    <w:rsid w:val="00D43937"/>
    <w:rsid w:val="00D515E0"/>
    <w:rsid w:val="00D63244"/>
    <w:rsid w:val="00D6763A"/>
    <w:rsid w:val="00D7034B"/>
    <w:rsid w:val="00D72983"/>
    <w:rsid w:val="00D831E7"/>
    <w:rsid w:val="00D83741"/>
    <w:rsid w:val="00D85BD9"/>
    <w:rsid w:val="00D959D6"/>
    <w:rsid w:val="00D96C28"/>
    <w:rsid w:val="00D96CF1"/>
    <w:rsid w:val="00DA1CD0"/>
    <w:rsid w:val="00DA419E"/>
    <w:rsid w:val="00DB23AF"/>
    <w:rsid w:val="00DC46B5"/>
    <w:rsid w:val="00DC4B01"/>
    <w:rsid w:val="00DD4910"/>
    <w:rsid w:val="00DD4F87"/>
    <w:rsid w:val="00DD6E3C"/>
    <w:rsid w:val="00DE5568"/>
    <w:rsid w:val="00DF56E8"/>
    <w:rsid w:val="00E1525F"/>
    <w:rsid w:val="00E2661C"/>
    <w:rsid w:val="00E343F4"/>
    <w:rsid w:val="00E35D56"/>
    <w:rsid w:val="00E36098"/>
    <w:rsid w:val="00E36F1D"/>
    <w:rsid w:val="00E37054"/>
    <w:rsid w:val="00E4382E"/>
    <w:rsid w:val="00E43A0C"/>
    <w:rsid w:val="00E44991"/>
    <w:rsid w:val="00E5276F"/>
    <w:rsid w:val="00E54E07"/>
    <w:rsid w:val="00E567AB"/>
    <w:rsid w:val="00E725FE"/>
    <w:rsid w:val="00E750B2"/>
    <w:rsid w:val="00E77BAC"/>
    <w:rsid w:val="00E81FE3"/>
    <w:rsid w:val="00E8667C"/>
    <w:rsid w:val="00E93BD5"/>
    <w:rsid w:val="00EA5E9D"/>
    <w:rsid w:val="00EC1E0C"/>
    <w:rsid w:val="00EC1F66"/>
    <w:rsid w:val="00EC3102"/>
    <w:rsid w:val="00ED033E"/>
    <w:rsid w:val="00ED3084"/>
    <w:rsid w:val="00EE4F79"/>
    <w:rsid w:val="00EF16D9"/>
    <w:rsid w:val="00EF4C74"/>
    <w:rsid w:val="00EF650E"/>
    <w:rsid w:val="00F13B23"/>
    <w:rsid w:val="00F1607D"/>
    <w:rsid w:val="00F300D5"/>
    <w:rsid w:val="00F41B1A"/>
    <w:rsid w:val="00F63EE5"/>
    <w:rsid w:val="00F648C5"/>
    <w:rsid w:val="00F766E7"/>
    <w:rsid w:val="00F90E5C"/>
    <w:rsid w:val="00F9243B"/>
    <w:rsid w:val="00F9588C"/>
    <w:rsid w:val="00FA0233"/>
    <w:rsid w:val="00FA1551"/>
    <w:rsid w:val="00FB5C73"/>
    <w:rsid w:val="00FB7EC8"/>
    <w:rsid w:val="00FC7E5A"/>
    <w:rsid w:val="00FD55A8"/>
    <w:rsid w:val="00FE101B"/>
    <w:rsid w:val="00FE527E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18FA"/>
  <w15:chartTrackingRefBased/>
  <w15:docId w15:val="{B71C150B-31D5-4D35-8D8A-05BB64A2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B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link w:val="Header"/>
    <w:locked/>
    <w:rsid w:val="00D421B6"/>
    <w:rPr>
      <w:sz w:val="24"/>
      <w:lang w:val="lt-LT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Normal"/>
    <w:link w:val="HeaderChar"/>
    <w:rsid w:val="00D421B6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D421B6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D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B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6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63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9460A1"/>
    <w:pPr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46257"/>
    <w:pPr>
      <w:widowControl w:val="0"/>
      <w:autoSpaceDE w:val="0"/>
      <w:adjustRightInd w:val="0"/>
      <w:spacing w:line="258" w:lineRule="exact"/>
      <w:ind w:left="110"/>
    </w:pPr>
    <w:rPr>
      <w:rFonts w:eastAsiaTheme="minorEastAsia"/>
      <w:szCs w:val="24"/>
      <w:lang w:val="ru-RU" w:eastAsia="ru-RU"/>
    </w:rPr>
  </w:style>
  <w:style w:type="paragraph" w:styleId="Footer">
    <w:name w:val="footer"/>
    <w:basedOn w:val="Normal"/>
    <w:link w:val="FooterChar"/>
    <w:rsid w:val="00770EBD"/>
    <w:pPr>
      <w:tabs>
        <w:tab w:val="center" w:pos="4320"/>
        <w:tab w:val="right" w:pos="8640"/>
      </w:tabs>
      <w:suppressAutoHyphens/>
      <w:autoSpaceDN/>
    </w:pPr>
    <w:rPr>
      <w:color w:val="000000"/>
      <w:lang w:eastAsia="ar-SA"/>
    </w:rPr>
  </w:style>
  <w:style w:type="character" w:customStyle="1" w:styleId="FooterChar">
    <w:name w:val="Footer Char"/>
    <w:basedOn w:val="DefaultParagraphFont"/>
    <w:link w:val="Footer"/>
    <w:rsid w:val="00770EBD"/>
    <w:rPr>
      <w:rFonts w:ascii="Times New Roman" w:eastAsia="Times New Roman" w:hAnsi="Times New Roman" w:cs="Times New Roman"/>
      <w:color w:val="000000"/>
      <w:sz w:val="24"/>
      <w:szCs w:val="20"/>
      <w:lang w:val="lt-LT" w:eastAsia="ar-SA"/>
    </w:rPr>
  </w:style>
  <w:style w:type="table" w:styleId="TableGrid">
    <w:name w:val="Table Grid"/>
    <w:basedOn w:val="TableNormal"/>
    <w:uiPriority w:val="39"/>
    <w:rsid w:val="00E4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4FFB"/>
    <w:rPr>
      <w:color w:val="0563C1" w:themeColor="hyperlink"/>
      <w:u w:val="single"/>
    </w:rPr>
  </w:style>
  <w:style w:type="paragraph" w:customStyle="1" w:styleId="Body2">
    <w:name w:val="Body 2"/>
    <w:rsid w:val="007337B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6348-F192-41F1-B8C8-B81D6AEE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Baroniunas</dc:creator>
  <cp:lastModifiedBy>Jokūbas Stasiulis</cp:lastModifiedBy>
  <cp:revision>13</cp:revision>
  <dcterms:created xsi:type="dcterms:W3CDTF">2026-02-17T08:09:00Z</dcterms:created>
  <dcterms:modified xsi:type="dcterms:W3CDTF">2026-02-18T06:37:00Z</dcterms:modified>
</cp:coreProperties>
</file>