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F64E84">
        <w:rPr>
          <w:rFonts w:eastAsia="Calibri"/>
          <w:sz w:val="22"/>
          <w:szCs w:val="22"/>
        </w:rPr>
        <w:t>6</w:t>
      </w:r>
      <w:r w:rsidR="0069326E">
        <w:rPr>
          <w:rFonts w:eastAsia="Calibri"/>
          <w:sz w:val="22"/>
          <w:szCs w:val="22"/>
        </w:rPr>
        <w:t>-0</w:t>
      </w:r>
      <w:r w:rsidR="00F64E84">
        <w:rPr>
          <w:rFonts w:eastAsia="Calibri"/>
          <w:sz w:val="22"/>
          <w:szCs w:val="22"/>
        </w:rPr>
        <w:t>3-0</w:t>
      </w:r>
      <w:r w:rsidR="00F83DC3">
        <w:rPr>
          <w:rFonts w:eastAsia="Calibri"/>
          <w:sz w:val="22"/>
          <w:szCs w:val="22"/>
        </w:rPr>
        <w:t>2</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6C4308">
        <w:rPr>
          <w:sz w:val="22"/>
          <w:szCs w:val="22"/>
        </w:rPr>
        <w:t>Medicinos pagalbos priemonės</w:t>
      </w:r>
      <w:r w:rsidR="00F64E84">
        <w:rPr>
          <w:sz w:val="22"/>
          <w:szCs w:val="22"/>
        </w:rPr>
        <w:t xml:space="preserve"> (Nr. 533)</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6C4308" w:rsidRPr="006C4308">
        <w:rPr>
          <w:rFonts w:eastAsia="Calibri"/>
          <w:sz w:val="22"/>
          <w:szCs w:val="22"/>
        </w:rPr>
        <w:t>Medicinos pagalbos priemonės</w:t>
      </w:r>
      <w:r w:rsidR="009A548F"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433A36">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707"/>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965"/>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433A36" w:rsidRDefault="00433A36" w:rsidP="009A548F">
      <w:pPr>
        <w:pStyle w:val="ListParagraph"/>
        <w:ind w:left="567"/>
        <w:jc w:val="both"/>
        <w:rPr>
          <w:b/>
          <w:sz w:val="22"/>
          <w:szCs w:val="22"/>
        </w:rPr>
      </w:pP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6A2B0E">
        <w:rPr>
          <w:sz w:val="22"/>
          <w:szCs w:val="22"/>
        </w:rPr>
        <w:t>10</w:t>
      </w:r>
      <w:r w:rsidR="003B023D">
        <w:rPr>
          <w:sz w:val="22"/>
          <w:szCs w:val="22"/>
        </w:rPr>
        <w:t xml:space="preserve"> lap</w:t>
      </w:r>
      <w:r w:rsidR="006A2B0E">
        <w:rPr>
          <w:sz w:val="22"/>
          <w:szCs w:val="22"/>
        </w:rPr>
        <w:t>ų</w:t>
      </w:r>
      <w:r w:rsidR="00CE44EA">
        <w:rPr>
          <w:sz w:val="22"/>
          <w:szCs w:val="22"/>
        </w:rPr>
        <w:t>.</w:t>
      </w:r>
      <w:bookmarkStart w:id="0" w:name="_GoBack"/>
      <w:bookmarkEnd w:id="0"/>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6A2B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A22E0"/>
    <w:rsid w:val="002D090E"/>
    <w:rsid w:val="0030035B"/>
    <w:rsid w:val="003057C0"/>
    <w:rsid w:val="003A5CE1"/>
    <w:rsid w:val="003B023D"/>
    <w:rsid w:val="00431794"/>
    <w:rsid w:val="00433A36"/>
    <w:rsid w:val="0044762F"/>
    <w:rsid w:val="00475D42"/>
    <w:rsid w:val="005F65CE"/>
    <w:rsid w:val="00687520"/>
    <w:rsid w:val="0069326E"/>
    <w:rsid w:val="006A2B0E"/>
    <w:rsid w:val="006C4308"/>
    <w:rsid w:val="00720555"/>
    <w:rsid w:val="00841A30"/>
    <w:rsid w:val="008808AF"/>
    <w:rsid w:val="00884EB7"/>
    <w:rsid w:val="008B710E"/>
    <w:rsid w:val="009A548F"/>
    <w:rsid w:val="009D3566"/>
    <w:rsid w:val="00A30484"/>
    <w:rsid w:val="00AF382E"/>
    <w:rsid w:val="00AF4698"/>
    <w:rsid w:val="00B76C91"/>
    <w:rsid w:val="00B77278"/>
    <w:rsid w:val="00BA29E4"/>
    <w:rsid w:val="00C10AC7"/>
    <w:rsid w:val="00C60467"/>
    <w:rsid w:val="00CB5E87"/>
    <w:rsid w:val="00CE44EA"/>
    <w:rsid w:val="00D37B50"/>
    <w:rsid w:val="00D531AF"/>
    <w:rsid w:val="00DE69E9"/>
    <w:rsid w:val="00E40696"/>
    <w:rsid w:val="00E60CA4"/>
    <w:rsid w:val="00E814DA"/>
    <w:rsid w:val="00F478D3"/>
    <w:rsid w:val="00F64E84"/>
    <w:rsid w:val="00F83DC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1576</Words>
  <Characters>899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32</cp:revision>
  <cp:lastPrinted>2022-02-17T14:38:00Z</cp:lastPrinted>
  <dcterms:created xsi:type="dcterms:W3CDTF">2022-02-17T13:23:00Z</dcterms:created>
  <dcterms:modified xsi:type="dcterms:W3CDTF">2026-03-02T11:51:00Z</dcterms:modified>
</cp:coreProperties>
</file>