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564E7F">
        <w:trPr>
          <w:trHeight w:hRule="exact" w:val="3880"/>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7CE408E2" w:rsidR="0070373B" w:rsidRPr="00D26B3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DB17D7" w:rsidRPr="27F0D1E4">
              <w:rPr>
                <w:rFonts w:asciiTheme="majorBidi" w:hAnsiTheme="majorBidi" w:cstheme="majorBidi"/>
              </w:rPr>
              <w:t xml:space="preserve">DI fabriko infrastruktūros esamame duomenų centre DC3 projektavimo ir įrengimo paslauga </w:t>
            </w:r>
            <w:r w:rsidR="00D26B3B">
              <w:rPr>
                <w:rFonts w:asciiTheme="majorBidi" w:hAnsiTheme="majorBidi" w:cstheme="majorBidi"/>
                <w:kern w:val="2"/>
                <w:lang w:eastAsia="ar-SA"/>
              </w:rPr>
              <w:t>(tol</w:t>
            </w:r>
            <w:r w:rsidR="006A4F50">
              <w:rPr>
                <w:rFonts w:asciiTheme="majorBidi" w:hAnsiTheme="majorBidi" w:cstheme="majorBidi"/>
                <w:kern w:val="2"/>
                <w:lang w:eastAsia="ar-SA"/>
              </w:rPr>
              <w:t>i</w:t>
            </w:r>
            <w:r w:rsidR="00D26B3B">
              <w:rPr>
                <w:rFonts w:asciiTheme="majorBidi" w:hAnsiTheme="majorBidi" w:cstheme="majorBidi"/>
                <w:kern w:val="2"/>
                <w:lang w:eastAsia="ar-SA"/>
              </w:rPr>
              <w:t>au - P</w:t>
            </w:r>
            <w:r w:rsidR="006A4F50">
              <w:rPr>
                <w:rFonts w:asciiTheme="majorBidi" w:hAnsiTheme="majorBidi" w:cstheme="majorBidi"/>
                <w:kern w:val="2"/>
                <w:lang w:eastAsia="ar-SA"/>
              </w:rPr>
              <w:t>aslaug</w:t>
            </w:r>
            <w:r w:rsidR="00DB17D7">
              <w:rPr>
                <w:rFonts w:asciiTheme="majorBidi" w:hAnsiTheme="majorBidi" w:cstheme="majorBidi"/>
                <w:kern w:val="2"/>
                <w:lang w:eastAsia="ar-SA"/>
              </w:rPr>
              <w:t>a</w:t>
            </w:r>
            <w:r w:rsidR="00D26B3B">
              <w:rPr>
                <w:rFonts w:asciiTheme="majorBidi" w:hAnsiTheme="majorBidi" w:cstheme="majorBidi"/>
                <w:kern w:val="2"/>
                <w:lang w:eastAsia="ar-SA"/>
              </w:rPr>
              <w:t>).</w:t>
            </w:r>
          </w:p>
          <w:p w14:paraId="435BE64C" w14:textId="55F0FE94" w:rsidR="00D44B35" w:rsidRPr="00564E7F"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skirta</w:t>
            </w:r>
            <w:r w:rsidR="00564E7F">
              <w:rPr>
                <w:rFonts w:ascii="Times New Roman" w:eastAsia="Arial" w:hAnsi="Times New Roman" w:cs="Times New Roman"/>
                <w:color w:val="auto"/>
                <w:lang w:eastAsia="lt-LT" w:bidi="lt-LT"/>
              </w:rPr>
              <w:t xml:space="preserve"> </w:t>
            </w:r>
            <w:r w:rsidR="00564E7F" w:rsidRPr="00564E7F">
              <w:rPr>
                <w:rFonts w:asciiTheme="majorBidi" w:hAnsiTheme="majorBidi" w:cstheme="majorBidi"/>
              </w:rPr>
              <w:t>tinkama</w:t>
            </w:r>
            <w:r w:rsidR="00564E7F">
              <w:rPr>
                <w:rFonts w:asciiTheme="majorBidi" w:hAnsiTheme="majorBidi" w:cstheme="majorBidi"/>
              </w:rPr>
              <w:t>m</w:t>
            </w:r>
            <w:r w:rsidR="00564E7F" w:rsidRPr="00564E7F">
              <w:rPr>
                <w:rFonts w:asciiTheme="majorBidi" w:hAnsiTheme="majorBidi" w:cstheme="majorBidi"/>
              </w:rPr>
              <w:t xml:space="preserve"> pasirengim</w:t>
            </w:r>
            <w:r w:rsidR="00564E7F">
              <w:rPr>
                <w:rFonts w:asciiTheme="majorBidi" w:hAnsiTheme="majorBidi" w:cstheme="majorBidi"/>
              </w:rPr>
              <w:t>ui</w:t>
            </w:r>
            <w:r w:rsidR="00564E7F" w:rsidRPr="00564E7F">
              <w:rPr>
                <w:rFonts w:asciiTheme="majorBidi" w:hAnsiTheme="majorBidi" w:cstheme="majorBidi"/>
              </w:rPr>
              <w:t xml:space="preserve"> pirkimui ir tiekėjų informavim</w:t>
            </w:r>
            <w:r w:rsidR="00564E7F">
              <w:rPr>
                <w:rFonts w:asciiTheme="majorBidi" w:hAnsiTheme="majorBidi" w:cstheme="majorBidi"/>
              </w:rPr>
              <w:t>ui</w:t>
            </w:r>
            <w:r w:rsidR="00564E7F" w:rsidRPr="00564E7F">
              <w:rPr>
                <w:rFonts w:asciiTheme="majorBidi" w:hAnsiTheme="majorBidi" w:cstheme="majorBidi"/>
              </w:rPr>
              <w:t xml:space="preserve"> apie pirkim</w:t>
            </w:r>
            <w:r w:rsidR="00564E7F">
              <w:rPr>
                <w:rFonts w:asciiTheme="majorBidi" w:hAnsiTheme="majorBidi" w:cstheme="majorBidi"/>
              </w:rPr>
              <w:t xml:space="preserve">o </w:t>
            </w:r>
            <w:r w:rsidR="00564E7F" w:rsidRPr="00564E7F">
              <w:rPr>
                <w:rFonts w:asciiTheme="majorBidi" w:hAnsiTheme="majorBidi" w:cstheme="majorBidi"/>
              </w:rPr>
              <w:t>reikalavimus.</w:t>
            </w:r>
            <w:r w:rsidR="00B12FDE" w:rsidRPr="00564E7F">
              <w:rPr>
                <w:rFonts w:asciiTheme="majorBidi" w:eastAsia="Arial" w:hAnsiTheme="majorBidi" w:cstheme="majorBidi"/>
                <w:color w:val="auto"/>
                <w:lang w:eastAsia="lt-LT" w:bidi="lt-LT"/>
              </w:rPr>
              <w:t xml:space="preserve"> </w:t>
            </w:r>
          </w:p>
          <w:p w14:paraId="602F609F" w14:textId="1057466F" w:rsidR="00D44B35" w:rsidRPr="00564E7F" w:rsidRDefault="00D44B35" w:rsidP="00897104">
            <w:pPr>
              <w:widowControl w:val="0"/>
              <w:jc w:val="both"/>
              <w:rPr>
                <w:rFonts w:asciiTheme="majorBidi" w:eastAsia="Arial" w:hAnsiTheme="majorBidi" w:cstheme="majorBidi"/>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02365936"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r w:rsidR="006A4F50">
              <w:rPr>
                <w:rFonts w:ascii="Times New Roman" w:hAnsi="Times New Roman" w:cs="Times New Roman"/>
                <w:bdr w:val="none" w:sz="0" w:space="0" w:color="auto" w:frame="1"/>
              </w:rPr>
              <w:t>, tel. +370 67712187</w:t>
            </w:r>
          </w:p>
          <w:p w14:paraId="3816A43C" w14:textId="68D3BD3B"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 </w:t>
            </w:r>
            <w:hyperlink r:id="rId8" w:history="1">
              <w:r w:rsidR="007F444B" w:rsidRPr="007F444B">
                <w:rPr>
                  <w:rStyle w:val="Hyperlink"/>
                  <w:rFonts w:ascii="Times New Roman" w:eastAsia="Times New Roman" w:hAnsi="Times New Roman" w:cs="Times New Roman"/>
                  <w:noProof/>
                  <w:color w:val="auto"/>
                  <w:u w:val="none"/>
                  <w:lang w:eastAsia="lt-LT"/>
                </w:rPr>
                <w:t>i.vasciuniene@telecentras</w:t>
              </w:r>
            </w:hyperlink>
            <w:r w:rsidR="007F444B" w:rsidRPr="007F444B">
              <w:rPr>
                <w:rFonts w:ascii="Times New Roman" w:eastAsia="Times New Roman" w:hAnsi="Times New Roman" w:cs="Times New Roman"/>
                <w:noProof/>
                <w:color w:val="auto"/>
                <w:lang w:eastAsia="lt-LT"/>
              </w:rPr>
              <w:t>.</w:t>
            </w:r>
            <w:r w:rsidRPr="007F444B">
              <w:rPr>
                <w:rFonts w:ascii="Times New Roman" w:eastAsia="Times New Roman" w:hAnsi="Times New Roman" w:cs="Times New Roman"/>
                <w:noProof/>
                <w:color w:val="auto"/>
                <w:lang w:eastAsia="lt-LT"/>
              </w:rPr>
              <w: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68AA5DEF"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D26B3B">
        <w:rPr>
          <w:rFonts w:ascii="Times New Roman" w:eastAsia="Arial" w:hAnsi="Times New Roman" w:cs="Times New Roman"/>
          <w:lang w:eastAsia="lt-LT" w:bidi="lt-LT"/>
        </w:rPr>
        <w:t>;</w:t>
      </w:r>
      <w:r w:rsidR="005F4542">
        <w:rPr>
          <w:rFonts w:ascii="Times New Roman" w:eastAsia="Arial" w:hAnsi="Times New Roman" w:cs="Times New Roman"/>
          <w:lang w:eastAsia="lt-LT" w:bidi="lt-LT"/>
        </w:rPr>
        <w:t xml:space="preserve"> </w:t>
      </w:r>
    </w:p>
    <w:p w14:paraId="3D44BC0C" w14:textId="49AE32EE" w:rsidR="00DB17D7" w:rsidRDefault="005F4542" w:rsidP="00DB17D7">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DB17D7">
        <w:rPr>
          <w:rFonts w:ascii="Times New Roman" w:eastAsia="Arial" w:hAnsi="Times New Roman" w:cs="Times New Roman"/>
          <w:color w:val="auto"/>
          <w:lang w:eastAsia="lt-LT" w:bidi="lt-LT"/>
        </w:rPr>
        <w:t>Kvalifikacijos reikalavimai;</w:t>
      </w:r>
    </w:p>
    <w:p w14:paraId="48A8F965" w14:textId="086AA10D" w:rsidR="005F4542" w:rsidRDefault="005F4542" w:rsidP="00DB17D7">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3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3F7A41">
        <w:rPr>
          <w:rFonts w:ascii="Times New Roman" w:eastAsia="Arial" w:hAnsi="Times New Roman" w:cs="Times New Roman"/>
          <w:color w:val="auto"/>
          <w:lang w:eastAsia="lt-LT" w:bidi="lt-LT"/>
        </w:rPr>
        <w:t xml:space="preserve"> </w:t>
      </w:r>
      <w:r w:rsidR="00DB17D7">
        <w:rPr>
          <w:rFonts w:ascii="Times New Roman" w:eastAsia="Arial" w:hAnsi="Times New Roman" w:cs="Times New Roman"/>
          <w:lang w:eastAsia="lt-LT" w:bidi="lt-LT"/>
        </w:rPr>
        <w:t>Pasiūlymo forma;</w:t>
      </w:r>
    </w:p>
    <w:p w14:paraId="75F89059" w14:textId="5FF203B2"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sidR="00DB17D7" w:rsidRPr="00DB17D7">
        <w:rPr>
          <w:rFonts w:ascii="Times New Roman" w:eastAsia="Arial" w:hAnsi="Times New Roman" w:cs="Times New Roman"/>
          <w:lang w:eastAsia="lt-LT" w:bidi="lt-LT"/>
        </w:rPr>
        <w:t>Specialiosios Sutarties sąlygos</w:t>
      </w:r>
      <w:r w:rsidR="00DB17D7">
        <w:rPr>
          <w:rFonts w:ascii="Times New Roman" w:eastAsia="Arial" w:hAnsi="Times New Roman" w:cs="Times New Roman"/>
          <w:lang w:eastAsia="lt-LT" w:bidi="lt-LT"/>
        </w:rPr>
        <w:t>;</w:t>
      </w:r>
    </w:p>
    <w:p w14:paraId="7896FAA4" w14:textId="1CA1E4D1" w:rsidR="00DB17D7" w:rsidRDefault="00DB17D7" w:rsidP="00DB17D7">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Bendrosios </w:t>
      </w:r>
      <w:r w:rsidRPr="00DB17D7">
        <w:rPr>
          <w:rFonts w:ascii="Times New Roman" w:eastAsia="Arial" w:hAnsi="Times New Roman" w:cs="Times New Roman"/>
          <w:lang w:eastAsia="lt-LT" w:bidi="lt-LT"/>
        </w:rPr>
        <w:t>Sutarties sąlygos</w:t>
      </w:r>
      <w:r>
        <w:rPr>
          <w:rFonts w:ascii="Times New Roman" w:eastAsia="Arial" w:hAnsi="Times New Roman" w:cs="Times New Roman"/>
          <w:lang w:eastAsia="lt-LT" w:bidi="lt-LT"/>
        </w:rPr>
        <w:t>;</w:t>
      </w:r>
    </w:p>
    <w:p w14:paraId="3B9D9F97" w14:textId="33166590" w:rsidR="008F65A7" w:rsidRDefault="00DB17D7" w:rsidP="00DB17D7">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6</w:t>
      </w:r>
      <w:r w:rsidR="00D26B3B">
        <w:rPr>
          <w:rFonts w:ascii="Times New Roman" w:eastAsia="Arial" w:hAnsi="Times New Roman" w:cs="Times New Roman"/>
          <w:lang w:eastAsia="lt-LT" w:bidi="lt-LT"/>
        </w:rPr>
        <w:t xml:space="preserve"> priedas</w:t>
      </w:r>
      <w:r w:rsidR="00D26B3B"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Pr>
          <w:rFonts w:ascii="Times New Roman" w:eastAsia="Arial" w:hAnsi="Times New Roman" w:cs="Times New Roman"/>
          <w:lang w:eastAsia="lt-LT" w:bidi="lt-LT"/>
        </w:rPr>
        <w:t>.</w:t>
      </w: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3F84" w14:textId="77777777" w:rsidR="00C00DDA" w:rsidRDefault="00C00DDA" w:rsidP="00E13350">
      <w:r>
        <w:separator/>
      </w:r>
    </w:p>
  </w:endnote>
  <w:endnote w:type="continuationSeparator" w:id="0">
    <w:p w14:paraId="07158FCC" w14:textId="77777777" w:rsidR="00C00DDA" w:rsidRDefault="00C00DDA"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EFF" w:usb1="F9DFFFFF" w:usb2="0000007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97C1" w14:textId="77777777" w:rsidR="00C00DDA" w:rsidRDefault="00C00DDA" w:rsidP="00E13350">
      <w:r>
        <w:separator/>
      </w:r>
    </w:p>
  </w:footnote>
  <w:footnote w:type="continuationSeparator" w:id="0">
    <w:p w14:paraId="1B03D744" w14:textId="77777777" w:rsidR="00C00DDA" w:rsidRDefault="00C00DDA" w:rsidP="00E13350">
      <w:r>
        <w:continuationSeparator/>
      </w:r>
    </w:p>
  </w:footnote>
  <w:footnote w:id="1">
    <w:p w14:paraId="6BEE8CE6" w14:textId="77777777" w:rsidR="00094A2E" w:rsidRDefault="00094A2E" w:rsidP="00094A2E">
      <w:pPr>
        <w:pStyle w:val="FootnoteText"/>
      </w:pPr>
      <w:r>
        <w:rPr>
          <w:rStyle w:val="FootnoteReference"/>
        </w:rPr>
        <w:footnoteRef/>
      </w:r>
      <w:r w:rsidRPr="00564E7F">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2515"/>
    <w:rsid w:val="001E35BA"/>
    <w:rsid w:val="0021480F"/>
    <w:rsid w:val="002157B4"/>
    <w:rsid w:val="00223280"/>
    <w:rsid w:val="00224F7C"/>
    <w:rsid w:val="002309D7"/>
    <w:rsid w:val="00234242"/>
    <w:rsid w:val="00237C65"/>
    <w:rsid w:val="0024307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171"/>
    <w:rsid w:val="0033389A"/>
    <w:rsid w:val="00335725"/>
    <w:rsid w:val="00343392"/>
    <w:rsid w:val="003523A5"/>
    <w:rsid w:val="00355423"/>
    <w:rsid w:val="003563D3"/>
    <w:rsid w:val="003570AB"/>
    <w:rsid w:val="00362134"/>
    <w:rsid w:val="003624E1"/>
    <w:rsid w:val="00363083"/>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4B5C"/>
    <w:rsid w:val="003C5D96"/>
    <w:rsid w:val="003D5DAC"/>
    <w:rsid w:val="003D6FA0"/>
    <w:rsid w:val="003E2EDA"/>
    <w:rsid w:val="003E4602"/>
    <w:rsid w:val="003F1BBE"/>
    <w:rsid w:val="003F696A"/>
    <w:rsid w:val="003F73DB"/>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44544"/>
    <w:rsid w:val="00547D44"/>
    <w:rsid w:val="00554DCD"/>
    <w:rsid w:val="00557D68"/>
    <w:rsid w:val="0056140C"/>
    <w:rsid w:val="0056222F"/>
    <w:rsid w:val="00564E7F"/>
    <w:rsid w:val="0056535E"/>
    <w:rsid w:val="00571F7C"/>
    <w:rsid w:val="00573EC6"/>
    <w:rsid w:val="00576E48"/>
    <w:rsid w:val="0058091F"/>
    <w:rsid w:val="005822BF"/>
    <w:rsid w:val="005876F6"/>
    <w:rsid w:val="00594266"/>
    <w:rsid w:val="00595872"/>
    <w:rsid w:val="005A0330"/>
    <w:rsid w:val="005A1A94"/>
    <w:rsid w:val="005A2083"/>
    <w:rsid w:val="005A25F5"/>
    <w:rsid w:val="005D3AA3"/>
    <w:rsid w:val="005D5847"/>
    <w:rsid w:val="005D767D"/>
    <w:rsid w:val="005D7DEE"/>
    <w:rsid w:val="005F4542"/>
    <w:rsid w:val="00604E7B"/>
    <w:rsid w:val="00606D96"/>
    <w:rsid w:val="00611046"/>
    <w:rsid w:val="00616283"/>
    <w:rsid w:val="0062211A"/>
    <w:rsid w:val="00625D73"/>
    <w:rsid w:val="00632F07"/>
    <w:rsid w:val="00637257"/>
    <w:rsid w:val="006517A6"/>
    <w:rsid w:val="00656C59"/>
    <w:rsid w:val="00673AE9"/>
    <w:rsid w:val="00673D15"/>
    <w:rsid w:val="0068029F"/>
    <w:rsid w:val="00685DA5"/>
    <w:rsid w:val="006A10C9"/>
    <w:rsid w:val="006A4F50"/>
    <w:rsid w:val="006A55EE"/>
    <w:rsid w:val="006A74D4"/>
    <w:rsid w:val="006B48ED"/>
    <w:rsid w:val="006B6B2E"/>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583A"/>
    <w:rsid w:val="007A2673"/>
    <w:rsid w:val="007B2457"/>
    <w:rsid w:val="007B59AC"/>
    <w:rsid w:val="007C5057"/>
    <w:rsid w:val="007C6D99"/>
    <w:rsid w:val="007C777B"/>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5C41"/>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AD4"/>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0DDA"/>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864B2"/>
    <w:rsid w:val="00C931CD"/>
    <w:rsid w:val="00CA46CB"/>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0577"/>
    <w:rsid w:val="00D3787B"/>
    <w:rsid w:val="00D44475"/>
    <w:rsid w:val="00D44B35"/>
    <w:rsid w:val="00D5600D"/>
    <w:rsid w:val="00D772A7"/>
    <w:rsid w:val="00D81480"/>
    <w:rsid w:val="00D92182"/>
    <w:rsid w:val="00D9784B"/>
    <w:rsid w:val="00DB157D"/>
    <w:rsid w:val="00DB17D7"/>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511F"/>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536</Words>
  <Characters>3057</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6</cp:revision>
  <dcterms:created xsi:type="dcterms:W3CDTF">2026-03-02T13:57:00Z</dcterms:created>
  <dcterms:modified xsi:type="dcterms:W3CDTF">2026-03-02T16:02:00Z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