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Default="00CE1421" w:rsidP="00CE1421">
      <w:pPr>
        <w:pStyle w:val="Default"/>
        <w:spacing w:line="276" w:lineRule="auto"/>
        <w:ind w:firstLine="567"/>
        <w:jc w:val="both"/>
        <w:rPr>
          <w:b/>
          <w:bCs/>
          <w:color w:val="000000" w:themeColor="text1"/>
          <w:sz w:val="22"/>
          <w:szCs w:val="22"/>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1F036D87" w14:textId="137A8301" w:rsidR="00CE1421" w:rsidRPr="00EF5A48" w:rsidRDefault="00CE1421" w:rsidP="00CE1421">
      <w:pPr>
        <w:pStyle w:val="Default"/>
        <w:spacing w:line="276" w:lineRule="auto"/>
        <w:jc w:val="both"/>
        <w:rPr>
          <w:color w:val="000000" w:themeColor="text1"/>
          <w:sz w:val="22"/>
          <w:szCs w:val="22"/>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247"/>
        <w:gridCol w:w="4678"/>
      </w:tblGrid>
      <w:tr w:rsidR="00CE1421" w:rsidRPr="00EF5A48" w14:paraId="1C08FEB2" w14:textId="77777777" w:rsidTr="00D76D2B">
        <w:tc>
          <w:tcPr>
            <w:tcW w:w="1135" w:type="dxa"/>
          </w:tcPr>
          <w:p w14:paraId="618D8F76" w14:textId="77777777" w:rsidR="00CE1421" w:rsidRPr="00EF5A48" w:rsidRDefault="00CE1421" w:rsidP="00D76D2B">
            <w:pPr>
              <w:pStyle w:val="Head21"/>
              <w:spacing w:line="276" w:lineRule="auto"/>
              <w:ind w:right="94"/>
              <w:jc w:val="both"/>
              <w:rPr>
                <w:rFonts w:eastAsia="Calibri"/>
                <w:b w:val="0"/>
                <w:bCs/>
                <w:color w:val="000000" w:themeColor="text1"/>
                <w:sz w:val="22"/>
                <w:szCs w:val="22"/>
                <w:lang w:val="lt-LT"/>
              </w:rPr>
            </w:pPr>
            <w:r w:rsidRPr="00EF5A48">
              <w:rPr>
                <w:rFonts w:eastAsia="Calibri"/>
                <w:b w:val="0"/>
                <w:bCs/>
                <w:color w:val="000000" w:themeColor="text1"/>
                <w:sz w:val="22"/>
                <w:szCs w:val="22"/>
                <w:lang w:val="lt-LT"/>
              </w:rPr>
              <w:t>Eil. Nr.</w:t>
            </w:r>
          </w:p>
        </w:tc>
        <w:tc>
          <w:tcPr>
            <w:tcW w:w="4247" w:type="dxa"/>
          </w:tcPr>
          <w:p w14:paraId="0EC57D48" w14:textId="77777777" w:rsidR="00CE1421" w:rsidRPr="00EF5A48" w:rsidRDefault="00CE1421" w:rsidP="00D76D2B">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Kvalifikacijos reikalavimas</w:t>
            </w:r>
          </w:p>
        </w:tc>
        <w:tc>
          <w:tcPr>
            <w:tcW w:w="4678" w:type="dxa"/>
          </w:tcPr>
          <w:p w14:paraId="4963FDB6" w14:textId="77777777" w:rsidR="00CE1421" w:rsidRPr="00EF5A48" w:rsidRDefault="00CE1421" w:rsidP="00D76D2B">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Pateikiami dokumentai</w:t>
            </w:r>
          </w:p>
        </w:tc>
      </w:tr>
      <w:tr w:rsidR="00404307" w:rsidRPr="00024A43" w14:paraId="34099B1A" w14:textId="77777777" w:rsidTr="00D76D2B">
        <w:tc>
          <w:tcPr>
            <w:tcW w:w="1135" w:type="dxa"/>
          </w:tcPr>
          <w:p w14:paraId="0E5FDDDA" w14:textId="452FF20F" w:rsidR="00404307" w:rsidRDefault="00F628F9" w:rsidP="006C4010">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1.</w:t>
            </w:r>
          </w:p>
        </w:tc>
        <w:tc>
          <w:tcPr>
            <w:tcW w:w="4247" w:type="dxa"/>
          </w:tcPr>
          <w:p w14:paraId="0ECEB3E3" w14:textId="51099651" w:rsidR="00404307" w:rsidRPr="00024A43" w:rsidRDefault="00404307" w:rsidP="00DE4528">
            <w:pPr>
              <w:jc w:val="both"/>
              <w:rPr>
                <w:color w:val="000000"/>
                <w:sz w:val="22"/>
                <w:szCs w:val="22"/>
                <w:lang w:val="fi-FI"/>
              </w:rPr>
            </w:pPr>
            <w:r w:rsidRPr="00024A43">
              <w:rPr>
                <w:color w:val="000000"/>
                <w:sz w:val="22"/>
                <w:szCs w:val="22"/>
                <w:lang w:val="fi-FI"/>
              </w:rPr>
              <w:t>Tiekėjas yra registruotas ir turi teisę verstis veikla, reikalinga pirkimo sutarčiai vykdyti.</w:t>
            </w:r>
          </w:p>
        </w:tc>
        <w:tc>
          <w:tcPr>
            <w:tcW w:w="4678" w:type="dxa"/>
          </w:tcPr>
          <w:p w14:paraId="01D9EA04" w14:textId="67AA6DCB" w:rsidR="00F628F9" w:rsidRPr="00024A43" w:rsidRDefault="00F628F9" w:rsidP="00F628F9">
            <w:pPr>
              <w:jc w:val="both"/>
              <w:rPr>
                <w:noProof/>
                <w:sz w:val="22"/>
                <w:szCs w:val="22"/>
                <w:lang w:val="fi-FI" w:eastAsia="fi-FI"/>
              </w:rPr>
            </w:pPr>
            <w:r w:rsidRPr="00024A43">
              <w:rPr>
                <w:noProof/>
                <w:sz w:val="22"/>
                <w:szCs w:val="22"/>
                <w:lang w:val="fi-FI" w:eastAsia="fi-FI"/>
              </w:rPr>
              <w:t xml:space="preserve">Lietuvos Respublikoje registruoto tiekėjo (juridinio asmens) Lietuvos Respublikos juridinių asmenų registro išplėstinio išrašo kopiją ar įstatų (aktualios įstatų redakcijos) atitinkamos dalies kopiją; </w:t>
            </w:r>
          </w:p>
          <w:p w14:paraId="1FF33C93" w14:textId="77777777" w:rsidR="00F628F9" w:rsidRPr="00024A43" w:rsidRDefault="00F628F9" w:rsidP="00F628F9">
            <w:pPr>
              <w:jc w:val="both"/>
              <w:rPr>
                <w:noProof/>
                <w:sz w:val="22"/>
                <w:szCs w:val="22"/>
                <w:lang w:val="fi-FI"/>
              </w:rPr>
            </w:pPr>
          </w:p>
          <w:p w14:paraId="516791D2" w14:textId="77777777" w:rsidR="00F628F9" w:rsidRPr="00024A43" w:rsidRDefault="00F628F9" w:rsidP="00F628F9">
            <w:pPr>
              <w:jc w:val="both"/>
              <w:rPr>
                <w:noProof/>
                <w:sz w:val="22"/>
                <w:szCs w:val="22"/>
                <w:lang w:val="fi-FI" w:eastAsia="fi-FI"/>
              </w:rPr>
            </w:pPr>
            <w:r w:rsidRPr="00024A43">
              <w:rPr>
                <w:noProof/>
                <w:sz w:val="22"/>
                <w:szCs w:val="22"/>
                <w:lang w:val="fi-FI" w:eastAsia="fi-FI"/>
              </w:rPr>
              <w:t xml:space="preserve">Tiekėjo (fizinio asmens) teisę verstis </w:t>
            </w:r>
            <w:r w:rsidRPr="00024A43">
              <w:rPr>
                <w:bCs/>
                <w:sz w:val="22"/>
                <w:szCs w:val="22"/>
                <w:lang w:val="fi-FI"/>
              </w:rPr>
              <w:t xml:space="preserve">laboratorijos </w:t>
            </w:r>
            <w:r w:rsidRPr="00024A43">
              <w:rPr>
                <w:noProof/>
                <w:sz w:val="22"/>
                <w:szCs w:val="22"/>
                <w:lang w:val="fi-FI" w:eastAsia="fi-FI"/>
              </w:rPr>
              <w:t xml:space="preserve">veikla patvirtinančių dokumentų ar kitų dokumentų, kuriuose būtų nurodyta tiekėjo vykdoma veikla, kopijas; </w:t>
            </w:r>
          </w:p>
          <w:p w14:paraId="0D51FB89" w14:textId="77777777" w:rsidR="00F628F9" w:rsidRPr="00024A43" w:rsidRDefault="00F628F9" w:rsidP="00F628F9">
            <w:pPr>
              <w:jc w:val="both"/>
              <w:rPr>
                <w:noProof/>
                <w:sz w:val="22"/>
                <w:szCs w:val="22"/>
                <w:lang w:val="fi-FI"/>
              </w:rPr>
            </w:pPr>
          </w:p>
          <w:p w14:paraId="2AD7CE14" w14:textId="1D2B6CDF" w:rsidR="00404307" w:rsidRPr="00024A43" w:rsidRDefault="00F628F9" w:rsidP="00F628F9">
            <w:pPr>
              <w:jc w:val="both"/>
              <w:rPr>
                <w:color w:val="000000"/>
                <w:sz w:val="22"/>
                <w:szCs w:val="22"/>
                <w:lang w:val="fi-FI"/>
              </w:rPr>
            </w:pPr>
            <w:r w:rsidRPr="00024A43">
              <w:rPr>
                <w:noProof/>
                <w:sz w:val="22"/>
                <w:szCs w:val="22"/>
                <w:lang w:val="fi-FI" w:eastAsia="fi-FI"/>
              </w:rPr>
              <w:t>Užsienio šalies tiekėjo teisę verstis</w:t>
            </w:r>
            <w:r w:rsidRPr="00024A43">
              <w:rPr>
                <w:bCs/>
                <w:sz w:val="22"/>
                <w:szCs w:val="22"/>
                <w:lang w:val="fi-FI"/>
              </w:rPr>
              <w:t xml:space="preserve"> laboratorijos</w:t>
            </w:r>
            <w:r w:rsidRPr="00024A43">
              <w:rPr>
                <w:noProof/>
                <w:sz w:val="22"/>
                <w:szCs w:val="22"/>
                <w:lang w:val="fi-FI" w:eastAsia="fi-FI"/>
              </w:rPr>
              <w:t xml:space="preserve">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r w:rsidRPr="00024A43">
              <w:rPr>
                <w:bCs/>
                <w:sz w:val="22"/>
                <w:szCs w:val="22"/>
                <w:lang w:val="fi-FI"/>
              </w:rPr>
              <w:t>laboratorijos</w:t>
            </w:r>
            <w:r w:rsidRPr="00024A43">
              <w:rPr>
                <w:noProof/>
                <w:sz w:val="22"/>
                <w:szCs w:val="22"/>
                <w:lang w:val="fi-FI" w:eastAsia="fi-FI"/>
              </w:rPr>
              <w:t xml:space="preserve"> veikla) kopijas.</w:t>
            </w:r>
          </w:p>
        </w:tc>
      </w:tr>
      <w:tr w:rsidR="00F628F9" w:rsidRPr="00024A43" w14:paraId="46C3E40A" w14:textId="77777777" w:rsidTr="00C35CE7">
        <w:tc>
          <w:tcPr>
            <w:tcW w:w="1135" w:type="dxa"/>
          </w:tcPr>
          <w:p w14:paraId="599738C0" w14:textId="721AB0C1" w:rsidR="00F628F9" w:rsidRDefault="00F628F9"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2.</w:t>
            </w:r>
          </w:p>
        </w:tc>
        <w:tc>
          <w:tcPr>
            <w:tcW w:w="4247" w:type="dxa"/>
            <w:tcBorders>
              <w:top w:val="single" w:sz="4" w:space="0" w:color="auto"/>
              <w:left w:val="single" w:sz="4" w:space="0" w:color="auto"/>
              <w:bottom w:val="single" w:sz="4" w:space="0" w:color="auto"/>
              <w:right w:val="single" w:sz="4" w:space="0" w:color="auto"/>
            </w:tcBorders>
          </w:tcPr>
          <w:p w14:paraId="19691138" w14:textId="66BBC054" w:rsidR="00F628F9" w:rsidRPr="00024A43" w:rsidRDefault="00F628F9" w:rsidP="00F628F9">
            <w:pPr>
              <w:jc w:val="both"/>
              <w:rPr>
                <w:color w:val="000000"/>
                <w:sz w:val="22"/>
                <w:szCs w:val="22"/>
                <w:lang w:val="lt-LT"/>
              </w:rPr>
            </w:pPr>
            <w:r w:rsidRPr="00024A43">
              <w:rPr>
                <w:sz w:val="22"/>
                <w:szCs w:val="22"/>
                <w:lang w:val="lt-LT"/>
              </w:rPr>
              <w:t>Tiekėjas turi turėti leidimą atlikti taršos šaltinių išmetamų ir (arba) išleidžiamų į aplinką teršalų ir teršalų aplinkos elementuose (ore, vandenyje, dirvožemyje) laboratorinius tyrimus ir (ar) matavimus, ir (ar) imti ėminius laboratoriniams tyrimams atlikti</w:t>
            </w:r>
          </w:p>
        </w:tc>
        <w:tc>
          <w:tcPr>
            <w:tcW w:w="4678" w:type="dxa"/>
            <w:tcBorders>
              <w:top w:val="single" w:sz="4" w:space="0" w:color="auto"/>
              <w:left w:val="single" w:sz="4" w:space="0" w:color="auto"/>
              <w:bottom w:val="single" w:sz="4" w:space="0" w:color="auto"/>
              <w:right w:val="single" w:sz="4" w:space="0" w:color="auto"/>
            </w:tcBorders>
          </w:tcPr>
          <w:p w14:paraId="6EC6414C" w14:textId="4BCE4F60" w:rsidR="00F628F9" w:rsidRPr="00F628F9" w:rsidRDefault="00F628F9" w:rsidP="00F628F9">
            <w:pPr>
              <w:jc w:val="both"/>
              <w:rPr>
                <w:color w:val="000000"/>
                <w:sz w:val="22"/>
                <w:szCs w:val="22"/>
                <w:lang w:val="lt-LT"/>
              </w:rPr>
            </w:pPr>
            <w:r w:rsidRPr="00024A43">
              <w:rPr>
                <w:sz w:val="22"/>
                <w:szCs w:val="22"/>
                <w:lang w:val="lt-LT"/>
              </w:rPr>
              <w:t>Leidimas privalo būti išduotas Aplinkos Apsaugos Agetūros.</w:t>
            </w:r>
          </w:p>
        </w:tc>
      </w:tr>
      <w:tr w:rsidR="00F628F9" w:rsidRPr="00024A43" w14:paraId="6F88E4CD" w14:textId="77777777" w:rsidTr="00D76D2B">
        <w:tc>
          <w:tcPr>
            <w:tcW w:w="1135" w:type="dxa"/>
          </w:tcPr>
          <w:p w14:paraId="314B7ACA" w14:textId="6C9809DB" w:rsidR="00F628F9" w:rsidRDefault="00F628F9"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3.</w:t>
            </w:r>
          </w:p>
        </w:tc>
        <w:tc>
          <w:tcPr>
            <w:tcW w:w="4247" w:type="dxa"/>
          </w:tcPr>
          <w:p w14:paraId="37B257BF" w14:textId="1658841E" w:rsidR="00F628F9" w:rsidRPr="00024A43" w:rsidRDefault="00F628F9" w:rsidP="00F628F9">
            <w:pPr>
              <w:jc w:val="both"/>
              <w:rPr>
                <w:color w:val="000000"/>
                <w:sz w:val="22"/>
                <w:szCs w:val="22"/>
                <w:lang w:val="lt-LT"/>
              </w:rPr>
            </w:pPr>
            <w:r w:rsidRPr="00F628F9">
              <w:rPr>
                <w:sz w:val="22"/>
                <w:szCs w:val="22"/>
                <w:lang w:val="lt-LT"/>
              </w:rPr>
              <w:t>Nacionalinio akreditavimo biuro prie Ūkio ministerijos akreditacijos pažymėjimas, kurie suteikia teisę atlikti geriamojo vandens programinės priežiūros (A ir B grupės rodiklių) laboratorinių tyrimų atlikimo paslaugą.</w:t>
            </w:r>
          </w:p>
        </w:tc>
        <w:tc>
          <w:tcPr>
            <w:tcW w:w="4678" w:type="dxa"/>
          </w:tcPr>
          <w:p w14:paraId="4FDD1559" w14:textId="5D0BF32A" w:rsidR="00F628F9" w:rsidRPr="00024A43" w:rsidRDefault="00F628F9" w:rsidP="00024A43">
            <w:pPr>
              <w:jc w:val="both"/>
              <w:rPr>
                <w:color w:val="000000"/>
                <w:sz w:val="22"/>
                <w:szCs w:val="22"/>
                <w:lang w:val="lt-LT"/>
              </w:rPr>
            </w:pPr>
            <w:r w:rsidRPr="00024A43">
              <w:rPr>
                <w:sz w:val="22"/>
                <w:szCs w:val="22"/>
                <w:lang w:val="lt-LT"/>
              </w:rPr>
              <w:t>Tiekėjas turi būti atestuotas ir turėti Nacionalinio akreditavimo biuro prie Ūkio ministerijos akreditacijos pažymėjimą</w:t>
            </w:r>
            <w:r w:rsidR="00CD5A8E">
              <w:rPr>
                <w:sz w:val="22"/>
                <w:szCs w:val="22"/>
                <w:lang w:val="lt-LT"/>
              </w:rPr>
              <w:t xml:space="preserve"> (nuotekų, paviršinių vandens mėginių ėmimui, visų monitoringo programoje nurodytų parametrų tyrimų atlikimui)</w:t>
            </w:r>
          </w:p>
        </w:tc>
      </w:tr>
      <w:tr w:rsidR="002E5303" w:rsidRPr="00024A43" w14:paraId="66756E58" w14:textId="77777777" w:rsidTr="00D76D2B">
        <w:tc>
          <w:tcPr>
            <w:tcW w:w="1135" w:type="dxa"/>
          </w:tcPr>
          <w:p w14:paraId="4AE2B9AA" w14:textId="4B1D926B" w:rsidR="002E5303" w:rsidRDefault="002E5303" w:rsidP="00F628F9">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4.</w:t>
            </w:r>
          </w:p>
        </w:tc>
        <w:tc>
          <w:tcPr>
            <w:tcW w:w="4247" w:type="dxa"/>
          </w:tcPr>
          <w:p w14:paraId="44DC2007" w14:textId="48CC6071" w:rsidR="002E5303" w:rsidRPr="002E5303" w:rsidRDefault="002E5303" w:rsidP="002E5303">
            <w:pPr>
              <w:jc w:val="both"/>
              <w:rPr>
                <w:sz w:val="22"/>
                <w:szCs w:val="22"/>
                <w:lang w:val="lt-LT"/>
              </w:rPr>
            </w:pPr>
            <w:r w:rsidRPr="002E5303">
              <w:rPr>
                <w:sz w:val="22"/>
                <w:szCs w:val="22"/>
                <w:lang w:val="lt-LT"/>
              </w:rPr>
              <w:t xml:space="preserve">Teikėjas </w:t>
            </w:r>
            <w:r>
              <w:rPr>
                <w:sz w:val="22"/>
                <w:szCs w:val="22"/>
                <w:lang w:val="lt-LT"/>
              </w:rPr>
              <w:t>paslaugų</w:t>
            </w:r>
            <w:r w:rsidRPr="002E5303">
              <w:rPr>
                <w:sz w:val="22"/>
                <w:szCs w:val="22"/>
                <w:lang w:val="lt-LT"/>
              </w:rPr>
              <w:t xml:space="preserve"> vykymo metu taiko efektyvias aplinkos apsaugos vadybos užtikrinimo priemones</w:t>
            </w:r>
            <w:r>
              <w:rPr>
                <w:sz w:val="22"/>
                <w:szCs w:val="22"/>
                <w:lang w:val="lt-LT"/>
              </w:rPr>
              <w:t>.</w:t>
            </w:r>
          </w:p>
          <w:p w14:paraId="4BC59511" w14:textId="77777777" w:rsidR="002E5303" w:rsidRPr="002E5303" w:rsidRDefault="002E5303" w:rsidP="002E5303">
            <w:pPr>
              <w:jc w:val="both"/>
              <w:rPr>
                <w:sz w:val="22"/>
                <w:szCs w:val="22"/>
                <w:lang w:val="lt-LT"/>
              </w:rPr>
            </w:pPr>
            <w:r w:rsidRPr="002E5303">
              <w:rPr>
                <w:sz w:val="22"/>
                <w:szCs w:val="22"/>
                <w:lang w:val="lt-LT"/>
              </w:rPr>
              <w:t>Jeigu pasiūlymą teikia ūkio subjektų grupė – reikalavimą turi atitikti ūkio subjektų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r w:rsidRPr="002E5303">
              <w:rPr>
                <w:sz w:val="22"/>
                <w:szCs w:val="22"/>
                <w:lang w:val="lt-LT"/>
              </w:rPr>
              <w:tab/>
              <w:t xml:space="preserve">Pateikiama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Pr="002E5303">
              <w:rPr>
                <w:sz w:val="22"/>
                <w:szCs w:val="22"/>
                <w:lang w:val="lt-LT"/>
              </w:rPr>
              <w:lastRenderedPageBreak/>
              <w:t>standartus, arba, atlikdamas supaprastintus pirkimus ar įstatymų prieduose nurodytų socialinių ir kitų specialiųjų paslaugų pirkimus, taiko kitas lygiavertes aplinkos apsaugos vadybos užtikrinimo priemones.</w:t>
            </w:r>
          </w:p>
          <w:p w14:paraId="76F990B0" w14:textId="75F495EC" w:rsidR="002E5303" w:rsidRPr="00F628F9" w:rsidRDefault="002E5303" w:rsidP="002E5303">
            <w:pPr>
              <w:jc w:val="both"/>
              <w:rPr>
                <w:sz w:val="22"/>
                <w:szCs w:val="22"/>
                <w:lang w:val="lt-LT"/>
              </w:rPr>
            </w:pPr>
            <w:r w:rsidRPr="002E5303">
              <w:rPr>
                <w:sz w:val="22"/>
                <w:szCs w:val="22"/>
                <w:lang w:val="lt-LT"/>
              </w:rPr>
              <w:t>CVP IS priemonėmis pateikiama skaitmeninė dokumento kopija.</w:t>
            </w:r>
          </w:p>
        </w:tc>
        <w:tc>
          <w:tcPr>
            <w:tcW w:w="4678" w:type="dxa"/>
          </w:tcPr>
          <w:p w14:paraId="1CE1870E" w14:textId="77777777" w:rsidR="002E5303" w:rsidRPr="00024A43" w:rsidRDefault="002E5303" w:rsidP="002E5303">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024A43">
              <w:rPr>
                <w:color w:val="000000"/>
                <w:sz w:val="22"/>
                <w:szCs w:val="22"/>
                <w:lang w:val="lt-LT"/>
              </w:rPr>
              <w:t>.</w:t>
            </w:r>
          </w:p>
          <w:p w14:paraId="5F309949" w14:textId="1306F04B" w:rsidR="002E5303" w:rsidRPr="00024A43" w:rsidRDefault="002E5303" w:rsidP="002E5303">
            <w:pPr>
              <w:jc w:val="both"/>
              <w:rPr>
                <w:sz w:val="22"/>
                <w:szCs w:val="22"/>
                <w:lang w:val="fi-FI"/>
              </w:rPr>
            </w:pPr>
            <w:r w:rsidRPr="00BC022B">
              <w:rPr>
                <w:sz w:val="22"/>
                <w:szCs w:val="22"/>
                <w:lang w:val="lt-LT"/>
              </w:rPr>
              <w:t>CVP IS priemonėmis pateikiama skaitmeninė dokumento kopija.</w:t>
            </w:r>
          </w:p>
        </w:tc>
      </w:tr>
    </w:tbl>
    <w:p w14:paraId="665B9970" w14:textId="77777777" w:rsidR="00CE1421" w:rsidRPr="00EF5A48" w:rsidRDefault="00CE1421" w:rsidP="00CE1421">
      <w:pPr>
        <w:pStyle w:val="Head21"/>
        <w:spacing w:line="276" w:lineRule="auto"/>
        <w:ind w:right="94"/>
        <w:jc w:val="both"/>
        <w:rPr>
          <w:b w:val="0"/>
          <w:color w:val="000000" w:themeColor="text1"/>
          <w:sz w:val="22"/>
          <w:szCs w:val="22"/>
          <w:highlight w:val="yellow"/>
          <w:lang w:val="lt-LT"/>
        </w:rPr>
      </w:pPr>
    </w:p>
    <w:sectPr w:rsidR="00CE1421" w:rsidRPr="00EF5A48" w:rsidSect="0036729B">
      <w:footerReference w:type="default" r:id="rId7"/>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29FD" w14:textId="77777777" w:rsidR="00A97BE3" w:rsidRDefault="00A97BE3">
      <w:r>
        <w:separator/>
      </w:r>
    </w:p>
  </w:endnote>
  <w:endnote w:type="continuationSeparator" w:id="0">
    <w:p w14:paraId="3557AFEC" w14:textId="77777777" w:rsidR="00A97BE3" w:rsidRDefault="00A9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EndPr/>
    <w:sdtContent>
      <w:p w14:paraId="00ABE255" w14:textId="77777777" w:rsidR="00EF0568" w:rsidRDefault="00A97BE3">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3719" w14:textId="77777777" w:rsidR="00A97BE3" w:rsidRDefault="00A97BE3">
      <w:r>
        <w:separator/>
      </w:r>
    </w:p>
  </w:footnote>
  <w:footnote w:type="continuationSeparator" w:id="0">
    <w:p w14:paraId="45B46D19" w14:textId="77777777" w:rsidR="00A97BE3" w:rsidRDefault="00A9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24A43"/>
    <w:rsid w:val="00152D67"/>
    <w:rsid w:val="00264750"/>
    <w:rsid w:val="00264C53"/>
    <w:rsid w:val="002E5303"/>
    <w:rsid w:val="0036729B"/>
    <w:rsid w:val="0037765B"/>
    <w:rsid w:val="00404307"/>
    <w:rsid w:val="005434C6"/>
    <w:rsid w:val="00592764"/>
    <w:rsid w:val="005B224B"/>
    <w:rsid w:val="005F0E03"/>
    <w:rsid w:val="00660E43"/>
    <w:rsid w:val="0068639A"/>
    <w:rsid w:val="006C4010"/>
    <w:rsid w:val="00773D07"/>
    <w:rsid w:val="007E6FF6"/>
    <w:rsid w:val="008A2F30"/>
    <w:rsid w:val="00A24D37"/>
    <w:rsid w:val="00A57824"/>
    <w:rsid w:val="00A97BE3"/>
    <w:rsid w:val="00C8127F"/>
    <w:rsid w:val="00CD5A8E"/>
    <w:rsid w:val="00CE1421"/>
    <w:rsid w:val="00D40046"/>
    <w:rsid w:val="00DE4528"/>
    <w:rsid w:val="00EC7567"/>
    <w:rsid w:val="00EF0568"/>
    <w:rsid w:val="00EF2740"/>
    <w:rsid w:val="00F628F9"/>
    <w:rsid w:val="00FD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5</cp:revision>
  <dcterms:created xsi:type="dcterms:W3CDTF">2024-02-03T05:47:00Z</dcterms:created>
  <dcterms:modified xsi:type="dcterms:W3CDTF">2026-03-03T07:49:00Z</dcterms:modified>
</cp:coreProperties>
</file>