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56790" w14:textId="77777777" w:rsidR="005E5597" w:rsidRPr="00DA6655" w:rsidRDefault="005E5597" w:rsidP="005E5597">
      <w:pPr>
        <w:jc w:val="both"/>
        <w:rPr>
          <w:b/>
          <w:bCs/>
          <w:i/>
          <w:iCs/>
          <w:lang w:val="lt-LT" w:eastAsia="lt-LT"/>
        </w:rPr>
      </w:pPr>
      <w:r w:rsidRPr="00DA6655">
        <w:rPr>
          <w:b/>
          <w:bCs/>
          <w:i/>
          <w:iCs/>
          <w:lang w:val="lt-LT" w:eastAsia="lt-LT"/>
        </w:rPr>
        <w:t>Asmuo kontaktams:</w:t>
      </w:r>
    </w:p>
    <w:p w14:paraId="7E52D95F" w14:textId="77777777" w:rsidR="005E5597" w:rsidRPr="00DA6655" w:rsidRDefault="005E5597" w:rsidP="005E5597">
      <w:pPr>
        <w:jc w:val="both"/>
        <w:rPr>
          <w:lang w:val="lt-LT" w:eastAsia="lt-LT"/>
        </w:rPr>
      </w:pPr>
      <w:r w:rsidRPr="00DA6655">
        <w:rPr>
          <w:lang w:val="lt-LT" w:eastAsia="lt-LT"/>
        </w:rPr>
        <w:t>Jurgita Slankauskienė</w:t>
      </w:r>
    </w:p>
    <w:p w14:paraId="4B6A1E74" w14:textId="77777777" w:rsidR="005E5597" w:rsidRPr="00DA6655" w:rsidRDefault="005E5597" w:rsidP="005E5597">
      <w:pPr>
        <w:jc w:val="both"/>
        <w:rPr>
          <w:lang w:val="lt-LT" w:eastAsia="lt-LT"/>
        </w:rPr>
      </w:pPr>
      <w:r w:rsidRPr="00DA6655">
        <w:rPr>
          <w:lang w:val="lt-LT" w:eastAsia="lt-LT"/>
        </w:rPr>
        <w:t xml:space="preserve">Logistikos specialistė </w:t>
      </w:r>
    </w:p>
    <w:p w14:paraId="411F153E" w14:textId="77777777" w:rsidR="005E5597" w:rsidRPr="00DA6655" w:rsidRDefault="005E5597" w:rsidP="005E5597">
      <w:pPr>
        <w:jc w:val="both"/>
        <w:rPr>
          <w:lang w:val="lt-LT" w:eastAsia="lt-LT"/>
        </w:rPr>
      </w:pPr>
      <w:r w:rsidRPr="00DA6655">
        <w:rPr>
          <w:lang w:val="lt-LT" w:eastAsia="lt-LT"/>
        </w:rPr>
        <w:t xml:space="preserve">Aprangos ir kario sistemų sk. </w:t>
      </w:r>
    </w:p>
    <w:p w14:paraId="607EC1D7" w14:textId="77777777" w:rsidR="005E5597" w:rsidRPr="00DA6655" w:rsidRDefault="005E5597" w:rsidP="005E5597">
      <w:pPr>
        <w:jc w:val="both"/>
        <w:rPr>
          <w:lang w:val="lt-LT" w:eastAsia="lt-LT"/>
        </w:rPr>
      </w:pPr>
      <w:r w:rsidRPr="00DA6655">
        <w:rPr>
          <w:lang w:val="lt-LT" w:eastAsia="lt-LT"/>
        </w:rPr>
        <w:t>Atsargų valdymo departamentas</w:t>
      </w:r>
    </w:p>
    <w:p w14:paraId="79DF3888" w14:textId="77777777" w:rsidR="005E5597" w:rsidRPr="00DA6655" w:rsidRDefault="005E5597" w:rsidP="005E5597">
      <w:pPr>
        <w:jc w:val="both"/>
        <w:rPr>
          <w:lang w:val="lt-LT" w:eastAsia="lt-LT"/>
        </w:rPr>
      </w:pPr>
      <w:r w:rsidRPr="00DA6655">
        <w:rPr>
          <w:lang w:val="lt-LT" w:eastAsia="lt-LT"/>
        </w:rPr>
        <w:t>GRA prie KAM (Giedraičių g. 41, Vilnius LT-09303)</w:t>
      </w:r>
    </w:p>
    <w:p w14:paraId="0388BB09" w14:textId="77777777" w:rsidR="005E5597" w:rsidRPr="00DA6655" w:rsidRDefault="005E5597" w:rsidP="005E5597">
      <w:pPr>
        <w:jc w:val="both"/>
        <w:rPr>
          <w:i/>
          <w:iCs/>
          <w:lang w:val="lt-LT" w:eastAsia="lt-LT"/>
        </w:rPr>
      </w:pPr>
      <w:r w:rsidRPr="00DA6655">
        <w:rPr>
          <w:i/>
          <w:iCs/>
          <w:lang w:val="lt-LT" w:eastAsia="lt-LT"/>
        </w:rPr>
        <w:t>tel. +370 706 72497</w:t>
      </w:r>
    </w:p>
    <w:p w14:paraId="2F7C050A" w14:textId="77777777" w:rsidR="005E5597" w:rsidRPr="00DA6655" w:rsidRDefault="005E5597" w:rsidP="005E5597">
      <w:pPr>
        <w:jc w:val="both"/>
        <w:rPr>
          <w:i/>
          <w:iCs/>
          <w:u w:val="single"/>
          <w:lang w:val="lt-LT" w:eastAsia="lt-LT"/>
        </w:rPr>
      </w:pPr>
      <w:r w:rsidRPr="00DA6655">
        <w:rPr>
          <w:i/>
          <w:iCs/>
          <w:lang w:val="lt-LT" w:eastAsia="lt-LT"/>
        </w:rPr>
        <w:t xml:space="preserve">el. paštas  </w:t>
      </w:r>
      <w:hyperlink r:id="rId8" w:history="1">
        <w:r w:rsidRPr="00DA6655">
          <w:rPr>
            <w:i/>
            <w:iCs/>
            <w:color w:val="0000FF"/>
            <w:u w:val="single"/>
            <w:lang w:val="lt-LT" w:eastAsia="lt-LT"/>
          </w:rPr>
          <w:t>jurgita.slankauskiene@kam.lt</w:t>
        </w:r>
      </w:hyperlink>
    </w:p>
    <w:p w14:paraId="43DA1006" w14:textId="77777777" w:rsidR="00B27639" w:rsidRDefault="00B27639" w:rsidP="00B27639">
      <w:pPr>
        <w:jc w:val="center"/>
        <w:rPr>
          <w:b/>
          <w:lang w:val="lt-LT"/>
        </w:rPr>
      </w:pPr>
    </w:p>
    <w:p w14:paraId="1FA58348" w14:textId="77777777" w:rsidR="00B27639" w:rsidRPr="00FD1DF7" w:rsidRDefault="00B27639" w:rsidP="00B27639">
      <w:pPr>
        <w:jc w:val="center"/>
        <w:rPr>
          <w:b/>
          <w:lang w:val="lt-LT"/>
        </w:rPr>
      </w:pPr>
    </w:p>
    <w:p w14:paraId="2BAA377A" w14:textId="77777777" w:rsidR="00B27639" w:rsidRPr="00FD1DF7" w:rsidRDefault="00B27639" w:rsidP="00B27639">
      <w:pPr>
        <w:jc w:val="center"/>
        <w:rPr>
          <w:b/>
          <w:lang w:val="lt-LT"/>
        </w:rPr>
      </w:pPr>
      <w:r w:rsidRPr="00FD1DF7">
        <w:rPr>
          <w:b/>
          <w:lang w:val="lt-LT"/>
        </w:rPr>
        <w:t>TECHNINĖ SPECIFIKACIJA AUSŲ KAMŠTELIAMS</w:t>
      </w:r>
      <w:r>
        <w:rPr>
          <w:b/>
          <w:lang w:val="lt-LT"/>
        </w:rPr>
        <w:t xml:space="preserve"> </w:t>
      </w:r>
    </w:p>
    <w:p w14:paraId="3C1F0063" w14:textId="77777777" w:rsidR="00B27639" w:rsidRDefault="00B27639" w:rsidP="00B27639">
      <w:pPr>
        <w:rPr>
          <w:lang w:val="lt-LT"/>
        </w:rPr>
      </w:pPr>
    </w:p>
    <w:p w14:paraId="050CFF4D" w14:textId="77777777" w:rsidR="008B156D" w:rsidRDefault="008B156D" w:rsidP="008B156D">
      <w:pPr>
        <w:widowControl w:val="0"/>
        <w:jc w:val="center"/>
        <w:rPr>
          <w:b/>
        </w:rPr>
      </w:pPr>
      <w:r>
        <w:rPr>
          <w:b/>
        </w:rPr>
        <w:t>I SKYRIUS</w:t>
      </w:r>
    </w:p>
    <w:p w14:paraId="5EAAE518" w14:textId="77777777" w:rsidR="008B156D" w:rsidRPr="00426C65" w:rsidRDefault="008B156D" w:rsidP="008B156D">
      <w:pPr>
        <w:widowControl w:val="0"/>
        <w:jc w:val="center"/>
        <w:rPr>
          <w:b/>
        </w:rPr>
      </w:pPr>
      <w:r w:rsidRPr="00426C65">
        <w:rPr>
          <w:b/>
        </w:rPr>
        <w:t>BENDROSIOS NUOSTATOS</w:t>
      </w:r>
    </w:p>
    <w:p w14:paraId="1A61361C" w14:textId="77777777" w:rsidR="008B156D" w:rsidRDefault="008B156D" w:rsidP="00B27639">
      <w:pPr>
        <w:rPr>
          <w:lang w:val="lt-LT"/>
        </w:rPr>
      </w:pPr>
    </w:p>
    <w:p w14:paraId="0C5EB13B" w14:textId="35006E09" w:rsidR="00B27639" w:rsidRDefault="00B27639" w:rsidP="00B27639">
      <w:pPr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Ausų kamšteliai</w:t>
      </w:r>
      <w:r w:rsidR="008B156D">
        <w:rPr>
          <w:lang w:val="lt-LT"/>
        </w:rPr>
        <w:t xml:space="preserve"> (toliau – kamšteliai)</w:t>
      </w:r>
      <w:r>
        <w:rPr>
          <w:lang w:val="lt-LT"/>
        </w:rPr>
        <w:t xml:space="preserve"> </w:t>
      </w:r>
      <w:r w:rsidR="008B156D">
        <w:rPr>
          <w:lang w:val="lt-LT"/>
        </w:rPr>
        <w:t xml:space="preserve">tai </w:t>
      </w:r>
      <w:r w:rsidRPr="00FD1DF7">
        <w:rPr>
          <w:lang w:val="lt-LT"/>
        </w:rPr>
        <w:t>daugkartinio naudojimo klausos apsaugos priemonės su</w:t>
      </w:r>
      <w:r w:rsidRPr="00FD1DF7">
        <w:rPr>
          <w:rFonts w:ascii="Helvetica" w:hAnsi="Helvetica" w:cs="Helvetica"/>
          <w:lang w:val="lt-LT"/>
        </w:rPr>
        <w:t xml:space="preserve"> </w:t>
      </w:r>
      <w:r w:rsidRPr="00FD1DF7">
        <w:rPr>
          <w:lang w:val="lt-LT"/>
        </w:rPr>
        <w:t>kintančio garso slopinimo funkcija, s</w:t>
      </w:r>
      <w:r>
        <w:rPr>
          <w:lang w:val="lt-LT"/>
        </w:rPr>
        <w:t xml:space="preserve">lopinantys triukšmą darbinėje aplinkoje ir apsaugantys kario </w:t>
      </w:r>
      <w:r w:rsidR="00D87004">
        <w:rPr>
          <w:lang w:val="lt-LT"/>
        </w:rPr>
        <w:t>ausis</w:t>
      </w:r>
      <w:r>
        <w:rPr>
          <w:lang w:val="lt-LT"/>
        </w:rPr>
        <w:t xml:space="preserve"> nuo akustinių traumų kurias gali sukelti </w:t>
      </w:r>
      <w:r w:rsidR="005E5597">
        <w:rPr>
          <w:lang w:val="lt-LT"/>
        </w:rPr>
        <w:t xml:space="preserve">mažo kalibro šaunamieji ginklai. Kamšteliai turi </w:t>
      </w:r>
      <w:r>
        <w:rPr>
          <w:lang w:val="lt-LT"/>
        </w:rPr>
        <w:t>atiti</w:t>
      </w:r>
      <w:r w:rsidR="005E5597">
        <w:rPr>
          <w:lang w:val="lt-LT"/>
        </w:rPr>
        <w:t>kti</w:t>
      </w:r>
      <w:r w:rsidR="008F0312">
        <w:rPr>
          <w:lang w:val="lt-LT"/>
        </w:rPr>
        <w:t xml:space="preserve"> LST </w:t>
      </w:r>
      <w:r>
        <w:rPr>
          <w:lang w:val="lt-LT"/>
        </w:rPr>
        <w:t>EN352-2</w:t>
      </w:r>
      <w:r w:rsidR="008F0312">
        <w:rPr>
          <w:lang w:val="lt-LT"/>
        </w:rPr>
        <w:t xml:space="preserve"> </w:t>
      </w:r>
      <w:r>
        <w:rPr>
          <w:lang w:val="lt-LT"/>
        </w:rPr>
        <w:t>arba jam lygiavertį standartą.</w:t>
      </w:r>
    </w:p>
    <w:p w14:paraId="7ADD8164" w14:textId="42362EF5" w:rsidR="008B156D" w:rsidRDefault="008B156D" w:rsidP="00B27639">
      <w:pPr>
        <w:numPr>
          <w:ilvl w:val="0"/>
          <w:numId w:val="1"/>
        </w:numPr>
        <w:jc w:val="both"/>
        <w:rPr>
          <w:lang w:val="lt-LT"/>
        </w:rPr>
      </w:pPr>
      <w:proofErr w:type="spellStart"/>
      <w:r>
        <w:t>Kamšteliai</w:t>
      </w:r>
      <w:proofErr w:type="spellEnd"/>
      <w:r w:rsidRPr="00D4012D">
        <w:t xml:space="preserve"> </w:t>
      </w:r>
      <w:proofErr w:type="spellStart"/>
      <w:r w:rsidRPr="00D4012D">
        <w:t>turi</w:t>
      </w:r>
      <w:proofErr w:type="spellEnd"/>
      <w:r w:rsidRPr="00D4012D">
        <w:t xml:space="preserve"> </w:t>
      </w:r>
      <w:proofErr w:type="spellStart"/>
      <w:r w:rsidRPr="00D4012D">
        <w:t>atitikti</w:t>
      </w:r>
      <w:proofErr w:type="spellEnd"/>
      <w:r w:rsidRPr="00D4012D">
        <w:t xml:space="preserve"> </w:t>
      </w:r>
      <w:proofErr w:type="spellStart"/>
      <w:r w:rsidRPr="00D4012D">
        <w:t>šioje</w:t>
      </w:r>
      <w:proofErr w:type="spellEnd"/>
      <w:r w:rsidRPr="00D4012D">
        <w:t xml:space="preserve"> </w:t>
      </w:r>
      <w:proofErr w:type="spellStart"/>
      <w:r w:rsidRPr="00D4012D">
        <w:t>techninėje</w:t>
      </w:r>
      <w:proofErr w:type="spellEnd"/>
      <w:r w:rsidRPr="00D4012D">
        <w:t xml:space="preserve"> </w:t>
      </w:r>
      <w:proofErr w:type="spellStart"/>
      <w:r w:rsidRPr="00D4012D">
        <w:t>specifikacijoje</w:t>
      </w:r>
      <w:proofErr w:type="spellEnd"/>
      <w:r w:rsidRPr="00D4012D">
        <w:t xml:space="preserve"> </w:t>
      </w:r>
      <w:proofErr w:type="spellStart"/>
      <w:r w:rsidRPr="00D4012D">
        <w:t>pateiktus</w:t>
      </w:r>
      <w:proofErr w:type="spellEnd"/>
      <w:r w:rsidRPr="00D4012D">
        <w:t xml:space="preserve"> </w:t>
      </w:r>
      <w:proofErr w:type="spellStart"/>
      <w:r w:rsidRPr="00D4012D">
        <w:t>reikalavimus</w:t>
      </w:r>
      <w:proofErr w:type="spellEnd"/>
      <w:r>
        <w:t>.</w:t>
      </w:r>
    </w:p>
    <w:p w14:paraId="1F53CE51" w14:textId="546CEFE6" w:rsidR="008B156D" w:rsidRDefault="008B156D" w:rsidP="008B156D">
      <w:pPr>
        <w:pStyle w:val="ListParagraph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K</w:t>
      </w:r>
      <w:r w:rsidRPr="008B156D">
        <w:rPr>
          <w:lang w:val="lt-LT"/>
        </w:rPr>
        <w:t>amštelių kokybės garantijos terminas – ne mažiau kaip 12</w:t>
      </w:r>
      <w:r>
        <w:rPr>
          <w:lang w:val="lt-LT"/>
        </w:rPr>
        <w:t xml:space="preserve"> (dvylika)</w:t>
      </w:r>
      <w:r w:rsidRPr="008B156D">
        <w:rPr>
          <w:lang w:val="lt-LT"/>
        </w:rPr>
        <w:t xml:space="preserve"> mėnesių aktyvios eksploatacijos sąlygomis, kuris skaičiuojamas nuo prekių išdavimo iš Pirkėjo sandėlio dienos, 36</w:t>
      </w:r>
      <w:r>
        <w:rPr>
          <w:lang w:val="lt-LT"/>
        </w:rPr>
        <w:t xml:space="preserve"> (trisdešimt šeši)</w:t>
      </w:r>
      <w:r w:rsidRPr="008B156D">
        <w:rPr>
          <w:lang w:val="lt-LT"/>
        </w:rPr>
        <w:t xml:space="preserve"> mėnesiai nuo prekių priėmimo į sandėlį dokumentų pasirašymo dienos.</w:t>
      </w:r>
    </w:p>
    <w:p w14:paraId="5E99BE0F" w14:textId="77777777" w:rsidR="00AB19AE" w:rsidRDefault="00AB19AE" w:rsidP="00AB19AE">
      <w:pPr>
        <w:jc w:val="both"/>
        <w:rPr>
          <w:lang w:val="lt-LT"/>
        </w:rPr>
      </w:pPr>
    </w:p>
    <w:p w14:paraId="0ECF08A8" w14:textId="77777777" w:rsidR="00AB19AE" w:rsidRPr="00430827" w:rsidRDefault="00AB19AE" w:rsidP="00AB19AE">
      <w:pPr>
        <w:pStyle w:val="BodyText"/>
        <w:spacing w:after="0"/>
        <w:jc w:val="center"/>
        <w:rPr>
          <w:b/>
        </w:rPr>
      </w:pPr>
      <w:r w:rsidRPr="00430827">
        <w:rPr>
          <w:b/>
        </w:rPr>
        <w:t>II SKYRIUS</w:t>
      </w:r>
    </w:p>
    <w:p w14:paraId="378BD4F2" w14:textId="77777777" w:rsidR="00AB19AE" w:rsidRDefault="00AB19AE" w:rsidP="00AB19AE">
      <w:pPr>
        <w:ind w:left="360"/>
        <w:jc w:val="center"/>
        <w:rPr>
          <w:b/>
          <w:color w:val="000000"/>
        </w:rPr>
      </w:pPr>
      <w:r w:rsidRPr="001A5F1D">
        <w:rPr>
          <w:b/>
          <w:color w:val="000000"/>
        </w:rPr>
        <w:t>TECHNINIAI REIKALAVIMAI</w:t>
      </w:r>
    </w:p>
    <w:p w14:paraId="7DD15442" w14:textId="77777777" w:rsidR="00AB19AE" w:rsidRPr="00AB19AE" w:rsidRDefault="00AB19AE" w:rsidP="00AB19AE">
      <w:pPr>
        <w:jc w:val="both"/>
        <w:rPr>
          <w:lang w:val="lt-LT"/>
        </w:rPr>
      </w:pPr>
    </w:p>
    <w:p w14:paraId="27C1E10D" w14:textId="28B7A611" w:rsidR="00B27639" w:rsidRPr="00FD1DF7" w:rsidRDefault="00B27639" w:rsidP="00B27639">
      <w:pPr>
        <w:numPr>
          <w:ilvl w:val="0"/>
          <w:numId w:val="1"/>
        </w:numPr>
        <w:jc w:val="both"/>
        <w:rPr>
          <w:lang w:val="lt-LT"/>
        </w:rPr>
      </w:pPr>
      <w:r w:rsidRPr="00FD1DF7">
        <w:rPr>
          <w:lang w:val="lt-LT"/>
        </w:rPr>
        <w:t xml:space="preserve">Ausų kamšteliai turi atitikti </w:t>
      </w:r>
      <w:r w:rsidR="00AB19AE">
        <w:rPr>
          <w:lang w:val="lt-LT"/>
        </w:rPr>
        <w:t>šiuos</w:t>
      </w:r>
      <w:r w:rsidRPr="00FD1DF7">
        <w:rPr>
          <w:lang w:val="lt-LT"/>
        </w:rPr>
        <w:t xml:space="preserve"> reikalavimus</w:t>
      </w:r>
      <w:r>
        <w:rPr>
          <w:lang w:val="lt-LT"/>
        </w:rPr>
        <w:t>:</w:t>
      </w:r>
    </w:p>
    <w:p w14:paraId="53E3878A" w14:textId="3D5E37BB" w:rsidR="00B27639" w:rsidRPr="00FD284A" w:rsidRDefault="00AB19AE" w:rsidP="00B27639">
      <w:pPr>
        <w:numPr>
          <w:ilvl w:val="1"/>
          <w:numId w:val="1"/>
        </w:numPr>
        <w:tabs>
          <w:tab w:val="clear" w:pos="1418"/>
          <w:tab w:val="num" w:pos="1200"/>
        </w:tabs>
        <w:ind w:firstLine="720"/>
        <w:jc w:val="both"/>
        <w:rPr>
          <w:lang w:val="lt-LT"/>
        </w:rPr>
      </w:pPr>
      <w:r>
        <w:rPr>
          <w:lang w:val="lt-LT"/>
        </w:rPr>
        <w:t>Kario maskavimosi savybių užtikrinimui</w:t>
      </w:r>
      <w:r w:rsidR="00FD284A" w:rsidRPr="00FD284A">
        <w:rPr>
          <w:lang w:val="lt-LT"/>
        </w:rPr>
        <w:t xml:space="preserve"> ausų kamšteliai turi būti tamsaus atspalvio ( rudi, rusvi, juodi) – spalva derinama darbinio pavyzdžio derinimo metu.</w:t>
      </w:r>
    </w:p>
    <w:p w14:paraId="5AD38E7A" w14:textId="05702C86" w:rsidR="00B27639" w:rsidRPr="00FD1DF7" w:rsidRDefault="00AB19AE" w:rsidP="00B27639">
      <w:pPr>
        <w:numPr>
          <w:ilvl w:val="1"/>
          <w:numId w:val="1"/>
        </w:numPr>
        <w:tabs>
          <w:tab w:val="clear" w:pos="1418"/>
          <w:tab w:val="num" w:pos="1200"/>
        </w:tabs>
        <w:ind w:firstLine="720"/>
        <w:jc w:val="both"/>
        <w:rPr>
          <w:lang w:val="lt-LT"/>
        </w:rPr>
      </w:pPr>
      <w:r>
        <w:rPr>
          <w:lang w:val="lt-LT"/>
        </w:rPr>
        <w:t>E</w:t>
      </w:r>
      <w:r w:rsidR="00B27639">
        <w:rPr>
          <w:lang w:val="lt-LT"/>
        </w:rPr>
        <w:t>rgonomin</w:t>
      </w:r>
      <w:r>
        <w:rPr>
          <w:lang w:val="lt-LT"/>
        </w:rPr>
        <w:t>ių</w:t>
      </w:r>
      <w:r w:rsidR="00B27639">
        <w:rPr>
          <w:lang w:val="lt-LT"/>
        </w:rPr>
        <w:t xml:space="preserve"> savyb</w:t>
      </w:r>
      <w:r>
        <w:rPr>
          <w:lang w:val="lt-LT"/>
        </w:rPr>
        <w:t>ių užtikrinimui</w:t>
      </w:r>
      <w:r w:rsidR="00B27639">
        <w:rPr>
          <w:lang w:val="lt-LT"/>
        </w:rPr>
        <w:t xml:space="preserve">, ausų kamšteliai privalo būti </w:t>
      </w:r>
      <w:r w:rsidR="00B27639" w:rsidRPr="00FD1DF7">
        <w:rPr>
          <w:lang w:val="lt-LT"/>
        </w:rPr>
        <w:t>tolygaus</w:t>
      </w:r>
      <w:r w:rsidR="00B27639">
        <w:rPr>
          <w:lang w:val="lt-LT"/>
        </w:rPr>
        <w:t>,</w:t>
      </w:r>
      <w:r w:rsidR="00B27639" w:rsidRPr="00FD1DF7">
        <w:rPr>
          <w:lang w:val="lt-LT"/>
        </w:rPr>
        <w:t xml:space="preserve"> minkšto paviršiaus</w:t>
      </w:r>
      <w:r w:rsidR="00B27639">
        <w:rPr>
          <w:lang w:val="lt-LT"/>
        </w:rPr>
        <w:t>,</w:t>
      </w:r>
      <w:r w:rsidR="00B27639" w:rsidRPr="00FD1DF7">
        <w:rPr>
          <w:lang w:val="lt-LT"/>
        </w:rPr>
        <w:t xml:space="preserve"> įstatomi ir išimami</w:t>
      </w:r>
      <w:r w:rsidR="00B27639">
        <w:rPr>
          <w:lang w:val="lt-LT"/>
        </w:rPr>
        <w:t xml:space="preserve"> iš </w:t>
      </w:r>
      <w:r w:rsidR="00F10256">
        <w:rPr>
          <w:lang w:val="lt-LT"/>
        </w:rPr>
        <w:t>ausies išorinės klausomosios landos</w:t>
      </w:r>
      <w:r w:rsidR="00B27639">
        <w:rPr>
          <w:lang w:val="lt-LT"/>
        </w:rPr>
        <w:t xml:space="preserve"> taip, kad nesukeltų ausies kanalo dirginimo.</w:t>
      </w:r>
    </w:p>
    <w:p w14:paraId="010DB3E5" w14:textId="4A940626" w:rsidR="00B27639" w:rsidRPr="001A0D96" w:rsidRDefault="00AB19AE" w:rsidP="00B27639">
      <w:pPr>
        <w:numPr>
          <w:ilvl w:val="1"/>
          <w:numId w:val="1"/>
        </w:numPr>
        <w:tabs>
          <w:tab w:val="clear" w:pos="1418"/>
          <w:tab w:val="num" w:pos="1200"/>
        </w:tabs>
        <w:ind w:firstLine="720"/>
        <w:jc w:val="both"/>
        <w:rPr>
          <w:lang w:val="lt-LT"/>
        </w:rPr>
      </w:pPr>
      <w:r>
        <w:rPr>
          <w:lang w:val="lt-LT"/>
        </w:rPr>
        <w:t>A</w:t>
      </w:r>
      <w:r w:rsidR="00B27639" w:rsidRPr="001A0D96">
        <w:rPr>
          <w:lang w:val="lt-LT"/>
        </w:rPr>
        <w:t>usies higien</w:t>
      </w:r>
      <w:r>
        <w:rPr>
          <w:lang w:val="lt-LT"/>
        </w:rPr>
        <w:t xml:space="preserve">os užtikrinimui </w:t>
      </w:r>
      <w:r w:rsidR="00B27639" w:rsidRPr="001A0D96">
        <w:rPr>
          <w:lang w:val="lt-LT"/>
        </w:rPr>
        <w:t>ausų kamšteliai turi būti plaunami, atsparūs drėgmei.</w:t>
      </w:r>
    </w:p>
    <w:p w14:paraId="05BAF5F1" w14:textId="77777777" w:rsidR="00B27639" w:rsidRDefault="00B27639" w:rsidP="00B27639">
      <w:pPr>
        <w:numPr>
          <w:ilvl w:val="1"/>
          <w:numId w:val="1"/>
        </w:numPr>
        <w:tabs>
          <w:tab w:val="clear" w:pos="1418"/>
          <w:tab w:val="num" w:pos="1200"/>
        </w:tabs>
        <w:ind w:firstLine="720"/>
        <w:jc w:val="both"/>
        <w:rPr>
          <w:lang w:val="lt-LT"/>
        </w:rPr>
      </w:pPr>
      <w:r w:rsidRPr="00FD1DF7">
        <w:rPr>
          <w:lang w:val="lt-LT"/>
        </w:rPr>
        <w:t>Ausų kamštelių</w:t>
      </w:r>
      <w:r w:rsidR="007C379F">
        <w:rPr>
          <w:lang w:val="lt-LT"/>
        </w:rPr>
        <w:t xml:space="preserve"> dviejų filtrų arba kitos pasirinktos technologinės konstrukcijos </w:t>
      </w:r>
      <w:r w:rsidRPr="00FD1DF7">
        <w:rPr>
          <w:lang w:val="lt-LT"/>
        </w:rPr>
        <w:t>funkcinės s</w:t>
      </w:r>
      <w:r>
        <w:rPr>
          <w:lang w:val="lt-LT"/>
        </w:rPr>
        <w:t xml:space="preserve">avybės turi užtikrinti </w:t>
      </w:r>
      <w:r w:rsidR="00D87004">
        <w:rPr>
          <w:lang w:val="lt-LT"/>
        </w:rPr>
        <w:t>ausų</w:t>
      </w:r>
      <w:r>
        <w:rPr>
          <w:lang w:val="lt-LT"/>
        </w:rPr>
        <w:t xml:space="preserve"> </w:t>
      </w:r>
      <w:r w:rsidRPr="00FD1DF7">
        <w:rPr>
          <w:lang w:val="lt-LT"/>
        </w:rPr>
        <w:t>apsaugą</w:t>
      </w:r>
      <w:r>
        <w:rPr>
          <w:lang w:val="lt-LT"/>
        </w:rPr>
        <w:t xml:space="preserve"> nuolatinio ir </w:t>
      </w:r>
      <w:proofErr w:type="spellStart"/>
      <w:r>
        <w:rPr>
          <w:lang w:val="lt-LT"/>
        </w:rPr>
        <w:t>impulsinio</w:t>
      </w:r>
      <w:proofErr w:type="spellEnd"/>
      <w:r>
        <w:rPr>
          <w:lang w:val="lt-LT"/>
        </w:rPr>
        <w:t xml:space="preserve"> triukšmo atvejais </w:t>
      </w:r>
      <w:r w:rsidRPr="00FD1DF7">
        <w:rPr>
          <w:lang w:val="lt-LT"/>
        </w:rPr>
        <w:t xml:space="preserve">taip, kad </w:t>
      </w:r>
      <w:r>
        <w:rPr>
          <w:lang w:val="lt-LT"/>
        </w:rPr>
        <w:t>kariai darbinėje aplinkoje išgirstų informacinius, bei pavojaus signalus (girdimo pavojaus signalo atpažinimo būtinos savybės yra jo aiškus girdimumas, pakankamas skyrimas nuo kitų aplinkinių garsų ir jo reikšmės ne dviprasmiškumas).</w:t>
      </w:r>
    </w:p>
    <w:p w14:paraId="44A5C01B" w14:textId="09C0572D" w:rsidR="00721019" w:rsidRPr="00263A31" w:rsidRDefault="00721019" w:rsidP="00721019">
      <w:pPr>
        <w:numPr>
          <w:ilvl w:val="1"/>
          <w:numId w:val="1"/>
        </w:numPr>
        <w:tabs>
          <w:tab w:val="clear" w:pos="1418"/>
          <w:tab w:val="num" w:pos="1200"/>
        </w:tabs>
        <w:ind w:firstLine="720"/>
        <w:jc w:val="both"/>
        <w:rPr>
          <w:lang w:val="lt-LT"/>
        </w:rPr>
      </w:pPr>
      <w:r w:rsidRPr="00263A31">
        <w:rPr>
          <w:lang w:val="lt-LT"/>
        </w:rPr>
        <w:t xml:space="preserve">Norint užtikrinti karių klausos organo apsaugą pratybų ar mūšio metu nuo netikėto </w:t>
      </w:r>
      <w:proofErr w:type="spellStart"/>
      <w:r w:rsidRPr="00263A31">
        <w:rPr>
          <w:lang w:val="lt-LT"/>
        </w:rPr>
        <w:t>impulsinio</w:t>
      </w:r>
      <w:proofErr w:type="spellEnd"/>
      <w:r w:rsidRPr="00263A31">
        <w:rPr>
          <w:lang w:val="lt-LT"/>
        </w:rPr>
        <w:t xml:space="preserve"> garso ir užtikrinant </w:t>
      </w:r>
      <w:r>
        <w:rPr>
          <w:lang w:val="lt-LT"/>
        </w:rPr>
        <w:t xml:space="preserve">4.4. punkte </w:t>
      </w:r>
      <w:r w:rsidRPr="00263A31">
        <w:rPr>
          <w:lang w:val="lt-LT"/>
        </w:rPr>
        <w:t>išdėstytus reikalavimus, informaciniai ir pavojaus signalai turi būti girdimi neišimant, neatkemšant, neperjunginėjant ar kitaip mechaniškai veikiant ausų apsaugos priemonių, o garso slopinimo efektyvioji vertė priklausytų nuo skleidžiamo garso (stipresnis garso slėgio lygis, stipresnė garso slopinimo vertė): garso slopinimai turi atitikti</w:t>
      </w:r>
      <w:r>
        <w:rPr>
          <w:lang w:val="lt-LT"/>
        </w:rPr>
        <w:t xml:space="preserve"> 1 lentelėje pateiktus reikalavimus.</w:t>
      </w:r>
    </w:p>
    <w:p w14:paraId="0D1F0C58" w14:textId="77777777" w:rsidR="00B27639" w:rsidRPr="00FD1DF7" w:rsidRDefault="00B27639" w:rsidP="00B27639">
      <w:pPr>
        <w:jc w:val="both"/>
        <w:rPr>
          <w:lang w:val="lt-LT"/>
        </w:rPr>
      </w:pPr>
    </w:p>
    <w:p w14:paraId="7B294164" w14:textId="051E0B83" w:rsidR="00B27639" w:rsidRDefault="00022E6F" w:rsidP="00B27639">
      <w:pPr>
        <w:jc w:val="right"/>
        <w:rPr>
          <w:lang w:val="lt-LT"/>
        </w:rPr>
      </w:pPr>
      <w:r>
        <w:rPr>
          <w:lang w:val="lt-LT"/>
        </w:rPr>
        <w:t xml:space="preserve">1 </w:t>
      </w:r>
      <w:r w:rsidR="00B27639" w:rsidRPr="00FD1DF7">
        <w:rPr>
          <w:lang w:val="lt-LT"/>
        </w:rPr>
        <w:t>lentelė</w:t>
      </w:r>
    </w:p>
    <w:p w14:paraId="7E9BF114" w14:textId="224673B9" w:rsidR="00022E6F" w:rsidRPr="00FD1DF7" w:rsidRDefault="00022E6F" w:rsidP="00022E6F">
      <w:pPr>
        <w:jc w:val="center"/>
        <w:rPr>
          <w:lang w:val="lt-LT"/>
        </w:rPr>
      </w:pPr>
      <w:r>
        <w:rPr>
          <w:lang w:val="lt-LT"/>
        </w:rPr>
        <w:t>Garso slopinimai, esant uždar</w:t>
      </w:r>
      <w:r w:rsidR="00AB19AE">
        <w:rPr>
          <w:lang w:val="lt-LT"/>
        </w:rPr>
        <w:t>am</w:t>
      </w:r>
      <w:r>
        <w:rPr>
          <w:lang w:val="lt-LT"/>
        </w:rPr>
        <w:t xml:space="preserve"> režimui</w:t>
      </w:r>
    </w:p>
    <w:tbl>
      <w:tblPr>
        <w:tblW w:w="46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"/>
        <w:gridCol w:w="3175"/>
        <w:gridCol w:w="636"/>
        <w:gridCol w:w="636"/>
        <w:gridCol w:w="636"/>
        <w:gridCol w:w="695"/>
        <w:gridCol w:w="695"/>
        <w:gridCol w:w="695"/>
        <w:gridCol w:w="695"/>
        <w:gridCol w:w="695"/>
      </w:tblGrid>
      <w:tr w:rsidR="00721019" w:rsidRPr="00721019" w14:paraId="7824FAD8" w14:textId="77777777" w:rsidTr="00002838">
        <w:tc>
          <w:tcPr>
            <w:tcW w:w="1991" w:type="pct"/>
            <w:gridSpan w:val="2"/>
            <w:shd w:val="clear" w:color="auto" w:fill="auto"/>
            <w:vAlign w:val="center"/>
          </w:tcPr>
          <w:p w14:paraId="4FA8E17E" w14:textId="77777777" w:rsidR="00721019" w:rsidRPr="00721019" w:rsidRDefault="00721019" w:rsidP="00721019">
            <w:pPr>
              <w:jc w:val="both"/>
              <w:rPr>
                <w:b/>
                <w:lang w:val="lt-LT"/>
              </w:rPr>
            </w:pPr>
            <w:r w:rsidRPr="00721019">
              <w:rPr>
                <w:b/>
                <w:lang w:val="lt-LT"/>
              </w:rPr>
              <w:t>Dažnis, Hz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CDF75C5" w14:textId="77777777" w:rsidR="00721019" w:rsidRPr="00721019" w:rsidRDefault="00721019" w:rsidP="00721019">
            <w:pPr>
              <w:jc w:val="both"/>
              <w:rPr>
                <w:b/>
                <w:lang w:val="lt-LT"/>
              </w:rPr>
            </w:pPr>
            <w:r w:rsidRPr="00721019">
              <w:rPr>
                <w:b/>
                <w:lang w:val="lt-LT"/>
              </w:rPr>
              <w:t>63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3B5B59F" w14:textId="77777777" w:rsidR="00721019" w:rsidRPr="00721019" w:rsidRDefault="00721019" w:rsidP="00721019">
            <w:pPr>
              <w:jc w:val="both"/>
              <w:rPr>
                <w:b/>
                <w:lang w:val="lt-LT"/>
              </w:rPr>
            </w:pPr>
            <w:r w:rsidRPr="00721019">
              <w:rPr>
                <w:b/>
                <w:lang w:val="lt-LT"/>
              </w:rPr>
              <w:t>125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D05714D" w14:textId="77777777" w:rsidR="00721019" w:rsidRPr="00721019" w:rsidRDefault="00721019" w:rsidP="00721019">
            <w:pPr>
              <w:jc w:val="both"/>
              <w:rPr>
                <w:b/>
                <w:lang w:val="lt-LT"/>
              </w:rPr>
            </w:pPr>
            <w:r w:rsidRPr="00721019">
              <w:rPr>
                <w:b/>
                <w:lang w:val="lt-LT"/>
              </w:rPr>
              <w:t>250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4D856F6" w14:textId="77777777" w:rsidR="00721019" w:rsidRPr="00721019" w:rsidRDefault="00721019" w:rsidP="00721019">
            <w:pPr>
              <w:jc w:val="both"/>
              <w:rPr>
                <w:b/>
                <w:lang w:val="lt-LT"/>
              </w:rPr>
            </w:pPr>
            <w:r w:rsidRPr="00721019">
              <w:rPr>
                <w:b/>
                <w:lang w:val="lt-LT"/>
              </w:rPr>
              <w:t>500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A8CF9DA" w14:textId="77777777" w:rsidR="00721019" w:rsidRPr="00721019" w:rsidRDefault="00721019" w:rsidP="00721019">
            <w:pPr>
              <w:jc w:val="both"/>
              <w:rPr>
                <w:b/>
                <w:lang w:val="lt-LT"/>
              </w:rPr>
            </w:pPr>
            <w:r w:rsidRPr="00721019">
              <w:rPr>
                <w:b/>
                <w:lang w:val="lt-LT"/>
              </w:rPr>
              <w:t>1K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59FBE8" w14:textId="77777777" w:rsidR="00721019" w:rsidRPr="00721019" w:rsidRDefault="00721019" w:rsidP="00721019">
            <w:pPr>
              <w:jc w:val="both"/>
              <w:rPr>
                <w:b/>
                <w:lang w:val="lt-LT"/>
              </w:rPr>
            </w:pPr>
            <w:r w:rsidRPr="00721019">
              <w:rPr>
                <w:b/>
                <w:lang w:val="lt-LT"/>
              </w:rPr>
              <w:t>2K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021D9B6" w14:textId="77777777" w:rsidR="00721019" w:rsidRPr="00721019" w:rsidRDefault="00721019" w:rsidP="00721019">
            <w:pPr>
              <w:jc w:val="both"/>
              <w:rPr>
                <w:b/>
                <w:lang w:val="lt-LT"/>
              </w:rPr>
            </w:pPr>
            <w:r w:rsidRPr="00721019">
              <w:rPr>
                <w:b/>
                <w:lang w:val="lt-LT"/>
              </w:rPr>
              <w:t>4K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DA9DA34" w14:textId="77777777" w:rsidR="00721019" w:rsidRPr="00721019" w:rsidRDefault="00721019" w:rsidP="00721019">
            <w:pPr>
              <w:jc w:val="both"/>
              <w:rPr>
                <w:b/>
                <w:lang w:val="lt-LT"/>
              </w:rPr>
            </w:pPr>
            <w:r w:rsidRPr="00721019">
              <w:rPr>
                <w:b/>
                <w:lang w:val="lt-LT"/>
              </w:rPr>
              <w:t>8K</w:t>
            </w:r>
          </w:p>
        </w:tc>
      </w:tr>
      <w:tr w:rsidR="00721019" w:rsidRPr="00721019" w14:paraId="37C65F3F" w14:textId="77777777" w:rsidTr="00002838">
        <w:tc>
          <w:tcPr>
            <w:tcW w:w="208" w:type="pct"/>
            <w:vMerge w:val="restart"/>
            <w:shd w:val="clear" w:color="auto" w:fill="auto"/>
            <w:vAlign w:val="center"/>
          </w:tcPr>
          <w:p w14:paraId="3DB81759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</w:p>
        </w:tc>
        <w:tc>
          <w:tcPr>
            <w:tcW w:w="1783" w:type="pct"/>
            <w:shd w:val="clear" w:color="auto" w:fill="auto"/>
            <w:vAlign w:val="center"/>
          </w:tcPr>
          <w:p w14:paraId="5A6473F1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 xml:space="preserve">Vidutinė slopinimo vertė </w:t>
            </w:r>
            <w:proofErr w:type="spellStart"/>
            <w:r w:rsidRPr="00721019">
              <w:rPr>
                <w:lang w:val="lt-LT"/>
              </w:rPr>
              <w:t>dB</w:t>
            </w:r>
            <w:proofErr w:type="spellEnd"/>
          </w:p>
        </w:tc>
        <w:tc>
          <w:tcPr>
            <w:tcW w:w="348" w:type="pct"/>
            <w:shd w:val="clear" w:color="auto" w:fill="auto"/>
            <w:vAlign w:val="center"/>
          </w:tcPr>
          <w:p w14:paraId="5AC0D0BF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24.5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2151451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23.3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DB93499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23.4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523D53A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21.8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B817D0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25.8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3768F9C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29.3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6700FB0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30.6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416BFBC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34.4</w:t>
            </w:r>
          </w:p>
        </w:tc>
      </w:tr>
      <w:tr w:rsidR="00721019" w:rsidRPr="00721019" w14:paraId="0C7A8089" w14:textId="77777777" w:rsidTr="00002838">
        <w:tc>
          <w:tcPr>
            <w:tcW w:w="208" w:type="pct"/>
            <w:vMerge/>
            <w:shd w:val="clear" w:color="auto" w:fill="auto"/>
            <w:vAlign w:val="center"/>
          </w:tcPr>
          <w:p w14:paraId="5040C675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</w:p>
        </w:tc>
        <w:tc>
          <w:tcPr>
            <w:tcW w:w="1783" w:type="pct"/>
            <w:shd w:val="clear" w:color="auto" w:fill="auto"/>
            <w:vAlign w:val="center"/>
          </w:tcPr>
          <w:p w14:paraId="600A56C9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 xml:space="preserve">Standartinis nuokrypis </w:t>
            </w:r>
            <w:proofErr w:type="spellStart"/>
            <w:r w:rsidRPr="00721019">
              <w:rPr>
                <w:lang w:val="lt-LT"/>
              </w:rPr>
              <w:t>dB</w:t>
            </w:r>
            <w:proofErr w:type="spellEnd"/>
          </w:p>
        </w:tc>
        <w:tc>
          <w:tcPr>
            <w:tcW w:w="348" w:type="pct"/>
            <w:shd w:val="clear" w:color="auto" w:fill="auto"/>
            <w:vAlign w:val="center"/>
          </w:tcPr>
          <w:p w14:paraId="07B04686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9.1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08E2C91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6.3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9507EC2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6.6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01BA846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6.9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013706E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4.2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4CCEE20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5.3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4D80402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6.7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1EBE61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7.2</w:t>
            </w:r>
          </w:p>
        </w:tc>
      </w:tr>
      <w:tr w:rsidR="00721019" w:rsidRPr="00721019" w14:paraId="4F35EB8C" w14:textId="77777777" w:rsidTr="00002838">
        <w:tc>
          <w:tcPr>
            <w:tcW w:w="208" w:type="pct"/>
            <w:vMerge/>
            <w:shd w:val="clear" w:color="auto" w:fill="auto"/>
            <w:vAlign w:val="center"/>
          </w:tcPr>
          <w:p w14:paraId="52A1AD75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</w:p>
        </w:tc>
        <w:tc>
          <w:tcPr>
            <w:tcW w:w="1783" w:type="pct"/>
            <w:shd w:val="clear" w:color="auto" w:fill="auto"/>
            <w:vAlign w:val="center"/>
          </w:tcPr>
          <w:p w14:paraId="1F88495B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 xml:space="preserve">Efektyvioji slopinimo vertė </w:t>
            </w:r>
            <w:proofErr w:type="spellStart"/>
            <w:r w:rsidRPr="00721019">
              <w:rPr>
                <w:lang w:val="lt-LT"/>
              </w:rPr>
              <w:t>dB</w:t>
            </w:r>
            <w:proofErr w:type="spellEnd"/>
          </w:p>
        </w:tc>
        <w:tc>
          <w:tcPr>
            <w:tcW w:w="348" w:type="pct"/>
            <w:shd w:val="clear" w:color="auto" w:fill="auto"/>
            <w:vAlign w:val="center"/>
          </w:tcPr>
          <w:p w14:paraId="4A72F875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15.4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7B27686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17.0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479BA3C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16.8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CEA7B8B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14.9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A9264FB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21.6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38B0B9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24.0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2E0843F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23.9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A3E32F6" w14:textId="77777777" w:rsidR="00721019" w:rsidRPr="00721019" w:rsidRDefault="00721019" w:rsidP="00721019">
            <w:pPr>
              <w:jc w:val="both"/>
              <w:rPr>
                <w:lang w:val="lt-LT"/>
              </w:rPr>
            </w:pPr>
            <w:r w:rsidRPr="00721019">
              <w:rPr>
                <w:lang w:val="lt-LT"/>
              </w:rPr>
              <w:t>27.2</w:t>
            </w:r>
          </w:p>
        </w:tc>
      </w:tr>
    </w:tbl>
    <w:p w14:paraId="47FDFB8A" w14:textId="77777777" w:rsidR="00B27639" w:rsidRPr="00FD1DF7" w:rsidRDefault="00B27639" w:rsidP="00B27639">
      <w:pPr>
        <w:numPr>
          <w:ilvl w:val="1"/>
          <w:numId w:val="1"/>
        </w:numPr>
        <w:tabs>
          <w:tab w:val="clear" w:pos="1418"/>
          <w:tab w:val="num" w:pos="1200"/>
        </w:tabs>
        <w:ind w:firstLine="720"/>
        <w:jc w:val="both"/>
        <w:rPr>
          <w:lang w:val="lt-LT"/>
        </w:rPr>
      </w:pPr>
      <w:r>
        <w:rPr>
          <w:lang w:val="lt-LT"/>
        </w:rPr>
        <w:lastRenderedPageBreak/>
        <w:t xml:space="preserve">Tam, kad dėvint ausų kamštelius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išvengta</w:t>
      </w:r>
      <w:proofErr w:type="spellEnd"/>
      <w:r w:rsidRPr="00847510">
        <w:t xml:space="preserve"> </w:t>
      </w:r>
      <w:proofErr w:type="spellStart"/>
      <w:r w:rsidRPr="00847510">
        <w:t>ausų</w:t>
      </w:r>
      <w:proofErr w:type="spellEnd"/>
      <w:r w:rsidRPr="00847510">
        <w:t xml:space="preserve"> </w:t>
      </w:r>
      <w:proofErr w:type="spellStart"/>
      <w:r w:rsidRPr="00847510">
        <w:t>užgulimo</w:t>
      </w:r>
      <w:proofErr w:type="spellEnd"/>
      <w:r w:rsidRPr="00847510">
        <w:t xml:space="preserve">, </w:t>
      </w:r>
      <w:proofErr w:type="spellStart"/>
      <w:r w:rsidRPr="00847510">
        <w:t>ausies</w:t>
      </w:r>
      <w:proofErr w:type="spellEnd"/>
      <w:r w:rsidRPr="00847510">
        <w:t xml:space="preserve"> </w:t>
      </w:r>
      <w:proofErr w:type="spellStart"/>
      <w:r w:rsidRPr="00847510">
        <w:t>pilnumo</w:t>
      </w:r>
      <w:proofErr w:type="spellEnd"/>
      <w:r w:rsidRPr="00847510">
        <w:t xml:space="preserve">, </w:t>
      </w:r>
      <w:proofErr w:type="spellStart"/>
      <w:r w:rsidRPr="00847510">
        <w:t>spaudimo</w:t>
      </w:r>
      <w:proofErr w:type="spellEnd"/>
      <w:r w:rsidRPr="00847510">
        <w:t xml:space="preserve"> </w:t>
      </w:r>
      <w:proofErr w:type="spellStart"/>
      <w:r w:rsidRPr="00847510">
        <w:t>pojūčio</w:t>
      </w:r>
      <w:proofErr w:type="spellEnd"/>
      <w:r>
        <w:rPr>
          <w:lang w:val="lt-LT"/>
        </w:rPr>
        <w:t xml:space="preserve"> </w:t>
      </w:r>
      <w:r w:rsidRPr="00FD1DF7">
        <w:rPr>
          <w:lang w:val="lt-LT"/>
        </w:rPr>
        <w:t>pasikeitus slėgiui</w:t>
      </w:r>
      <w:r>
        <w:rPr>
          <w:lang w:val="lt-LT"/>
        </w:rPr>
        <w:t xml:space="preserve"> (pvz. skrendant lėktuvu), </w:t>
      </w:r>
      <w:r w:rsidRPr="00FD1DF7">
        <w:rPr>
          <w:lang w:val="lt-LT"/>
        </w:rPr>
        <w:t>slėgis turi išsilyginti automatiškai, neišimant kamštelių.</w:t>
      </w:r>
    </w:p>
    <w:p w14:paraId="75A7CB46" w14:textId="25486AE2" w:rsidR="00B27639" w:rsidRPr="00FD1DF7" w:rsidRDefault="00B27639" w:rsidP="00B27639">
      <w:pPr>
        <w:numPr>
          <w:ilvl w:val="1"/>
          <w:numId w:val="1"/>
        </w:numPr>
        <w:tabs>
          <w:tab w:val="clear" w:pos="1418"/>
          <w:tab w:val="num" w:pos="1200"/>
        </w:tabs>
        <w:ind w:firstLine="720"/>
        <w:jc w:val="both"/>
        <w:rPr>
          <w:lang w:val="lt-LT"/>
        </w:rPr>
      </w:pPr>
      <w:r>
        <w:rPr>
          <w:lang w:val="lt-LT"/>
        </w:rPr>
        <w:t>Ausų kamšteliai</w:t>
      </w:r>
      <w:r w:rsidR="001A0D96">
        <w:rPr>
          <w:lang w:val="lt-LT"/>
        </w:rPr>
        <w:t xml:space="preserve"> (</w:t>
      </w:r>
      <w:r w:rsidR="00AB19AE">
        <w:rPr>
          <w:lang w:val="lt-LT"/>
        </w:rPr>
        <w:t>uždarame</w:t>
      </w:r>
      <w:r w:rsidR="001A0D96">
        <w:rPr>
          <w:lang w:val="lt-LT"/>
        </w:rPr>
        <w:t xml:space="preserve"> režime)</w:t>
      </w:r>
      <w:r>
        <w:rPr>
          <w:lang w:val="lt-LT"/>
        </w:rPr>
        <w:t xml:space="preserve"> turi atitikti slopinimo lygius</w:t>
      </w:r>
      <w:r w:rsidRPr="00FD1DF7">
        <w:rPr>
          <w:lang w:val="lt-LT"/>
        </w:rPr>
        <w:t>:</w:t>
      </w:r>
    </w:p>
    <w:p w14:paraId="412E3D15" w14:textId="5317E816" w:rsidR="00B27639" w:rsidRPr="00022E6F" w:rsidRDefault="00B27639" w:rsidP="00B27639">
      <w:pPr>
        <w:widowControl w:val="0"/>
        <w:autoSpaceDE w:val="0"/>
        <w:autoSpaceDN w:val="0"/>
        <w:adjustRightInd w:val="0"/>
        <w:ind w:firstLine="1296"/>
        <w:jc w:val="both"/>
        <w:rPr>
          <w:lang w:val="lt-LT"/>
        </w:rPr>
      </w:pPr>
      <w:r w:rsidRPr="00FD1DF7">
        <w:rPr>
          <w:lang w:val="lt-LT"/>
        </w:rPr>
        <w:t xml:space="preserve">- </w:t>
      </w:r>
      <w:r>
        <w:rPr>
          <w:lang w:val="lt-LT"/>
        </w:rPr>
        <w:t>H = 2</w:t>
      </w:r>
      <w:r w:rsidR="00721019">
        <w:rPr>
          <w:lang w:val="lt-LT"/>
        </w:rPr>
        <w:t>4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dB</w:t>
      </w:r>
      <w:proofErr w:type="spellEnd"/>
      <w:r>
        <w:rPr>
          <w:lang w:val="lt-LT"/>
        </w:rPr>
        <w:t xml:space="preserve"> (</w:t>
      </w:r>
      <w:r w:rsidRPr="00022E6F">
        <w:rPr>
          <w:lang w:val="lt-LT"/>
        </w:rPr>
        <w:t>aukštas);</w:t>
      </w:r>
    </w:p>
    <w:p w14:paraId="25EA23D3" w14:textId="0939F5CE" w:rsidR="00B27639" w:rsidRPr="00022E6F" w:rsidRDefault="00B27639" w:rsidP="00B27639">
      <w:pPr>
        <w:widowControl w:val="0"/>
        <w:autoSpaceDE w:val="0"/>
        <w:autoSpaceDN w:val="0"/>
        <w:adjustRightInd w:val="0"/>
        <w:ind w:firstLine="1296"/>
        <w:jc w:val="both"/>
        <w:rPr>
          <w:lang w:val="lt-LT"/>
        </w:rPr>
      </w:pPr>
      <w:r w:rsidRPr="00022E6F">
        <w:rPr>
          <w:lang w:val="lt-LT"/>
        </w:rPr>
        <w:t>- M = 2</w:t>
      </w:r>
      <w:r w:rsidR="00721019">
        <w:rPr>
          <w:lang w:val="lt-LT"/>
        </w:rPr>
        <w:t>0</w:t>
      </w:r>
      <w:r w:rsidRPr="00022E6F">
        <w:rPr>
          <w:lang w:val="lt-LT"/>
        </w:rPr>
        <w:t xml:space="preserve"> </w:t>
      </w:r>
      <w:proofErr w:type="spellStart"/>
      <w:r w:rsidRPr="00022E6F">
        <w:rPr>
          <w:lang w:val="lt-LT"/>
        </w:rPr>
        <w:t>dB</w:t>
      </w:r>
      <w:proofErr w:type="spellEnd"/>
      <w:r w:rsidRPr="00022E6F">
        <w:rPr>
          <w:lang w:val="lt-LT"/>
        </w:rPr>
        <w:t xml:space="preserve"> (vidutinis);</w:t>
      </w:r>
    </w:p>
    <w:p w14:paraId="226D1D49" w14:textId="0B14223A" w:rsidR="00B27639" w:rsidRPr="00022E6F" w:rsidRDefault="00B27639" w:rsidP="00B27639">
      <w:pPr>
        <w:widowControl w:val="0"/>
        <w:autoSpaceDE w:val="0"/>
        <w:autoSpaceDN w:val="0"/>
        <w:adjustRightInd w:val="0"/>
        <w:ind w:firstLine="1296"/>
        <w:jc w:val="both"/>
        <w:rPr>
          <w:lang w:val="lt-LT"/>
        </w:rPr>
      </w:pPr>
      <w:r w:rsidRPr="00022E6F">
        <w:rPr>
          <w:lang w:val="lt-LT"/>
        </w:rPr>
        <w:t xml:space="preserve">- L = </w:t>
      </w:r>
      <w:r w:rsidR="00721019">
        <w:rPr>
          <w:lang w:val="lt-LT"/>
        </w:rPr>
        <w:t>18</w:t>
      </w:r>
      <w:r w:rsidRPr="00022E6F">
        <w:rPr>
          <w:lang w:val="lt-LT"/>
        </w:rPr>
        <w:t>dB (žemiausias).</w:t>
      </w:r>
    </w:p>
    <w:p w14:paraId="2F2D5276" w14:textId="77777777" w:rsidR="00721019" w:rsidRDefault="00B27639" w:rsidP="00B27639">
      <w:pPr>
        <w:widowControl w:val="0"/>
        <w:autoSpaceDE w:val="0"/>
        <w:autoSpaceDN w:val="0"/>
        <w:adjustRightInd w:val="0"/>
        <w:ind w:firstLine="1296"/>
        <w:jc w:val="both"/>
        <w:rPr>
          <w:lang w:val="lt-LT"/>
        </w:rPr>
      </w:pPr>
      <w:r>
        <w:rPr>
          <w:lang w:val="lt-LT"/>
        </w:rPr>
        <w:t>Bendroji efektyvioji slopinimo vertė SNR= 2</w:t>
      </w:r>
      <w:r w:rsidR="00721019">
        <w:rPr>
          <w:lang w:val="lt-LT"/>
        </w:rPr>
        <w:t>3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dB</w:t>
      </w:r>
      <w:proofErr w:type="spellEnd"/>
    </w:p>
    <w:p w14:paraId="4F0945DF" w14:textId="0F1AA843" w:rsidR="00B27639" w:rsidRDefault="00721019" w:rsidP="00721019">
      <w:pPr>
        <w:widowControl w:val="0"/>
        <w:autoSpaceDE w:val="0"/>
        <w:autoSpaceDN w:val="0"/>
        <w:adjustRightInd w:val="0"/>
        <w:ind w:firstLine="1296"/>
        <w:jc w:val="both"/>
        <w:rPr>
          <w:lang w:val="lt-LT"/>
        </w:rPr>
      </w:pPr>
      <w:r w:rsidRPr="00263A31">
        <w:rPr>
          <w:lang w:val="lt-LT"/>
        </w:rPr>
        <w:t xml:space="preserve">Garso slopinimo lygis NRR  22 </w:t>
      </w:r>
      <w:proofErr w:type="spellStart"/>
      <w:r w:rsidRPr="00263A31">
        <w:rPr>
          <w:lang w:val="lt-LT"/>
        </w:rPr>
        <w:t>dB</w:t>
      </w:r>
      <w:proofErr w:type="spellEnd"/>
      <w:r w:rsidR="001A0D96">
        <w:rPr>
          <w:lang w:val="lt-LT"/>
        </w:rPr>
        <w:t>.</w:t>
      </w:r>
    </w:p>
    <w:p w14:paraId="31CA5960" w14:textId="77777777" w:rsidR="00B27639" w:rsidRPr="00FD1DF7" w:rsidRDefault="00B27639" w:rsidP="00B27639">
      <w:pPr>
        <w:numPr>
          <w:ilvl w:val="1"/>
          <w:numId w:val="1"/>
        </w:numPr>
        <w:tabs>
          <w:tab w:val="clear" w:pos="1418"/>
          <w:tab w:val="num" w:pos="120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Atsižvelgiant į skirtingą karių fiziologiją, galimą ilgą ausų kamštelių dėvėjimo terminą ir geresnę </w:t>
      </w:r>
      <w:r w:rsidR="00D87004">
        <w:rPr>
          <w:lang w:val="lt-LT"/>
        </w:rPr>
        <w:t>ausies</w:t>
      </w:r>
      <w:r>
        <w:rPr>
          <w:lang w:val="lt-LT"/>
        </w:rPr>
        <w:t xml:space="preserve"> apsaugą, a</w:t>
      </w:r>
      <w:r w:rsidRPr="00FD1DF7">
        <w:rPr>
          <w:lang w:val="lt-LT"/>
        </w:rPr>
        <w:t>usų kamšteliai turi būti trijų dydžių: S (mažas), M (vidutinis) ir L (didelis).</w:t>
      </w:r>
    </w:p>
    <w:p w14:paraId="5DA757E6" w14:textId="189D8FE7" w:rsidR="00B27639" w:rsidRPr="00AB19AE" w:rsidRDefault="00B27639" w:rsidP="00AB19AE">
      <w:pPr>
        <w:numPr>
          <w:ilvl w:val="1"/>
          <w:numId w:val="1"/>
        </w:numPr>
        <w:tabs>
          <w:tab w:val="clear" w:pos="1418"/>
          <w:tab w:val="num" w:pos="1200"/>
        </w:tabs>
        <w:ind w:firstLine="720"/>
        <w:jc w:val="both"/>
        <w:rPr>
          <w:lang w:val="lt-LT"/>
        </w:rPr>
      </w:pPr>
      <w:r w:rsidRPr="00FD1DF7">
        <w:rPr>
          <w:lang w:val="lt-LT"/>
        </w:rPr>
        <w:t>Ausų kamšteliai turi būti</w:t>
      </w:r>
      <w:r>
        <w:rPr>
          <w:lang w:val="lt-LT"/>
        </w:rPr>
        <w:t xml:space="preserve"> pritaikyti naudojimui su kitomis kario apsaugos priemonėmis kaip dujokaukė, šalmas, papildomos ausies apsaugos priemonės (pvz. ausinės).</w:t>
      </w:r>
    </w:p>
    <w:p w14:paraId="77E3F263" w14:textId="7C3E4E43" w:rsidR="00B27639" w:rsidRPr="00022E6F" w:rsidRDefault="00B27639" w:rsidP="00B27639">
      <w:pPr>
        <w:numPr>
          <w:ilvl w:val="0"/>
          <w:numId w:val="1"/>
        </w:numPr>
        <w:jc w:val="both"/>
        <w:rPr>
          <w:lang w:val="lt-LT"/>
        </w:rPr>
      </w:pPr>
      <w:r w:rsidRPr="00022E6F">
        <w:rPr>
          <w:lang w:val="lt-LT"/>
        </w:rPr>
        <w:t xml:space="preserve">Ausų kamšteliai </w:t>
      </w:r>
      <w:r w:rsidR="00721019">
        <w:rPr>
          <w:lang w:val="lt-LT"/>
        </w:rPr>
        <w:t xml:space="preserve">turi </w:t>
      </w:r>
      <w:r w:rsidR="00022E6F" w:rsidRPr="00022E6F">
        <w:rPr>
          <w:lang w:val="lt-LT"/>
        </w:rPr>
        <w:t xml:space="preserve">būti </w:t>
      </w:r>
      <w:r w:rsidRPr="00022E6F">
        <w:rPr>
          <w:lang w:val="lt-LT"/>
        </w:rPr>
        <w:t xml:space="preserve">komplektuojami su virvute, skirta pasikabinti juos ant kaklo. Virvutė turi būti ne trumpesnė kaip </w:t>
      </w:r>
      <w:r w:rsidRPr="00022E6F">
        <w:rPr>
          <w:bCs/>
          <w:lang w:val="lt-LT"/>
        </w:rPr>
        <w:t>58 cm ilgio.</w:t>
      </w:r>
    </w:p>
    <w:p w14:paraId="7ED6A604" w14:textId="35D9243F" w:rsidR="00B27639" w:rsidRPr="00FD1DF7" w:rsidRDefault="00B27639" w:rsidP="00B27639">
      <w:pPr>
        <w:numPr>
          <w:ilvl w:val="0"/>
          <w:numId w:val="1"/>
        </w:numPr>
        <w:jc w:val="both"/>
        <w:rPr>
          <w:lang w:val="lt-LT"/>
        </w:rPr>
      </w:pPr>
      <w:r w:rsidRPr="00FD1DF7">
        <w:rPr>
          <w:lang w:val="lt-LT"/>
        </w:rPr>
        <w:t>Ausų kamšteliai</w:t>
      </w:r>
      <w:r w:rsidR="00721019">
        <w:rPr>
          <w:lang w:val="lt-LT"/>
        </w:rPr>
        <w:t xml:space="preserve"> su virvute</w:t>
      </w:r>
      <w:bookmarkStart w:id="0" w:name="_GoBack"/>
      <w:bookmarkEnd w:id="0"/>
      <w:r w:rsidRPr="00FD1DF7">
        <w:rPr>
          <w:lang w:val="lt-LT"/>
        </w:rPr>
        <w:t xml:space="preserve"> pakuojami individualiai į plastikines, tvirtas, užapvalintais kampais, patikimai uždaromas</w:t>
      </w:r>
      <w:r w:rsidR="00022E6F">
        <w:rPr>
          <w:lang w:val="lt-LT"/>
        </w:rPr>
        <w:t xml:space="preserve"> pageidautina skaidraus plastiko dėžutes</w:t>
      </w:r>
      <w:r w:rsidRPr="00FD1DF7">
        <w:rPr>
          <w:lang w:val="lt-LT"/>
        </w:rPr>
        <w:t xml:space="preserve">. Dėžutės turi atlaikyti daugkartinius atidarymo ir uždarymo ciklus. </w:t>
      </w:r>
    </w:p>
    <w:p w14:paraId="0BABD095" w14:textId="77777777" w:rsidR="00B27639" w:rsidRPr="00FD1DF7" w:rsidRDefault="00B27639" w:rsidP="00B27639">
      <w:pPr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Su</w:t>
      </w:r>
      <w:r w:rsidRPr="00FD1DF7">
        <w:rPr>
          <w:lang w:val="lt-LT"/>
        </w:rPr>
        <w:t xml:space="preserve"> kiekvien</w:t>
      </w:r>
      <w:r>
        <w:rPr>
          <w:lang w:val="lt-LT"/>
        </w:rPr>
        <w:t xml:space="preserve">a dėžute </w:t>
      </w:r>
      <w:r w:rsidRPr="00FD1DF7">
        <w:rPr>
          <w:lang w:val="lt-LT"/>
        </w:rPr>
        <w:t xml:space="preserve">turi būti </w:t>
      </w:r>
      <w:r>
        <w:rPr>
          <w:lang w:val="lt-LT"/>
        </w:rPr>
        <w:t xml:space="preserve">pateikta prekės </w:t>
      </w:r>
      <w:r w:rsidRPr="00FD1DF7">
        <w:rPr>
          <w:lang w:val="lt-LT"/>
        </w:rPr>
        <w:t>naudojimo</w:t>
      </w:r>
      <w:r w:rsidR="00FD284A">
        <w:rPr>
          <w:lang w:val="lt-LT"/>
        </w:rPr>
        <w:t xml:space="preserve"> – </w:t>
      </w:r>
      <w:r>
        <w:rPr>
          <w:lang w:val="lt-LT"/>
        </w:rPr>
        <w:t>priežiūros</w:t>
      </w:r>
      <w:r w:rsidR="00FD284A">
        <w:rPr>
          <w:lang w:val="lt-LT"/>
        </w:rPr>
        <w:t xml:space="preserve"> </w:t>
      </w:r>
      <w:r w:rsidRPr="00FD1DF7">
        <w:rPr>
          <w:lang w:val="lt-LT"/>
        </w:rPr>
        <w:t>instrukcija lietuvių kalba.</w:t>
      </w:r>
    </w:p>
    <w:p w14:paraId="596D919C" w14:textId="77777777" w:rsidR="00B27639" w:rsidRPr="00FD1DF7" w:rsidRDefault="00B27639" w:rsidP="00B27639">
      <w:pPr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Dėžutės </w:t>
      </w:r>
      <w:r w:rsidRPr="00FD1DF7">
        <w:rPr>
          <w:lang w:val="lt-LT"/>
        </w:rPr>
        <w:t>turi būti paženklint</w:t>
      </w:r>
      <w:r>
        <w:rPr>
          <w:lang w:val="lt-LT"/>
        </w:rPr>
        <w:t>os</w:t>
      </w:r>
      <w:r w:rsidRPr="00FD1DF7">
        <w:rPr>
          <w:lang w:val="lt-LT"/>
        </w:rPr>
        <w:t xml:space="preserve"> etikete, kurioje nurodoma:</w:t>
      </w:r>
    </w:p>
    <w:p w14:paraId="2CA9B25B" w14:textId="484CECF5" w:rsidR="008B156D" w:rsidRDefault="00B27639" w:rsidP="008B156D">
      <w:pPr>
        <w:numPr>
          <w:ilvl w:val="0"/>
          <w:numId w:val="2"/>
        </w:numPr>
        <w:tabs>
          <w:tab w:val="clear" w:pos="2520"/>
          <w:tab w:val="num" w:pos="0"/>
          <w:tab w:val="num" w:pos="1276"/>
        </w:tabs>
        <w:ind w:left="0" w:firstLine="567"/>
        <w:jc w:val="both"/>
        <w:rPr>
          <w:lang w:val="lt-LT"/>
        </w:rPr>
      </w:pPr>
      <w:proofErr w:type="spellStart"/>
      <w:r w:rsidRPr="008B156D">
        <w:t>tiekėjo</w:t>
      </w:r>
      <w:proofErr w:type="spellEnd"/>
      <w:r w:rsidRPr="00FD1DF7">
        <w:rPr>
          <w:lang w:val="lt-LT"/>
        </w:rPr>
        <w:t xml:space="preserve"> pavadinimas;</w:t>
      </w:r>
    </w:p>
    <w:p w14:paraId="066972E6" w14:textId="76019CF9" w:rsidR="008B156D" w:rsidRDefault="00B27639" w:rsidP="00AB19AE">
      <w:pPr>
        <w:numPr>
          <w:ilvl w:val="0"/>
          <w:numId w:val="2"/>
        </w:numPr>
        <w:tabs>
          <w:tab w:val="clear" w:pos="2520"/>
          <w:tab w:val="num" w:pos="0"/>
          <w:tab w:val="num" w:pos="1276"/>
        </w:tabs>
        <w:ind w:left="0" w:firstLine="567"/>
        <w:jc w:val="both"/>
        <w:rPr>
          <w:lang w:val="lt-LT"/>
        </w:rPr>
      </w:pPr>
      <w:r w:rsidRPr="00FD1DF7">
        <w:rPr>
          <w:lang w:val="lt-LT"/>
        </w:rPr>
        <w:t>gamintojo pavadinimas arba prekės ženklas (jei nesutampa su tiekėju);</w:t>
      </w:r>
    </w:p>
    <w:p w14:paraId="64AA3967" w14:textId="3FC4A3F7" w:rsidR="00B27639" w:rsidRPr="00FD1DF7" w:rsidRDefault="00B27639" w:rsidP="00AB19AE">
      <w:pPr>
        <w:numPr>
          <w:ilvl w:val="0"/>
          <w:numId w:val="2"/>
        </w:numPr>
        <w:tabs>
          <w:tab w:val="clear" w:pos="2520"/>
          <w:tab w:val="num" w:pos="0"/>
          <w:tab w:val="num" w:pos="1276"/>
        </w:tabs>
        <w:ind w:left="0" w:firstLine="567"/>
        <w:jc w:val="both"/>
        <w:rPr>
          <w:lang w:val="lt-LT"/>
        </w:rPr>
      </w:pPr>
      <w:r w:rsidRPr="00FD1DF7">
        <w:rPr>
          <w:lang w:val="lt-LT"/>
        </w:rPr>
        <w:t>gaminio pavadinimas (naudojamas Lietuvos kariuomenės planavime ir apskaitoje);</w:t>
      </w:r>
    </w:p>
    <w:p w14:paraId="716923B8" w14:textId="25158867" w:rsidR="00B27639" w:rsidRPr="00FD1DF7" w:rsidRDefault="00B27639" w:rsidP="008B156D">
      <w:pPr>
        <w:numPr>
          <w:ilvl w:val="0"/>
          <w:numId w:val="2"/>
        </w:numPr>
        <w:tabs>
          <w:tab w:val="clear" w:pos="2520"/>
          <w:tab w:val="num" w:pos="0"/>
          <w:tab w:val="num" w:pos="1276"/>
        </w:tabs>
        <w:ind w:left="0" w:firstLine="567"/>
        <w:jc w:val="both"/>
        <w:rPr>
          <w:lang w:val="lt-LT"/>
        </w:rPr>
      </w:pPr>
      <w:r w:rsidRPr="00FD1DF7">
        <w:rPr>
          <w:lang w:val="lt-LT"/>
        </w:rPr>
        <w:t>dydis;</w:t>
      </w:r>
    </w:p>
    <w:p w14:paraId="698C3AFC" w14:textId="1ADBC2F2" w:rsidR="00B27639" w:rsidRPr="00FD1DF7" w:rsidRDefault="00B27639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  <w:rPr>
          <w:lang w:val="lt-LT"/>
        </w:rPr>
      </w:pPr>
      <w:r w:rsidRPr="00FD1DF7">
        <w:rPr>
          <w:lang w:val="lt-LT"/>
        </w:rPr>
        <w:t>sutarties data ir numeris;</w:t>
      </w:r>
    </w:p>
    <w:p w14:paraId="43BFBA2D" w14:textId="6DD23831" w:rsidR="00B27639" w:rsidRPr="00FD1DF7" w:rsidRDefault="00B27639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  <w:rPr>
          <w:lang w:val="lt-LT"/>
        </w:rPr>
      </w:pPr>
      <w:r w:rsidRPr="00FD1DF7">
        <w:rPr>
          <w:lang w:val="lt-LT"/>
        </w:rPr>
        <w:t>prekės partijos ir siuntos indeksas;</w:t>
      </w:r>
    </w:p>
    <w:p w14:paraId="2D562804" w14:textId="6BC29790" w:rsidR="00B27639" w:rsidRPr="00FD1DF7" w:rsidRDefault="00B27639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  <w:rPr>
          <w:lang w:val="lt-LT"/>
        </w:rPr>
      </w:pPr>
      <w:r w:rsidRPr="00FD1DF7">
        <w:rPr>
          <w:lang w:val="lt-LT"/>
        </w:rPr>
        <w:t>pagaminimo data;</w:t>
      </w:r>
    </w:p>
    <w:p w14:paraId="5D49E8DC" w14:textId="308B474E" w:rsidR="00B27639" w:rsidRPr="00FD1DF7" w:rsidRDefault="00B27639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  <w:rPr>
          <w:lang w:val="lt-LT"/>
        </w:rPr>
      </w:pPr>
      <w:r w:rsidRPr="00FD1DF7">
        <w:rPr>
          <w:lang w:val="lt-LT"/>
        </w:rPr>
        <w:t>NSN kodas.</w:t>
      </w:r>
    </w:p>
    <w:p w14:paraId="77771DBB" w14:textId="77777777" w:rsidR="00B27639" w:rsidRPr="00FD1DF7" w:rsidRDefault="00B27639" w:rsidP="00B27639">
      <w:pPr>
        <w:tabs>
          <w:tab w:val="left" w:pos="0"/>
          <w:tab w:val="left" w:pos="700"/>
        </w:tabs>
        <w:jc w:val="both"/>
        <w:rPr>
          <w:lang w:val="lt-LT"/>
        </w:rPr>
      </w:pPr>
      <w:r w:rsidRPr="00FD1DF7">
        <w:rPr>
          <w:lang w:val="lt-LT"/>
        </w:rPr>
        <w:tab/>
        <w:t>Ženklinimo rekvizitai turi būti pakankamo dydžio, kad būtų galima lengvai perskaityti ir suprasti pateikiamą informaciją.</w:t>
      </w:r>
    </w:p>
    <w:p w14:paraId="5B0A319D" w14:textId="2927D015" w:rsidR="008B156D" w:rsidRPr="004E3188" w:rsidRDefault="00B27639" w:rsidP="008B156D">
      <w:pPr>
        <w:numPr>
          <w:ilvl w:val="0"/>
          <w:numId w:val="1"/>
        </w:numPr>
        <w:jc w:val="both"/>
      </w:pPr>
      <w:r w:rsidRPr="00FD1DF7">
        <w:rPr>
          <w:lang w:val="lt-LT"/>
        </w:rPr>
        <w:t xml:space="preserve">Bendroji pakuotė </w:t>
      </w:r>
      <w:r w:rsidR="00FD284A">
        <w:rPr>
          <w:lang w:val="lt-LT"/>
        </w:rPr>
        <w:t xml:space="preserve">– </w:t>
      </w:r>
      <w:r w:rsidR="008B156D">
        <w:rPr>
          <w:lang w:val="lt-LT"/>
        </w:rPr>
        <w:t xml:space="preserve">dėžutės dedamos </w:t>
      </w:r>
      <w:r w:rsidRPr="00FD1DF7">
        <w:rPr>
          <w:lang w:val="lt-LT"/>
        </w:rPr>
        <w:t xml:space="preserve">į </w:t>
      </w:r>
      <w:r w:rsidRPr="00FD1DF7">
        <w:rPr>
          <w:bCs/>
          <w:lang w:val="lt-LT"/>
        </w:rPr>
        <w:t>tvirtas (</w:t>
      </w:r>
      <w:r w:rsidRPr="00FD1DF7">
        <w:rPr>
          <w:lang w:val="lt-LT"/>
        </w:rPr>
        <w:t xml:space="preserve">atsparias ilgam sandėliavimui ir daugkartiniams </w:t>
      </w:r>
      <w:proofErr w:type="spellStart"/>
      <w:r w:rsidRPr="00FD1DF7">
        <w:rPr>
          <w:lang w:val="lt-LT"/>
        </w:rPr>
        <w:t>pervežimams</w:t>
      </w:r>
      <w:proofErr w:type="spellEnd"/>
      <w:r w:rsidRPr="00FD1DF7">
        <w:rPr>
          <w:lang w:val="lt-LT"/>
        </w:rPr>
        <w:t xml:space="preserve">) kartonines dėžes. </w:t>
      </w:r>
      <w:proofErr w:type="spellStart"/>
      <w:r w:rsidR="008B156D" w:rsidRPr="004E3188">
        <w:t>Kartoninės</w:t>
      </w:r>
      <w:proofErr w:type="spellEnd"/>
      <w:r w:rsidR="008B156D" w:rsidRPr="004E3188">
        <w:t xml:space="preserve"> </w:t>
      </w:r>
      <w:proofErr w:type="spellStart"/>
      <w:r w:rsidR="008B156D" w:rsidRPr="004E3188">
        <w:t>dėžės</w:t>
      </w:r>
      <w:proofErr w:type="spellEnd"/>
      <w:r w:rsidR="008B156D" w:rsidRPr="004E3188">
        <w:t xml:space="preserve"> </w:t>
      </w:r>
      <w:proofErr w:type="spellStart"/>
      <w:r w:rsidR="008B156D" w:rsidRPr="004E3188">
        <w:t>su</w:t>
      </w:r>
      <w:proofErr w:type="spellEnd"/>
      <w:r w:rsidR="008B156D" w:rsidRPr="004E3188">
        <w:t xml:space="preserve"> </w:t>
      </w:r>
      <w:proofErr w:type="spellStart"/>
      <w:r w:rsidR="008B156D" w:rsidRPr="004E3188">
        <w:t>gaminiais</w:t>
      </w:r>
      <w:proofErr w:type="spellEnd"/>
      <w:r w:rsidR="008B156D" w:rsidRPr="004E3188">
        <w:t xml:space="preserve"> </w:t>
      </w:r>
      <w:proofErr w:type="spellStart"/>
      <w:r w:rsidR="008B156D" w:rsidRPr="004E3188">
        <w:t>svoris</w:t>
      </w:r>
      <w:proofErr w:type="spellEnd"/>
      <w:r w:rsidR="008B156D" w:rsidRPr="004E3188">
        <w:t xml:space="preserve"> </w:t>
      </w:r>
      <w:proofErr w:type="spellStart"/>
      <w:r w:rsidR="008B156D" w:rsidRPr="004E3188">
        <w:t>turi</w:t>
      </w:r>
      <w:proofErr w:type="spellEnd"/>
      <w:r w:rsidR="008B156D" w:rsidRPr="004E3188">
        <w:t xml:space="preserve"> </w:t>
      </w:r>
      <w:proofErr w:type="spellStart"/>
      <w:r w:rsidR="008B156D" w:rsidRPr="004E3188">
        <w:t>būti</w:t>
      </w:r>
      <w:proofErr w:type="spellEnd"/>
      <w:r w:rsidR="008B156D" w:rsidRPr="004E3188">
        <w:t xml:space="preserve"> ne </w:t>
      </w:r>
      <w:proofErr w:type="spellStart"/>
      <w:r w:rsidR="008B156D" w:rsidRPr="004E3188">
        <w:t>didesnis</w:t>
      </w:r>
      <w:proofErr w:type="spellEnd"/>
      <w:r w:rsidR="008B156D" w:rsidRPr="004E3188">
        <w:t xml:space="preserve"> </w:t>
      </w:r>
      <w:proofErr w:type="spellStart"/>
      <w:r w:rsidR="008B156D" w:rsidRPr="004E3188">
        <w:t>kaip</w:t>
      </w:r>
      <w:proofErr w:type="spellEnd"/>
      <w:r w:rsidR="008B156D" w:rsidRPr="004E3188">
        <w:t xml:space="preserve"> 10 kg. </w:t>
      </w:r>
      <w:proofErr w:type="spellStart"/>
      <w:r w:rsidR="008B156D" w:rsidRPr="004E3188">
        <w:t>Kiekviena</w:t>
      </w:r>
      <w:proofErr w:type="spellEnd"/>
      <w:r w:rsidR="008B156D" w:rsidRPr="004E3188">
        <w:t xml:space="preserve"> </w:t>
      </w:r>
      <w:proofErr w:type="spellStart"/>
      <w:r w:rsidR="008B156D" w:rsidRPr="004E3188">
        <w:t>kartoninė</w:t>
      </w:r>
      <w:proofErr w:type="spellEnd"/>
      <w:r w:rsidR="008B156D" w:rsidRPr="004E3188">
        <w:t xml:space="preserve"> </w:t>
      </w:r>
      <w:proofErr w:type="spellStart"/>
      <w:r w:rsidR="008B156D" w:rsidRPr="004E3188">
        <w:t>dėžė</w:t>
      </w:r>
      <w:proofErr w:type="spellEnd"/>
      <w:r w:rsidR="008B156D" w:rsidRPr="004E3188">
        <w:t xml:space="preserve"> </w:t>
      </w:r>
      <w:proofErr w:type="spellStart"/>
      <w:r w:rsidR="008B156D" w:rsidRPr="004E3188">
        <w:t>turi</w:t>
      </w:r>
      <w:proofErr w:type="spellEnd"/>
      <w:r w:rsidR="008B156D" w:rsidRPr="004E3188">
        <w:t xml:space="preserve"> </w:t>
      </w:r>
      <w:proofErr w:type="spellStart"/>
      <w:r w:rsidR="008B156D" w:rsidRPr="004E3188">
        <w:t>būti</w:t>
      </w:r>
      <w:proofErr w:type="spellEnd"/>
      <w:r w:rsidR="008B156D" w:rsidRPr="004E3188">
        <w:t xml:space="preserve"> </w:t>
      </w:r>
      <w:proofErr w:type="spellStart"/>
      <w:r w:rsidR="008B156D" w:rsidRPr="004E3188">
        <w:t>paženklinta</w:t>
      </w:r>
      <w:proofErr w:type="spellEnd"/>
      <w:r w:rsidR="008B156D" w:rsidRPr="004E3188">
        <w:t xml:space="preserve"> </w:t>
      </w:r>
      <w:proofErr w:type="spellStart"/>
      <w:r w:rsidR="008B156D" w:rsidRPr="004E3188">
        <w:t>tokiais</w:t>
      </w:r>
      <w:proofErr w:type="spellEnd"/>
      <w:r w:rsidR="008B156D" w:rsidRPr="004E3188">
        <w:t xml:space="preserve"> </w:t>
      </w:r>
      <w:proofErr w:type="spellStart"/>
      <w:r w:rsidR="008B156D" w:rsidRPr="004E3188">
        <w:t>ryškiai</w:t>
      </w:r>
      <w:proofErr w:type="spellEnd"/>
      <w:r w:rsidR="008B156D" w:rsidRPr="004E3188">
        <w:t xml:space="preserve"> </w:t>
      </w:r>
      <w:proofErr w:type="spellStart"/>
      <w:r w:rsidR="008B156D" w:rsidRPr="004E3188">
        <w:t>matomais</w:t>
      </w:r>
      <w:proofErr w:type="spellEnd"/>
      <w:r w:rsidR="008B156D" w:rsidRPr="004E3188">
        <w:t xml:space="preserve"> </w:t>
      </w:r>
      <w:proofErr w:type="spellStart"/>
      <w:r w:rsidR="008B156D" w:rsidRPr="004E3188">
        <w:t>rekvizitais</w:t>
      </w:r>
      <w:proofErr w:type="spellEnd"/>
      <w:r w:rsidR="008B156D" w:rsidRPr="004E3188">
        <w:t>:</w:t>
      </w:r>
    </w:p>
    <w:p w14:paraId="311E3106" w14:textId="747032C6" w:rsidR="008B156D" w:rsidRPr="004E3188" w:rsidRDefault="008B156D" w:rsidP="00AB19AE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>
        <w:t>tiekėjo</w:t>
      </w:r>
      <w:proofErr w:type="spellEnd"/>
      <w:r w:rsidRPr="004E3188">
        <w:t xml:space="preserve"> </w:t>
      </w:r>
      <w:proofErr w:type="spellStart"/>
      <w:r w:rsidRPr="004E3188">
        <w:t>pavadinimas</w:t>
      </w:r>
      <w:proofErr w:type="spellEnd"/>
      <w:r w:rsidRPr="004E3188">
        <w:t xml:space="preserve"> </w:t>
      </w:r>
      <w:proofErr w:type="spellStart"/>
      <w:r w:rsidRPr="004E3188">
        <w:t>arba</w:t>
      </w:r>
      <w:proofErr w:type="spellEnd"/>
      <w:r w:rsidRPr="004E3188">
        <w:t xml:space="preserve"> </w:t>
      </w:r>
      <w:proofErr w:type="spellStart"/>
      <w:r w:rsidRPr="004E3188">
        <w:t>prekės</w:t>
      </w:r>
      <w:proofErr w:type="spellEnd"/>
      <w:r w:rsidRPr="004E3188">
        <w:t xml:space="preserve"> </w:t>
      </w:r>
      <w:proofErr w:type="spellStart"/>
      <w:r w:rsidRPr="004E3188">
        <w:t>ženklas</w:t>
      </w:r>
      <w:proofErr w:type="spellEnd"/>
      <w:r w:rsidRPr="004E3188">
        <w:t>;</w:t>
      </w:r>
    </w:p>
    <w:p w14:paraId="6E4B769D" w14:textId="77777777" w:rsidR="008B156D" w:rsidRPr="004E3188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 w:rsidRPr="004E3188">
        <w:t>gamintojo</w:t>
      </w:r>
      <w:proofErr w:type="spellEnd"/>
      <w:r w:rsidRPr="004E3188">
        <w:t xml:space="preserve"> </w:t>
      </w:r>
      <w:proofErr w:type="spellStart"/>
      <w:r w:rsidRPr="004E3188">
        <w:t>pavadinimas</w:t>
      </w:r>
      <w:proofErr w:type="spellEnd"/>
      <w:r w:rsidRPr="004E3188">
        <w:t xml:space="preserve"> </w:t>
      </w:r>
      <w:proofErr w:type="spellStart"/>
      <w:r w:rsidRPr="004E3188">
        <w:t>arba</w:t>
      </w:r>
      <w:proofErr w:type="spellEnd"/>
      <w:r w:rsidRPr="004E3188">
        <w:t xml:space="preserve"> </w:t>
      </w:r>
      <w:proofErr w:type="spellStart"/>
      <w:r w:rsidRPr="004E3188">
        <w:t>prekės</w:t>
      </w:r>
      <w:proofErr w:type="spellEnd"/>
      <w:r w:rsidRPr="004E3188">
        <w:t xml:space="preserve"> </w:t>
      </w:r>
      <w:proofErr w:type="spellStart"/>
      <w:r w:rsidRPr="004E3188">
        <w:t>ženklas</w:t>
      </w:r>
      <w:proofErr w:type="spellEnd"/>
      <w:r w:rsidRPr="004E3188">
        <w:t xml:space="preserve"> (</w:t>
      </w:r>
      <w:proofErr w:type="spellStart"/>
      <w:r w:rsidRPr="004E3188">
        <w:t>jei</w:t>
      </w:r>
      <w:proofErr w:type="spellEnd"/>
      <w:r w:rsidRPr="004E3188">
        <w:t xml:space="preserve"> </w:t>
      </w:r>
      <w:proofErr w:type="spellStart"/>
      <w:r w:rsidRPr="004E3188">
        <w:t>nesutampa</w:t>
      </w:r>
      <w:proofErr w:type="spellEnd"/>
      <w:r w:rsidRPr="004E3188">
        <w:t xml:space="preserve"> </w:t>
      </w:r>
      <w:proofErr w:type="spellStart"/>
      <w:r w:rsidRPr="004E3188">
        <w:t>su</w:t>
      </w:r>
      <w:proofErr w:type="spellEnd"/>
      <w:r w:rsidRPr="004E3188">
        <w:t xml:space="preserve"> </w:t>
      </w:r>
      <w:proofErr w:type="spellStart"/>
      <w:r>
        <w:t>tiekėju</w:t>
      </w:r>
      <w:proofErr w:type="spellEnd"/>
      <w:r w:rsidRPr="004E3188">
        <w:t>);</w:t>
      </w:r>
    </w:p>
    <w:p w14:paraId="60125128" w14:textId="77777777" w:rsidR="008B156D" w:rsidRPr="004E3188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 w:rsidRPr="004E3188">
        <w:t>importuotoms</w:t>
      </w:r>
      <w:proofErr w:type="spellEnd"/>
      <w:r w:rsidRPr="004E3188">
        <w:t xml:space="preserve"> </w:t>
      </w:r>
      <w:proofErr w:type="spellStart"/>
      <w:r w:rsidRPr="004E3188">
        <w:t>prekėms</w:t>
      </w:r>
      <w:proofErr w:type="spellEnd"/>
      <w:r w:rsidRPr="004E3188">
        <w:t xml:space="preserve"> </w:t>
      </w:r>
      <w:proofErr w:type="spellStart"/>
      <w:r w:rsidRPr="004E3188">
        <w:t>nurodyti</w:t>
      </w:r>
      <w:proofErr w:type="spellEnd"/>
      <w:r w:rsidRPr="004E3188">
        <w:t xml:space="preserve"> </w:t>
      </w:r>
      <w:proofErr w:type="spellStart"/>
      <w:r w:rsidRPr="004E3188">
        <w:t>prekės</w:t>
      </w:r>
      <w:proofErr w:type="spellEnd"/>
      <w:r w:rsidRPr="004E3188">
        <w:t xml:space="preserve"> </w:t>
      </w:r>
      <w:proofErr w:type="spellStart"/>
      <w:r w:rsidRPr="004E3188">
        <w:t>kilmės</w:t>
      </w:r>
      <w:proofErr w:type="spellEnd"/>
      <w:r w:rsidRPr="004E3188">
        <w:t xml:space="preserve"> </w:t>
      </w:r>
      <w:proofErr w:type="spellStart"/>
      <w:r w:rsidRPr="004E3188">
        <w:t>šalį</w:t>
      </w:r>
      <w:proofErr w:type="spellEnd"/>
      <w:r w:rsidRPr="004E3188">
        <w:t xml:space="preserve">, </w:t>
      </w:r>
      <w:proofErr w:type="spellStart"/>
      <w:r w:rsidRPr="004E3188">
        <w:t>jeigu</w:t>
      </w:r>
      <w:proofErr w:type="spellEnd"/>
      <w:r w:rsidRPr="004E3188">
        <w:t xml:space="preserve"> </w:t>
      </w:r>
      <w:proofErr w:type="spellStart"/>
      <w:r w:rsidRPr="004E3188">
        <w:t>ji</w:t>
      </w:r>
      <w:proofErr w:type="spellEnd"/>
      <w:r w:rsidRPr="004E3188">
        <w:t xml:space="preserve"> </w:t>
      </w:r>
      <w:proofErr w:type="spellStart"/>
      <w:r w:rsidRPr="004E3188">
        <w:t>nesutampa</w:t>
      </w:r>
      <w:proofErr w:type="spellEnd"/>
      <w:r w:rsidRPr="004E3188">
        <w:t xml:space="preserve"> </w:t>
      </w:r>
      <w:proofErr w:type="spellStart"/>
      <w:r w:rsidRPr="004E3188">
        <w:t>su</w:t>
      </w:r>
      <w:proofErr w:type="spellEnd"/>
      <w:r w:rsidRPr="004E3188">
        <w:t xml:space="preserve"> </w:t>
      </w:r>
      <w:proofErr w:type="spellStart"/>
      <w:r w:rsidRPr="004E3188">
        <w:t>šalimi</w:t>
      </w:r>
      <w:proofErr w:type="spellEnd"/>
      <w:r w:rsidRPr="004E3188">
        <w:t xml:space="preserve">, </w:t>
      </w:r>
      <w:proofErr w:type="spellStart"/>
      <w:r w:rsidRPr="004E3188">
        <w:t>kurioje</w:t>
      </w:r>
      <w:proofErr w:type="spellEnd"/>
      <w:r w:rsidRPr="004E3188">
        <w:t xml:space="preserve"> </w:t>
      </w:r>
      <w:proofErr w:type="spellStart"/>
      <w:r w:rsidRPr="004E3188">
        <w:t>registruota</w:t>
      </w:r>
      <w:proofErr w:type="spellEnd"/>
      <w:r w:rsidRPr="004E3188">
        <w:t xml:space="preserve"> </w:t>
      </w:r>
      <w:proofErr w:type="spellStart"/>
      <w:r w:rsidRPr="004E3188">
        <w:t>gamintojo</w:t>
      </w:r>
      <w:proofErr w:type="spellEnd"/>
      <w:r w:rsidRPr="004E3188">
        <w:t xml:space="preserve"> </w:t>
      </w:r>
      <w:proofErr w:type="spellStart"/>
      <w:r w:rsidRPr="004E3188">
        <w:t>buveinė</w:t>
      </w:r>
      <w:proofErr w:type="spellEnd"/>
      <w:r w:rsidRPr="004E3188">
        <w:t>;</w:t>
      </w:r>
    </w:p>
    <w:p w14:paraId="39C04991" w14:textId="77777777" w:rsidR="008B156D" w:rsidRPr="004E3188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 w:rsidRPr="004E3188">
        <w:t>gaminio</w:t>
      </w:r>
      <w:proofErr w:type="spellEnd"/>
      <w:r w:rsidRPr="004E3188">
        <w:t xml:space="preserve"> </w:t>
      </w:r>
      <w:proofErr w:type="spellStart"/>
      <w:r w:rsidRPr="004E3188">
        <w:t>pavadinimas</w:t>
      </w:r>
      <w:proofErr w:type="spellEnd"/>
      <w:r w:rsidRPr="004E3188">
        <w:t>;</w:t>
      </w:r>
    </w:p>
    <w:p w14:paraId="20D317F2" w14:textId="77777777" w:rsidR="008B156D" w:rsidRPr="004E3188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 w:rsidRPr="004E3188">
        <w:t>kiekis</w:t>
      </w:r>
      <w:proofErr w:type="spellEnd"/>
      <w:r w:rsidRPr="004E3188">
        <w:t>;</w:t>
      </w:r>
    </w:p>
    <w:p w14:paraId="5D4A5157" w14:textId="77777777" w:rsidR="008B156D" w:rsidRPr="004E3188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 w:rsidRPr="004E3188">
        <w:t>sutarties</w:t>
      </w:r>
      <w:proofErr w:type="spellEnd"/>
      <w:r w:rsidRPr="004E3188">
        <w:t xml:space="preserve"> data </w:t>
      </w:r>
      <w:proofErr w:type="spellStart"/>
      <w:r w:rsidRPr="004E3188">
        <w:t>ir</w:t>
      </w:r>
      <w:proofErr w:type="spellEnd"/>
      <w:r w:rsidRPr="004E3188">
        <w:t xml:space="preserve"> </w:t>
      </w:r>
      <w:proofErr w:type="spellStart"/>
      <w:r w:rsidRPr="004E3188">
        <w:t>numeris</w:t>
      </w:r>
      <w:proofErr w:type="spellEnd"/>
      <w:r w:rsidRPr="004E3188">
        <w:t>;</w:t>
      </w:r>
    </w:p>
    <w:p w14:paraId="071F59D0" w14:textId="77777777" w:rsidR="008B156D" w:rsidRPr="004E3188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 w:rsidRPr="004E3188">
        <w:t>prekės</w:t>
      </w:r>
      <w:proofErr w:type="spellEnd"/>
      <w:r w:rsidRPr="004E3188">
        <w:t xml:space="preserve"> </w:t>
      </w:r>
      <w:proofErr w:type="spellStart"/>
      <w:r w:rsidRPr="004E3188">
        <w:t>partijos</w:t>
      </w:r>
      <w:proofErr w:type="spellEnd"/>
      <w:r w:rsidRPr="004E3188">
        <w:t xml:space="preserve"> </w:t>
      </w:r>
      <w:proofErr w:type="spellStart"/>
      <w:r w:rsidRPr="004E3188">
        <w:t>ir</w:t>
      </w:r>
      <w:proofErr w:type="spellEnd"/>
      <w:r w:rsidRPr="004E3188">
        <w:t xml:space="preserve"> </w:t>
      </w:r>
      <w:proofErr w:type="spellStart"/>
      <w:r w:rsidRPr="004E3188">
        <w:t>siuntos</w:t>
      </w:r>
      <w:proofErr w:type="spellEnd"/>
      <w:r w:rsidRPr="004E3188">
        <w:t xml:space="preserve"> </w:t>
      </w:r>
      <w:proofErr w:type="spellStart"/>
      <w:r w:rsidRPr="004E3188">
        <w:t>indeksas</w:t>
      </w:r>
      <w:proofErr w:type="spellEnd"/>
      <w:r w:rsidRPr="004E3188">
        <w:t>;</w:t>
      </w:r>
    </w:p>
    <w:p w14:paraId="58C546EB" w14:textId="77777777" w:rsidR="008B156D" w:rsidRPr="004E3188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 w:rsidRPr="004E3188">
        <w:t>pagaminimo</w:t>
      </w:r>
      <w:proofErr w:type="spellEnd"/>
      <w:r w:rsidRPr="004E3188">
        <w:t xml:space="preserve"> data;</w:t>
      </w:r>
    </w:p>
    <w:p w14:paraId="233E94B7" w14:textId="77777777" w:rsidR="008B156D" w:rsidRPr="004E3188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r w:rsidRPr="004E3188">
        <w:t xml:space="preserve">NSN </w:t>
      </w:r>
      <w:proofErr w:type="spellStart"/>
      <w:r w:rsidRPr="004E3188">
        <w:t>kodas</w:t>
      </w:r>
      <w:proofErr w:type="spellEnd"/>
      <w:r w:rsidRPr="004E3188">
        <w:t>.</w:t>
      </w:r>
    </w:p>
    <w:p w14:paraId="32DC072C" w14:textId="77777777" w:rsidR="008B156D" w:rsidRDefault="008B156D" w:rsidP="008B156D">
      <w:pPr>
        <w:numPr>
          <w:ilvl w:val="0"/>
          <w:numId w:val="1"/>
        </w:numPr>
        <w:jc w:val="both"/>
      </w:pPr>
      <w:proofErr w:type="spellStart"/>
      <w:r>
        <w:t>Kartoninės</w:t>
      </w:r>
      <w:proofErr w:type="spellEnd"/>
      <w:r>
        <w:t xml:space="preserve"> </w:t>
      </w:r>
      <w:proofErr w:type="spellStart"/>
      <w:r>
        <w:t>dėžės</w:t>
      </w:r>
      <w:proofErr w:type="spellEnd"/>
      <w:r>
        <w:t xml:space="preserve"> </w:t>
      </w:r>
      <w:proofErr w:type="spellStart"/>
      <w:r>
        <w:t>pristatomos</w:t>
      </w:r>
      <w:proofErr w:type="spellEnd"/>
      <w:r>
        <w:t xml:space="preserve"> </w:t>
      </w:r>
      <w:proofErr w:type="spellStart"/>
      <w:r>
        <w:t>sudėtos</w:t>
      </w:r>
      <w:proofErr w:type="spellEnd"/>
      <w:r>
        <w:t xml:space="preserve"> </w:t>
      </w:r>
      <w:proofErr w:type="spellStart"/>
      <w:r>
        <w:t>ant</w:t>
      </w:r>
      <w:proofErr w:type="spellEnd"/>
      <w:r>
        <w:t xml:space="preserve"> </w:t>
      </w:r>
      <w:proofErr w:type="spellStart"/>
      <w:r>
        <w:t>standartinio</w:t>
      </w:r>
      <w:proofErr w:type="spellEnd"/>
      <w:r>
        <w:t xml:space="preserve"> </w:t>
      </w:r>
      <w:proofErr w:type="spellStart"/>
      <w:r>
        <w:t>dydžio</w:t>
      </w:r>
      <w:proofErr w:type="spellEnd"/>
      <w:r>
        <w:t xml:space="preserve"> (120 X 80 cm) euro </w:t>
      </w:r>
      <w:proofErr w:type="spellStart"/>
      <w:r>
        <w:t>padėklų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europaletės</w:t>
      </w:r>
      <w:proofErr w:type="spellEnd"/>
      <w:r>
        <w:t xml:space="preserve">). </w:t>
      </w:r>
      <w:proofErr w:type="spellStart"/>
      <w:r>
        <w:t>Europaletės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paruoštos</w:t>
      </w:r>
      <w:proofErr w:type="spellEnd"/>
      <w:r>
        <w:t xml:space="preserve"> </w:t>
      </w:r>
      <w:proofErr w:type="spellStart"/>
      <w:r>
        <w:t>transportavimui</w:t>
      </w:r>
      <w:proofErr w:type="spellEnd"/>
      <w:r>
        <w:t xml:space="preserve">: </w:t>
      </w:r>
      <w:proofErr w:type="spellStart"/>
      <w:r>
        <w:t>kartoninės</w:t>
      </w:r>
      <w:proofErr w:type="spellEnd"/>
      <w:r>
        <w:t xml:space="preserve"> </w:t>
      </w:r>
      <w:proofErr w:type="spellStart"/>
      <w:r>
        <w:t>dėžės</w:t>
      </w:r>
      <w:proofErr w:type="spellEnd"/>
      <w:r>
        <w:t xml:space="preserve"> </w:t>
      </w:r>
      <w:proofErr w:type="spellStart"/>
      <w:r>
        <w:t>transportavimo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išlaikyti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pradinę</w:t>
      </w:r>
      <w:proofErr w:type="spellEnd"/>
      <w:r>
        <w:t xml:space="preserve"> </w:t>
      </w:r>
      <w:proofErr w:type="spellStart"/>
      <w:r>
        <w:t>formą</w:t>
      </w:r>
      <w:proofErr w:type="spellEnd"/>
      <w:r>
        <w:t xml:space="preserve"> (</w:t>
      </w:r>
      <w:proofErr w:type="spellStart"/>
      <w:r>
        <w:t>nebūtų</w:t>
      </w:r>
      <w:proofErr w:type="spellEnd"/>
      <w:r>
        <w:t xml:space="preserve"> </w:t>
      </w:r>
      <w:proofErr w:type="spellStart"/>
      <w:r>
        <w:t>suspaustos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kitaip</w:t>
      </w:r>
      <w:proofErr w:type="spellEnd"/>
      <w:r>
        <w:t xml:space="preserve"> </w:t>
      </w:r>
      <w:proofErr w:type="spellStart"/>
      <w:r>
        <w:t>mechaniškai</w:t>
      </w:r>
      <w:proofErr w:type="spellEnd"/>
      <w:r>
        <w:t xml:space="preserve"> </w:t>
      </w:r>
      <w:proofErr w:type="spellStart"/>
      <w:r>
        <w:t>pažeistos</w:t>
      </w:r>
      <w:proofErr w:type="spellEnd"/>
      <w:r>
        <w:t xml:space="preserve">),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sudėtos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rPr>
          <w:shd w:val="clear" w:color="auto" w:fill="FFFFFF"/>
        </w:rPr>
        <w:t>neišsikištų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europaletės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ribų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tolygiai</w:t>
      </w:r>
      <w:proofErr w:type="spellEnd"/>
      <w:r>
        <w:t xml:space="preserve"> </w:t>
      </w:r>
      <w:proofErr w:type="spellStart"/>
      <w:r>
        <w:t>užpildytų</w:t>
      </w:r>
      <w:proofErr w:type="spellEnd"/>
      <w:r>
        <w:t xml:space="preserve"> </w:t>
      </w:r>
      <w:proofErr w:type="spellStart"/>
      <w:r>
        <w:t>europaletės</w:t>
      </w:r>
      <w:proofErr w:type="spellEnd"/>
      <w:r>
        <w:t xml:space="preserve"> </w:t>
      </w:r>
      <w:proofErr w:type="spellStart"/>
      <w:r>
        <w:t>plotą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Europ</w:t>
      </w:r>
      <w:r>
        <w:t>aletė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tvirtai</w:t>
      </w:r>
      <w:proofErr w:type="spellEnd"/>
      <w:r>
        <w:t xml:space="preserve"> </w:t>
      </w:r>
      <w:proofErr w:type="spellStart"/>
      <w:r>
        <w:t>apvyniota</w:t>
      </w:r>
      <w:proofErr w:type="spellEnd"/>
      <w:r>
        <w:t xml:space="preserve"> </w:t>
      </w:r>
      <w:proofErr w:type="spellStart"/>
      <w:r>
        <w:t>pakavimo</w:t>
      </w:r>
      <w:proofErr w:type="spellEnd"/>
      <w:r>
        <w:t xml:space="preserve"> </w:t>
      </w:r>
      <w:proofErr w:type="spellStart"/>
      <w:r>
        <w:t>plėvele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transportavimo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kartoninių</w:t>
      </w:r>
      <w:proofErr w:type="spellEnd"/>
      <w:r>
        <w:t xml:space="preserve"> </w:t>
      </w:r>
      <w:proofErr w:type="spellStart"/>
      <w:r>
        <w:t>dėžių</w:t>
      </w:r>
      <w:proofErr w:type="spellEnd"/>
      <w:r>
        <w:t xml:space="preserve"> </w:t>
      </w:r>
      <w:proofErr w:type="spellStart"/>
      <w:r>
        <w:t>nebūtų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atskirti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europaletės</w:t>
      </w:r>
      <w:proofErr w:type="spellEnd"/>
      <w:r>
        <w:t xml:space="preserve">.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kiekvienos</w:t>
      </w:r>
      <w:proofErr w:type="spellEnd"/>
      <w:r>
        <w:t xml:space="preserve"> </w:t>
      </w:r>
      <w:proofErr w:type="spellStart"/>
      <w:r>
        <w:t>europaletės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pritvirtintas</w:t>
      </w:r>
      <w:proofErr w:type="spellEnd"/>
      <w:r>
        <w:t xml:space="preserve"> ne </w:t>
      </w:r>
      <w:proofErr w:type="spellStart"/>
      <w:r>
        <w:t>mažesnio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A4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lapas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tokiais</w:t>
      </w:r>
      <w:proofErr w:type="spellEnd"/>
      <w:r>
        <w:t xml:space="preserve"> </w:t>
      </w:r>
      <w:proofErr w:type="spellStart"/>
      <w:r>
        <w:t>ryškiai</w:t>
      </w:r>
      <w:proofErr w:type="spellEnd"/>
      <w:r>
        <w:t xml:space="preserve"> </w:t>
      </w:r>
      <w:proofErr w:type="spellStart"/>
      <w:r>
        <w:t>matomais</w:t>
      </w:r>
      <w:proofErr w:type="spellEnd"/>
      <w:r>
        <w:t xml:space="preserve"> </w:t>
      </w:r>
      <w:proofErr w:type="spellStart"/>
      <w:r>
        <w:t>rekvizitais</w:t>
      </w:r>
      <w:proofErr w:type="spellEnd"/>
      <w:r>
        <w:t>:</w:t>
      </w:r>
    </w:p>
    <w:p w14:paraId="3E0C02E5" w14:textId="77777777" w:rsidR="008B156D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>
        <w:lastRenderedPageBreak/>
        <w:t>tiekėjo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>;</w:t>
      </w:r>
    </w:p>
    <w:p w14:paraId="6DD7D1D9" w14:textId="77777777" w:rsidR="008B156D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>
        <w:t>gamintojo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ženklas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nesutampa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tiekėju</w:t>
      </w:r>
      <w:proofErr w:type="spellEnd"/>
      <w:r>
        <w:t>);</w:t>
      </w:r>
    </w:p>
    <w:p w14:paraId="0B9A56B0" w14:textId="77777777" w:rsidR="008B156D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>
        <w:t>gaminio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 xml:space="preserve"> (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gaminio</w:t>
      </w:r>
      <w:proofErr w:type="spellEnd"/>
      <w:r>
        <w:t xml:space="preserve"> </w:t>
      </w:r>
      <w:proofErr w:type="spellStart"/>
      <w:r>
        <w:t>pavadinimą</w:t>
      </w:r>
      <w:proofErr w:type="spellEnd"/>
      <w:r>
        <w:t>);</w:t>
      </w:r>
    </w:p>
    <w:p w14:paraId="3AFC644C" w14:textId="77777777" w:rsidR="008B156D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>
        <w:t>dydis</w:t>
      </w:r>
      <w:proofErr w:type="spellEnd"/>
      <w:r>
        <w:t>;</w:t>
      </w:r>
    </w:p>
    <w:p w14:paraId="7FA08096" w14:textId="77777777" w:rsidR="008B156D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>
        <w:t>dėžių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>;</w:t>
      </w:r>
    </w:p>
    <w:p w14:paraId="4B71F78C" w14:textId="77777777" w:rsidR="008B156D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>
        <w:t>gaminių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vienoje</w:t>
      </w:r>
      <w:proofErr w:type="spellEnd"/>
      <w:r>
        <w:t xml:space="preserve"> </w:t>
      </w:r>
      <w:proofErr w:type="spellStart"/>
      <w:r>
        <w:t>dėžėje</w:t>
      </w:r>
      <w:proofErr w:type="spellEnd"/>
      <w:r>
        <w:t>;</w:t>
      </w:r>
    </w:p>
    <w:p w14:paraId="6E3295D7" w14:textId="77777777" w:rsidR="008B156D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r>
        <w:t>bendras</w:t>
      </w:r>
      <w:proofErr w:type="spellEnd"/>
      <w:r>
        <w:t xml:space="preserve"> </w:t>
      </w:r>
      <w:proofErr w:type="spellStart"/>
      <w:r>
        <w:t>gaminių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europaletėje</w:t>
      </w:r>
      <w:proofErr w:type="spellEnd"/>
      <w:r>
        <w:t>;</w:t>
      </w:r>
    </w:p>
    <w:p w14:paraId="25AB4D19" w14:textId="77777777" w:rsidR="008B156D" w:rsidRDefault="008B156D" w:rsidP="008B156D">
      <w:pPr>
        <w:numPr>
          <w:ilvl w:val="0"/>
          <w:numId w:val="2"/>
        </w:numPr>
        <w:tabs>
          <w:tab w:val="clear" w:pos="2520"/>
          <w:tab w:val="num" w:pos="0"/>
        </w:tabs>
        <w:ind w:left="0" w:firstLine="567"/>
        <w:jc w:val="both"/>
      </w:pPr>
      <w:proofErr w:type="spellStart"/>
      <w:proofErr w:type="gramStart"/>
      <w:r>
        <w:t>kita</w:t>
      </w:r>
      <w:proofErr w:type="spellEnd"/>
      <w:proofErr w:type="gramEnd"/>
      <w:r>
        <w:t xml:space="preserve"> </w:t>
      </w:r>
      <w:proofErr w:type="spellStart"/>
      <w:r>
        <w:t>informacija</w:t>
      </w:r>
      <w:proofErr w:type="spellEnd"/>
      <w:r>
        <w:t xml:space="preserve"> (</w:t>
      </w:r>
      <w:proofErr w:type="spellStart"/>
      <w:r>
        <w:t>nurodoma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poreikiui</w:t>
      </w:r>
      <w:proofErr w:type="spellEnd"/>
      <w:r>
        <w:t xml:space="preserve">). </w:t>
      </w:r>
    </w:p>
    <w:p w14:paraId="37B97274" w14:textId="77777777" w:rsidR="008B156D" w:rsidRPr="009F20F9" w:rsidRDefault="008B156D" w:rsidP="008B156D">
      <w:pPr>
        <w:numPr>
          <w:ilvl w:val="0"/>
          <w:numId w:val="1"/>
        </w:numPr>
        <w:jc w:val="both"/>
      </w:pPr>
      <w:proofErr w:type="spellStart"/>
      <w:r w:rsidRPr="00442B08">
        <w:t>Gaminio</w:t>
      </w:r>
      <w:proofErr w:type="spellEnd"/>
      <w:r w:rsidRPr="00442B08">
        <w:t xml:space="preserve"> </w:t>
      </w:r>
      <w:proofErr w:type="spellStart"/>
      <w:r w:rsidRPr="00442B08">
        <w:t>pakuotės</w:t>
      </w:r>
      <w:proofErr w:type="spellEnd"/>
      <w:r w:rsidRPr="00442B08">
        <w:t xml:space="preserve"> </w:t>
      </w:r>
      <w:proofErr w:type="spellStart"/>
      <w:r w:rsidRPr="00442B08">
        <w:t>turi</w:t>
      </w:r>
      <w:proofErr w:type="spellEnd"/>
      <w:r w:rsidRPr="00442B08">
        <w:t xml:space="preserve"> </w:t>
      </w:r>
      <w:proofErr w:type="spellStart"/>
      <w:r w:rsidRPr="00442B08">
        <w:t>atitikti</w:t>
      </w:r>
      <w:proofErr w:type="spellEnd"/>
      <w:r w:rsidRPr="00442B08">
        <w:t xml:space="preserve"> </w:t>
      </w:r>
      <w:proofErr w:type="spellStart"/>
      <w:r w:rsidRPr="00442B08">
        <w:t>minimalius</w:t>
      </w:r>
      <w:proofErr w:type="spellEnd"/>
      <w:r w:rsidRPr="00442B08">
        <w:t xml:space="preserve"> </w:t>
      </w:r>
      <w:proofErr w:type="spellStart"/>
      <w:r w:rsidRPr="00442B08">
        <w:t>aplinkos</w:t>
      </w:r>
      <w:proofErr w:type="spellEnd"/>
      <w:r w:rsidRPr="00442B08">
        <w:t xml:space="preserve"> </w:t>
      </w:r>
      <w:proofErr w:type="spellStart"/>
      <w:r w:rsidRPr="00442B08">
        <w:t>apsaugos</w:t>
      </w:r>
      <w:proofErr w:type="spellEnd"/>
      <w:r w:rsidRPr="00442B08">
        <w:t xml:space="preserve"> </w:t>
      </w:r>
      <w:proofErr w:type="spellStart"/>
      <w:r w:rsidRPr="00442B08">
        <w:t>kriterijus</w:t>
      </w:r>
      <w:proofErr w:type="spellEnd"/>
      <w:r w:rsidRPr="00442B08">
        <w:t xml:space="preserve">, </w:t>
      </w:r>
      <w:proofErr w:type="spellStart"/>
      <w:r w:rsidRPr="00442B08">
        <w:t>nurodytus</w:t>
      </w:r>
      <w:proofErr w:type="spellEnd"/>
      <w:r w:rsidRPr="00442B08">
        <w:t xml:space="preserve"> </w:t>
      </w:r>
      <w:proofErr w:type="spellStart"/>
      <w:r w:rsidRPr="00442B08">
        <w:rPr>
          <w:color w:val="000000"/>
        </w:rPr>
        <w:t>Lietuvos</w:t>
      </w:r>
      <w:proofErr w:type="spellEnd"/>
      <w:r w:rsidRPr="00442B08">
        <w:rPr>
          <w:color w:val="000000"/>
        </w:rPr>
        <w:t xml:space="preserve"> </w:t>
      </w:r>
      <w:proofErr w:type="spellStart"/>
      <w:r w:rsidRPr="00442B08">
        <w:rPr>
          <w:color w:val="000000"/>
        </w:rPr>
        <w:t>Respublikos</w:t>
      </w:r>
      <w:proofErr w:type="spellEnd"/>
      <w:r w:rsidRPr="00442B08">
        <w:rPr>
          <w:color w:val="000000"/>
        </w:rPr>
        <w:t xml:space="preserve"> </w:t>
      </w:r>
      <w:proofErr w:type="spellStart"/>
      <w:r w:rsidRPr="00442B08">
        <w:rPr>
          <w:color w:val="000000"/>
        </w:rPr>
        <w:t>aplinkos</w:t>
      </w:r>
      <w:proofErr w:type="spellEnd"/>
      <w:r w:rsidRPr="00442B08">
        <w:rPr>
          <w:color w:val="000000"/>
        </w:rPr>
        <w:t xml:space="preserve"> </w:t>
      </w:r>
      <w:proofErr w:type="spellStart"/>
      <w:r w:rsidRPr="00442B08">
        <w:rPr>
          <w:color w:val="000000"/>
        </w:rPr>
        <w:t>ministro</w:t>
      </w:r>
      <w:proofErr w:type="spellEnd"/>
      <w:r w:rsidRPr="00442B08">
        <w:rPr>
          <w:color w:val="000000"/>
        </w:rPr>
        <w:t xml:space="preserve"> 2011 m. </w:t>
      </w:r>
      <w:proofErr w:type="spellStart"/>
      <w:r w:rsidRPr="00442B08">
        <w:rPr>
          <w:color w:val="000000"/>
        </w:rPr>
        <w:t>birželio</w:t>
      </w:r>
      <w:proofErr w:type="spellEnd"/>
      <w:r w:rsidRPr="00442B08">
        <w:rPr>
          <w:color w:val="000000"/>
        </w:rPr>
        <w:t xml:space="preserve"> 28 </w:t>
      </w:r>
      <w:proofErr w:type="spellStart"/>
      <w:r w:rsidRPr="00442B08">
        <w:rPr>
          <w:color w:val="000000"/>
        </w:rPr>
        <w:t>įsakymu</w:t>
      </w:r>
      <w:proofErr w:type="spellEnd"/>
      <w:r w:rsidRPr="00442B08">
        <w:rPr>
          <w:color w:val="000000"/>
        </w:rPr>
        <w:t xml:space="preserve"> </w:t>
      </w:r>
      <w:proofErr w:type="spellStart"/>
      <w:r w:rsidRPr="00442B08">
        <w:rPr>
          <w:color w:val="000000"/>
        </w:rPr>
        <w:t>Nr</w:t>
      </w:r>
      <w:proofErr w:type="spellEnd"/>
      <w:r w:rsidRPr="00442B08">
        <w:rPr>
          <w:color w:val="000000"/>
        </w:rPr>
        <w:t xml:space="preserve">. D1-508 </w:t>
      </w:r>
      <w:proofErr w:type="spellStart"/>
      <w:r w:rsidRPr="00442B08">
        <w:rPr>
          <w:color w:val="000000"/>
        </w:rPr>
        <w:t>patvirtinto</w:t>
      </w:r>
      <w:proofErr w:type="spellEnd"/>
      <w:r w:rsidRPr="00442B08">
        <w:rPr>
          <w:color w:val="000000"/>
        </w:rPr>
        <w:t xml:space="preserve"> </w:t>
      </w:r>
      <w:r w:rsidRPr="00442B08">
        <w:t>„</w:t>
      </w:r>
      <w:proofErr w:type="spellStart"/>
      <w:r w:rsidRPr="00442B08">
        <w:t>Aplinkos</w:t>
      </w:r>
      <w:proofErr w:type="spellEnd"/>
      <w:r w:rsidRPr="00442B08">
        <w:t xml:space="preserve"> </w:t>
      </w:r>
      <w:proofErr w:type="spellStart"/>
      <w:r w:rsidRPr="00442B08">
        <w:t>apsaugos</w:t>
      </w:r>
      <w:proofErr w:type="spellEnd"/>
      <w:r w:rsidRPr="00442B08">
        <w:t xml:space="preserve"> </w:t>
      </w:r>
      <w:proofErr w:type="spellStart"/>
      <w:r w:rsidRPr="00442B08">
        <w:t>kriterijų</w:t>
      </w:r>
      <w:proofErr w:type="spellEnd"/>
      <w:r w:rsidRPr="00442B08">
        <w:t xml:space="preserve"> </w:t>
      </w:r>
      <w:proofErr w:type="spellStart"/>
      <w:r w:rsidRPr="00442B08">
        <w:t>taikymo</w:t>
      </w:r>
      <w:proofErr w:type="spellEnd"/>
      <w:r w:rsidRPr="00442B08">
        <w:t xml:space="preserve">, </w:t>
      </w:r>
      <w:proofErr w:type="spellStart"/>
      <w:r w:rsidRPr="00442B08">
        <w:t>vykdant</w:t>
      </w:r>
      <w:proofErr w:type="spellEnd"/>
      <w:r w:rsidRPr="00442B08">
        <w:t xml:space="preserve"> </w:t>
      </w:r>
      <w:proofErr w:type="spellStart"/>
      <w:r w:rsidRPr="00442B08">
        <w:t>žaliuosius</w:t>
      </w:r>
      <w:proofErr w:type="spellEnd"/>
      <w:r w:rsidRPr="00442B08">
        <w:t xml:space="preserve"> </w:t>
      </w:r>
      <w:proofErr w:type="spellStart"/>
      <w:r w:rsidRPr="00442B08">
        <w:t>pirkimus</w:t>
      </w:r>
      <w:proofErr w:type="spellEnd"/>
      <w:r w:rsidRPr="00442B08">
        <w:t xml:space="preserve">, </w:t>
      </w:r>
      <w:proofErr w:type="spellStart"/>
      <w:r w:rsidRPr="00442B08">
        <w:t>tvarkos</w:t>
      </w:r>
      <w:proofErr w:type="spellEnd"/>
      <w:r w:rsidRPr="00442B08">
        <w:t xml:space="preserve"> </w:t>
      </w:r>
      <w:proofErr w:type="spellStart"/>
      <w:r w:rsidRPr="00442B08">
        <w:t>aprašo</w:t>
      </w:r>
      <w:proofErr w:type="spellEnd"/>
      <w:r w:rsidRPr="00442B08">
        <w:t xml:space="preserve"> “ 2 </w:t>
      </w:r>
      <w:proofErr w:type="spellStart"/>
      <w:r w:rsidRPr="00442B08">
        <w:t>priedo</w:t>
      </w:r>
      <w:proofErr w:type="spellEnd"/>
      <w:r w:rsidRPr="00442B08">
        <w:t xml:space="preserve"> II </w:t>
      </w:r>
      <w:proofErr w:type="spellStart"/>
      <w:r w:rsidRPr="00442B08">
        <w:t>skyriuje</w:t>
      </w:r>
      <w:proofErr w:type="spellEnd"/>
      <w:r w:rsidRPr="00442B08">
        <w:t xml:space="preserve"> „</w:t>
      </w:r>
      <w:proofErr w:type="spellStart"/>
      <w:r w:rsidRPr="00442B08">
        <w:t>Pakuotės</w:t>
      </w:r>
      <w:proofErr w:type="spellEnd"/>
      <w:r w:rsidRPr="00442B08">
        <w:t>“</w:t>
      </w:r>
      <w:r>
        <w:t>.</w:t>
      </w:r>
    </w:p>
    <w:p w14:paraId="271CCA31" w14:textId="77777777" w:rsidR="008B156D" w:rsidRPr="004E3188" w:rsidRDefault="008B156D" w:rsidP="008B156D">
      <w:pPr>
        <w:numPr>
          <w:ilvl w:val="0"/>
          <w:numId w:val="1"/>
        </w:numPr>
        <w:jc w:val="both"/>
      </w:pPr>
      <w:proofErr w:type="spellStart"/>
      <w:r w:rsidRPr="004E3188">
        <w:t>Gaminiai</w:t>
      </w:r>
      <w:proofErr w:type="spellEnd"/>
      <w:r w:rsidRPr="004E3188">
        <w:t xml:space="preserve"> </w:t>
      </w:r>
      <w:proofErr w:type="spellStart"/>
      <w:r w:rsidRPr="004E3188">
        <w:t>priimami</w:t>
      </w:r>
      <w:proofErr w:type="spellEnd"/>
      <w:r w:rsidRPr="004E3188">
        <w:t xml:space="preserve"> </w:t>
      </w:r>
      <w:proofErr w:type="spellStart"/>
      <w:r w:rsidRPr="004E3188">
        <w:t>partijomis</w:t>
      </w:r>
      <w:proofErr w:type="spellEnd"/>
      <w:r w:rsidRPr="004E3188">
        <w:t xml:space="preserve"> </w:t>
      </w:r>
      <w:proofErr w:type="spellStart"/>
      <w:r w:rsidRPr="004E3188">
        <w:t>ir</w:t>
      </w:r>
      <w:proofErr w:type="spellEnd"/>
      <w:r w:rsidRPr="004E3188">
        <w:t xml:space="preserve"> </w:t>
      </w:r>
      <w:proofErr w:type="spellStart"/>
      <w:r w:rsidRPr="004E3188">
        <w:t>siuntomis</w:t>
      </w:r>
      <w:proofErr w:type="spellEnd"/>
      <w:r w:rsidRPr="004E3188">
        <w:t xml:space="preserve">. </w:t>
      </w:r>
      <w:proofErr w:type="spellStart"/>
      <w:r w:rsidRPr="004E3188">
        <w:t>Kiekviena</w:t>
      </w:r>
      <w:proofErr w:type="spellEnd"/>
      <w:r w:rsidRPr="004E3188">
        <w:t xml:space="preserve"> </w:t>
      </w:r>
      <w:proofErr w:type="spellStart"/>
      <w:r w:rsidRPr="004E3188">
        <w:t>prekių</w:t>
      </w:r>
      <w:proofErr w:type="spellEnd"/>
      <w:r w:rsidRPr="004E3188">
        <w:t xml:space="preserve"> </w:t>
      </w:r>
      <w:proofErr w:type="spellStart"/>
      <w:r w:rsidRPr="004E3188">
        <w:t>partija</w:t>
      </w:r>
      <w:proofErr w:type="spellEnd"/>
      <w:r w:rsidRPr="004E3188">
        <w:t xml:space="preserve"> </w:t>
      </w:r>
      <w:proofErr w:type="spellStart"/>
      <w:r w:rsidRPr="004E3188">
        <w:t>turi</w:t>
      </w:r>
      <w:proofErr w:type="spellEnd"/>
      <w:r w:rsidRPr="004E3188">
        <w:t xml:space="preserve"> </w:t>
      </w:r>
      <w:proofErr w:type="spellStart"/>
      <w:r w:rsidRPr="004E3188">
        <w:t>būti</w:t>
      </w:r>
      <w:proofErr w:type="spellEnd"/>
      <w:r w:rsidRPr="004E3188">
        <w:t xml:space="preserve"> </w:t>
      </w:r>
      <w:proofErr w:type="spellStart"/>
      <w:r w:rsidRPr="004E3188">
        <w:t>pažymėta</w:t>
      </w:r>
      <w:proofErr w:type="spellEnd"/>
      <w:r w:rsidRPr="004E3188">
        <w:t xml:space="preserve"> </w:t>
      </w:r>
      <w:proofErr w:type="spellStart"/>
      <w:r w:rsidRPr="004E3188">
        <w:t>sutartiniu</w:t>
      </w:r>
      <w:proofErr w:type="spellEnd"/>
      <w:r w:rsidRPr="004E3188">
        <w:t xml:space="preserve"> </w:t>
      </w:r>
      <w:proofErr w:type="spellStart"/>
      <w:r w:rsidRPr="004E3188">
        <w:t>ženklu</w:t>
      </w:r>
      <w:proofErr w:type="spellEnd"/>
      <w:r w:rsidRPr="004E3188">
        <w:t xml:space="preserve"> </w:t>
      </w:r>
      <w:proofErr w:type="spellStart"/>
      <w:r w:rsidRPr="004E3188">
        <w:t>ir</w:t>
      </w:r>
      <w:proofErr w:type="spellEnd"/>
      <w:r w:rsidRPr="004E3188">
        <w:t xml:space="preserve"> jai </w:t>
      </w:r>
      <w:proofErr w:type="spellStart"/>
      <w:r w:rsidRPr="004E3188">
        <w:t>pateikiama</w:t>
      </w:r>
      <w:proofErr w:type="spellEnd"/>
      <w:r w:rsidRPr="004E3188">
        <w:t xml:space="preserve"> </w:t>
      </w:r>
      <w:proofErr w:type="spellStart"/>
      <w:r w:rsidRPr="004E3188">
        <w:t>prekės</w:t>
      </w:r>
      <w:proofErr w:type="spellEnd"/>
      <w:r w:rsidRPr="004E3188">
        <w:t xml:space="preserve"> </w:t>
      </w:r>
      <w:proofErr w:type="spellStart"/>
      <w:r w:rsidRPr="004E3188">
        <w:t>atitikties</w:t>
      </w:r>
      <w:proofErr w:type="spellEnd"/>
      <w:r w:rsidRPr="004E3188">
        <w:t xml:space="preserve"> </w:t>
      </w:r>
      <w:proofErr w:type="spellStart"/>
      <w:r w:rsidRPr="004E3188">
        <w:t>deklaracija</w:t>
      </w:r>
      <w:proofErr w:type="spellEnd"/>
      <w:r w:rsidRPr="004E3188">
        <w:t xml:space="preserve"> </w:t>
      </w:r>
      <w:proofErr w:type="spellStart"/>
      <w:r w:rsidRPr="004E3188">
        <w:t>pagal</w:t>
      </w:r>
      <w:proofErr w:type="spellEnd"/>
      <w:r w:rsidRPr="004E3188">
        <w:t xml:space="preserve"> LST EN ISO/IEC 17050-1 (ISO/IEC 17050-1) </w:t>
      </w:r>
      <w:proofErr w:type="spellStart"/>
      <w:r w:rsidRPr="004E3188">
        <w:t>formą</w:t>
      </w:r>
      <w:proofErr w:type="spellEnd"/>
      <w:r w:rsidRPr="004E3188">
        <w:t xml:space="preserve"> A.2 </w:t>
      </w:r>
      <w:proofErr w:type="spellStart"/>
      <w:r w:rsidRPr="004E3188">
        <w:t>arba</w:t>
      </w:r>
      <w:proofErr w:type="spellEnd"/>
      <w:r w:rsidRPr="004E3188">
        <w:t xml:space="preserve"> </w:t>
      </w:r>
      <w:proofErr w:type="spellStart"/>
      <w:r w:rsidRPr="004E3188">
        <w:t>lygiaverčio</w:t>
      </w:r>
      <w:proofErr w:type="spellEnd"/>
      <w:r w:rsidRPr="004E3188">
        <w:t xml:space="preserve"> </w:t>
      </w:r>
      <w:proofErr w:type="spellStart"/>
      <w:r w:rsidRPr="004E3188">
        <w:t>standarto</w:t>
      </w:r>
      <w:proofErr w:type="spellEnd"/>
      <w:r w:rsidRPr="004E3188">
        <w:t xml:space="preserve"> </w:t>
      </w:r>
      <w:proofErr w:type="spellStart"/>
      <w:r w:rsidRPr="004E3188">
        <w:t>pavyzdį</w:t>
      </w:r>
      <w:proofErr w:type="spellEnd"/>
      <w:r w:rsidRPr="004E3188">
        <w:t>.</w:t>
      </w:r>
    </w:p>
    <w:p w14:paraId="3B95000A" w14:textId="79E8ACD5" w:rsidR="00F10256" w:rsidRPr="008B156D" w:rsidRDefault="008B156D" w:rsidP="00FD284A">
      <w:pPr>
        <w:numPr>
          <w:ilvl w:val="0"/>
          <w:numId w:val="1"/>
        </w:numPr>
        <w:jc w:val="both"/>
      </w:pPr>
      <w:proofErr w:type="spellStart"/>
      <w:r w:rsidRPr="004E3188">
        <w:t>Pirkėjas</w:t>
      </w:r>
      <w:proofErr w:type="spellEnd"/>
      <w:r w:rsidRPr="004E3188">
        <w:t xml:space="preserve"> </w:t>
      </w:r>
      <w:proofErr w:type="spellStart"/>
      <w:r w:rsidRPr="004E3188">
        <w:t>iš</w:t>
      </w:r>
      <w:proofErr w:type="spellEnd"/>
      <w:r w:rsidRPr="004E3188">
        <w:t xml:space="preserve"> </w:t>
      </w:r>
      <w:proofErr w:type="spellStart"/>
      <w:r w:rsidRPr="004E3188">
        <w:t>pasirinktos</w:t>
      </w:r>
      <w:proofErr w:type="spellEnd"/>
      <w:r w:rsidRPr="004E3188">
        <w:t xml:space="preserve"> </w:t>
      </w:r>
      <w:proofErr w:type="spellStart"/>
      <w:r w:rsidRPr="004E3188">
        <w:t>prekių</w:t>
      </w:r>
      <w:proofErr w:type="spellEnd"/>
      <w:r w:rsidRPr="004E3188">
        <w:t xml:space="preserve"> </w:t>
      </w:r>
      <w:proofErr w:type="spellStart"/>
      <w:r w:rsidRPr="004E3188">
        <w:t>partijos</w:t>
      </w:r>
      <w:proofErr w:type="spellEnd"/>
      <w:r w:rsidRPr="004E3188">
        <w:t xml:space="preserve"> </w:t>
      </w:r>
      <w:proofErr w:type="spellStart"/>
      <w:r w:rsidRPr="004E3188">
        <w:t>pagal</w:t>
      </w:r>
      <w:proofErr w:type="spellEnd"/>
      <w:r w:rsidRPr="004E3188">
        <w:t xml:space="preserve"> </w:t>
      </w:r>
      <w:proofErr w:type="spellStart"/>
      <w:r w:rsidRPr="004E3188">
        <w:t>sutarties</w:t>
      </w:r>
      <w:proofErr w:type="spellEnd"/>
      <w:r w:rsidRPr="004E3188">
        <w:t xml:space="preserve"> </w:t>
      </w:r>
      <w:proofErr w:type="spellStart"/>
      <w:r w:rsidRPr="004E3188">
        <w:t>sąlygas</w:t>
      </w:r>
      <w:proofErr w:type="spellEnd"/>
      <w:r w:rsidRPr="004E3188">
        <w:t xml:space="preserve"> </w:t>
      </w:r>
      <w:proofErr w:type="spellStart"/>
      <w:r w:rsidRPr="004E3188">
        <w:t>tikrina</w:t>
      </w:r>
      <w:proofErr w:type="spellEnd"/>
      <w:r w:rsidRPr="004E3188">
        <w:t xml:space="preserve"> </w:t>
      </w:r>
      <w:proofErr w:type="spellStart"/>
      <w:r w:rsidRPr="004E3188">
        <w:t>prekių</w:t>
      </w:r>
      <w:proofErr w:type="spellEnd"/>
      <w:r w:rsidRPr="004E3188">
        <w:t xml:space="preserve"> </w:t>
      </w:r>
      <w:proofErr w:type="spellStart"/>
      <w:r w:rsidRPr="004E3188">
        <w:t>kokybę</w:t>
      </w:r>
      <w:proofErr w:type="spellEnd"/>
      <w:r w:rsidRPr="004E3188">
        <w:t xml:space="preserve"> </w:t>
      </w:r>
      <w:proofErr w:type="spellStart"/>
      <w:r w:rsidRPr="004E3188">
        <w:t>bei</w:t>
      </w:r>
      <w:proofErr w:type="spellEnd"/>
      <w:r w:rsidRPr="004E3188">
        <w:t xml:space="preserve"> </w:t>
      </w:r>
      <w:proofErr w:type="spellStart"/>
      <w:r w:rsidRPr="004E3188">
        <w:t>gali</w:t>
      </w:r>
      <w:proofErr w:type="spellEnd"/>
      <w:r w:rsidRPr="004E3188">
        <w:t xml:space="preserve"> </w:t>
      </w:r>
      <w:proofErr w:type="spellStart"/>
      <w:r w:rsidRPr="004E3188">
        <w:t>atlikti</w:t>
      </w:r>
      <w:proofErr w:type="spellEnd"/>
      <w:r w:rsidRPr="004E3188">
        <w:t xml:space="preserve"> </w:t>
      </w:r>
      <w:proofErr w:type="spellStart"/>
      <w:r w:rsidRPr="004E3188">
        <w:t>jų</w:t>
      </w:r>
      <w:proofErr w:type="spellEnd"/>
      <w:r w:rsidRPr="004E3188">
        <w:t xml:space="preserve"> </w:t>
      </w:r>
      <w:proofErr w:type="spellStart"/>
      <w:r w:rsidRPr="004E3188">
        <w:t>laboratorinius</w:t>
      </w:r>
      <w:proofErr w:type="spellEnd"/>
      <w:r w:rsidRPr="004E3188">
        <w:t xml:space="preserve"> </w:t>
      </w:r>
      <w:proofErr w:type="spellStart"/>
      <w:r w:rsidRPr="004E3188">
        <w:t>bandymus</w:t>
      </w:r>
      <w:proofErr w:type="spellEnd"/>
      <w:r w:rsidRPr="004E3188">
        <w:t xml:space="preserve">. </w:t>
      </w:r>
      <w:proofErr w:type="spellStart"/>
      <w:r w:rsidRPr="004E3188">
        <w:t>Tuo</w:t>
      </w:r>
      <w:proofErr w:type="spellEnd"/>
      <w:r w:rsidRPr="004E3188">
        <w:t xml:space="preserve"> </w:t>
      </w:r>
      <w:proofErr w:type="spellStart"/>
      <w:r w:rsidRPr="004E3188">
        <w:t>atveju</w:t>
      </w:r>
      <w:proofErr w:type="spellEnd"/>
      <w:r w:rsidRPr="004E3188">
        <w:t xml:space="preserve">, kai </w:t>
      </w:r>
      <w:proofErr w:type="spellStart"/>
      <w:r w:rsidRPr="004E3188">
        <w:t>gauti</w:t>
      </w:r>
      <w:proofErr w:type="spellEnd"/>
      <w:r w:rsidRPr="004E3188">
        <w:t xml:space="preserve"> </w:t>
      </w:r>
      <w:proofErr w:type="spellStart"/>
      <w:r w:rsidRPr="004E3188">
        <w:t>rezultatai</w:t>
      </w:r>
      <w:proofErr w:type="spellEnd"/>
      <w:r w:rsidRPr="004E3188">
        <w:t xml:space="preserve"> </w:t>
      </w:r>
      <w:proofErr w:type="spellStart"/>
      <w:r w:rsidRPr="004E3188">
        <w:t>neatitinka</w:t>
      </w:r>
      <w:proofErr w:type="spellEnd"/>
      <w:r w:rsidRPr="004E3188">
        <w:t xml:space="preserve"> </w:t>
      </w:r>
      <w:proofErr w:type="spellStart"/>
      <w:r w:rsidRPr="004E3188">
        <w:t>techninėje</w:t>
      </w:r>
      <w:proofErr w:type="spellEnd"/>
      <w:r w:rsidRPr="004E3188">
        <w:t xml:space="preserve"> </w:t>
      </w:r>
      <w:proofErr w:type="spellStart"/>
      <w:r w:rsidRPr="004E3188">
        <w:t>specifikacijoje</w:t>
      </w:r>
      <w:proofErr w:type="spellEnd"/>
      <w:r w:rsidRPr="004E3188">
        <w:t xml:space="preserve"> </w:t>
      </w:r>
      <w:proofErr w:type="spellStart"/>
      <w:r w:rsidRPr="004E3188">
        <w:t>nurodytų</w:t>
      </w:r>
      <w:proofErr w:type="spellEnd"/>
      <w:r w:rsidRPr="004E3188">
        <w:t xml:space="preserve"> </w:t>
      </w:r>
      <w:proofErr w:type="spellStart"/>
      <w:r w:rsidRPr="004E3188">
        <w:t>reikalavimų</w:t>
      </w:r>
      <w:proofErr w:type="spellEnd"/>
      <w:r w:rsidRPr="004E3188">
        <w:t xml:space="preserve"> </w:t>
      </w:r>
      <w:proofErr w:type="spellStart"/>
      <w:r w:rsidRPr="004E3188">
        <w:t>ar</w:t>
      </w:r>
      <w:proofErr w:type="spellEnd"/>
      <w:r w:rsidRPr="004E3188">
        <w:t xml:space="preserve"> </w:t>
      </w:r>
      <w:proofErr w:type="spellStart"/>
      <w:r w:rsidRPr="004E3188">
        <w:t>darbinių</w:t>
      </w:r>
      <w:proofErr w:type="spellEnd"/>
      <w:r w:rsidRPr="004E3188">
        <w:t xml:space="preserve"> </w:t>
      </w:r>
      <w:proofErr w:type="spellStart"/>
      <w:r w:rsidRPr="004E3188">
        <w:t>pavyzdžių</w:t>
      </w:r>
      <w:proofErr w:type="spellEnd"/>
      <w:r w:rsidRPr="004E3188">
        <w:t xml:space="preserve">, </w:t>
      </w:r>
      <w:proofErr w:type="spellStart"/>
      <w:r w:rsidRPr="004E3188">
        <w:t>brokuojama</w:t>
      </w:r>
      <w:proofErr w:type="spellEnd"/>
      <w:r w:rsidRPr="004E3188">
        <w:t xml:space="preserve"> visa </w:t>
      </w:r>
      <w:proofErr w:type="spellStart"/>
      <w:r w:rsidRPr="004E3188">
        <w:t>tuo</w:t>
      </w:r>
      <w:proofErr w:type="spellEnd"/>
      <w:r w:rsidRPr="004E3188">
        <w:t xml:space="preserve"> </w:t>
      </w:r>
      <w:proofErr w:type="spellStart"/>
      <w:r w:rsidRPr="004E3188">
        <w:t>metu</w:t>
      </w:r>
      <w:proofErr w:type="spellEnd"/>
      <w:r w:rsidRPr="004E3188">
        <w:t xml:space="preserve"> </w:t>
      </w:r>
      <w:proofErr w:type="spellStart"/>
      <w:r w:rsidRPr="004E3188">
        <w:t>pristatyta</w:t>
      </w:r>
      <w:proofErr w:type="spellEnd"/>
      <w:r w:rsidRPr="004E3188">
        <w:t xml:space="preserve"> </w:t>
      </w:r>
      <w:proofErr w:type="spellStart"/>
      <w:r w:rsidRPr="004E3188">
        <w:t>prekių</w:t>
      </w:r>
      <w:proofErr w:type="spellEnd"/>
      <w:r w:rsidRPr="004E3188">
        <w:t xml:space="preserve"> </w:t>
      </w:r>
      <w:proofErr w:type="spellStart"/>
      <w:r w:rsidRPr="004E3188">
        <w:t>partija</w:t>
      </w:r>
      <w:proofErr w:type="spellEnd"/>
      <w:r w:rsidRPr="004E3188">
        <w:t>.</w:t>
      </w:r>
    </w:p>
    <w:sectPr w:rsidR="00F10256" w:rsidRPr="008B156D" w:rsidSect="006B0687">
      <w:footerReference w:type="default" r:id="rId9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EBEC2" w14:textId="77777777" w:rsidR="00B40F94" w:rsidRDefault="00B40F94">
      <w:r>
        <w:separator/>
      </w:r>
    </w:p>
  </w:endnote>
  <w:endnote w:type="continuationSeparator" w:id="0">
    <w:p w14:paraId="6B6980B8" w14:textId="77777777" w:rsidR="00B40F94" w:rsidRDefault="00B4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4D28" w14:textId="23550A18" w:rsidR="000321A1" w:rsidRDefault="00B27639" w:rsidP="006C5CF8">
    <w:pPr>
      <w:pStyle w:val="Footer"/>
      <w:jc w:val="right"/>
    </w:pPr>
    <w:r w:rsidRPr="003940B0">
      <w:fldChar w:fldCharType="begin"/>
    </w:r>
    <w:r w:rsidRPr="003940B0">
      <w:instrText xml:space="preserve"> PAGE </w:instrText>
    </w:r>
    <w:r w:rsidRPr="003940B0">
      <w:fldChar w:fldCharType="separate"/>
    </w:r>
    <w:r w:rsidR="00721019">
      <w:rPr>
        <w:noProof/>
      </w:rPr>
      <w:t>3</w:t>
    </w:r>
    <w:r w:rsidRPr="003940B0">
      <w:fldChar w:fldCharType="end"/>
    </w:r>
    <w:r w:rsidRPr="003940B0">
      <w:t xml:space="preserve"> </w:t>
    </w:r>
    <w:proofErr w:type="spellStart"/>
    <w:r w:rsidRPr="003940B0">
      <w:t>psl</w:t>
    </w:r>
    <w:proofErr w:type="spellEnd"/>
    <w:r w:rsidRPr="003940B0">
      <w:t xml:space="preserve">. </w:t>
    </w:r>
    <w:proofErr w:type="spellStart"/>
    <w:proofErr w:type="gramStart"/>
    <w:r w:rsidRPr="003940B0">
      <w:t>iš</w:t>
    </w:r>
    <w:proofErr w:type="spellEnd"/>
    <w:proofErr w:type="gramEnd"/>
    <w:r w:rsidRPr="003940B0">
      <w:t xml:space="preserve"> </w:t>
    </w:r>
    <w:r w:rsidRPr="003940B0">
      <w:fldChar w:fldCharType="begin"/>
    </w:r>
    <w:r w:rsidRPr="003940B0">
      <w:instrText xml:space="preserve"> NUMPAGES </w:instrText>
    </w:r>
    <w:r w:rsidRPr="003940B0">
      <w:fldChar w:fldCharType="separate"/>
    </w:r>
    <w:r w:rsidR="00721019">
      <w:rPr>
        <w:noProof/>
      </w:rPr>
      <w:t>3</w:t>
    </w:r>
    <w:r w:rsidRPr="003940B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B357A" w14:textId="77777777" w:rsidR="00B40F94" w:rsidRDefault="00B40F94">
      <w:r>
        <w:separator/>
      </w:r>
    </w:p>
  </w:footnote>
  <w:footnote w:type="continuationSeparator" w:id="0">
    <w:p w14:paraId="4BBCE653" w14:textId="77777777" w:rsidR="00B40F94" w:rsidRDefault="00B4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850A6"/>
    <w:multiLevelType w:val="hybridMultilevel"/>
    <w:tmpl w:val="0636C136"/>
    <w:lvl w:ilvl="0" w:tplc="FFFFFFFF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9AF0DD4"/>
    <w:multiLevelType w:val="multilevel"/>
    <w:tmpl w:val="16E22CA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39"/>
    <w:rsid w:val="00022E6F"/>
    <w:rsid w:val="0007201F"/>
    <w:rsid w:val="000F1660"/>
    <w:rsid w:val="001348EC"/>
    <w:rsid w:val="001A0D96"/>
    <w:rsid w:val="001F3B30"/>
    <w:rsid w:val="00261378"/>
    <w:rsid w:val="002A1B79"/>
    <w:rsid w:val="002B3133"/>
    <w:rsid w:val="00374470"/>
    <w:rsid w:val="00482260"/>
    <w:rsid w:val="005E5597"/>
    <w:rsid w:val="00651C17"/>
    <w:rsid w:val="00721019"/>
    <w:rsid w:val="007C379F"/>
    <w:rsid w:val="007D69E2"/>
    <w:rsid w:val="00842FF4"/>
    <w:rsid w:val="008B156D"/>
    <w:rsid w:val="008F0312"/>
    <w:rsid w:val="00AB19AE"/>
    <w:rsid w:val="00B27639"/>
    <w:rsid w:val="00B40F94"/>
    <w:rsid w:val="00B5278B"/>
    <w:rsid w:val="00BB64E4"/>
    <w:rsid w:val="00BD75D5"/>
    <w:rsid w:val="00D45124"/>
    <w:rsid w:val="00D87004"/>
    <w:rsid w:val="00D90C31"/>
    <w:rsid w:val="00D97C9A"/>
    <w:rsid w:val="00DE40E1"/>
    <w:rsid w:val="00DE4D9A"/>
    <w:rsid w:val="00E255D0"/>
    <w:rsid w:val="00EE3F33"/>
    <w:rsid w:val="00F10256"/>
    <w:rsid w:val="00F1068B"/>
    <w:rsid w:val="00FB6340"/>
    <w:rsid w:val="00FD284A"/>
    <w:rsid w:val="00FE6496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6087"/>
  <w15:docId w15:val="{5D445C49-4A3E-4910-B3DE-2973E7C2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39"/>
    <w:pPr>
      <w:ind w:lef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B27639"/>
    <w:pPr>
      <w:spacing w:after="120" w:line="480" w:lineRule="auto"/>
      <w:ind w:left="283"/>
    </w:pPr>
    <w:rPr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B276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2763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B276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2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84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84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8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4A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1A0D9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B156D"/>
    <w:pPr>
      <w:spacing w:after="120"/>
      <w:ind w:left="283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8B156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B19AE"/>
    <w:pPr>
      <w:spacing w:after="120"/>
    </w:pPr>
    <w:rPr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rsid w:val="00AB19A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gita.slankauskiene@ka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F4EA5-5EED-46B0-9123-E8FF2136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3</cp:revision>
  <dcterms:created xsi:type="dcterms:W3CDTF">2026-03-02T13:07:00Z</dcterms:created>
  <dcterms:modified xsi:type="dcterms:W3CDTF">2026-03-03T08:23:00Z</dcterms:modified>
</cp:coreProperties>
</file>