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5FFA" w14:textId="1C9F7F3B" w:rsidR="004B1153" w:rsidRPr="00E11C74" w:rsidRDefault="00C64EEE" w:rsidP="006D57A9">
      <w:pPr>
        <w:spacing w:after="0" w:line="276" w:lineRule="auto"/>
        <w:jc w:val="both"/>
        <w:rPr>
          <w:rFonts w:ascii="Calibri" w:hAnsi="Calibri" w:cs="Calibri"/>
          <w:b/>
          <w:lang w:val="lt-LT"/>
        </w:rPr>
      </w:pPr>
      <w:r w:rsidRPr="00E11C74">
        <w:rPr>
          <w:rFonts w:ascii="Calibri" w:hAnsi="Calibri" w:cs="Calibri"/>
          <w:b/>
          <w:lang w:val="lt-LT"/>
        </w:rPr>
        <w:t>Viešojo pirkimo dokumentų paaiškinimas / Explanation of the Procurement Documents</w:t>
      </w:r>
    </w:p>
    <w:p w14:paraId="5D2771BF" w14:textId="77777777" w:rsidR="00C64EEE" w:rsidRPr="00E11C74" w:rsidRDefault="00C64EEE" w:rsidP="004B1153">
      <w:pPr>
        <w:spacing w:after="0" w:line="276" w:lineRule="auto"/>
        <w:ind w:firstLine="709"/>
        <w:jc w:val="both"/>
        <w:rPr>
          <w:rFonts w:ascii="Calibri" w:hAnsi="Calibri" w:cs="Calibri"/>
          <w:b/>
          <w:lang w:val="lt-LT"/>
        </w:rPr>
      </w:pPr>
    </w:p>
    <w:p w14:paraId="52CBEF9B" w14:textId="5E6DEE25" w:rsidR="004B1153" w:rsidRPr="00E11C74" w:rsidRDefault="004B1153" w:rsidP="004B1153">
      <w:pPr>
        <w:spacing w:after="0" w:line="276" w:lineRule="auto"/>
        <w:jc w:val="both"/>
        <w:rPr>
          <w:rFonts w:ascii="Calibri" w:hAnsi="Calibri" w:cs="Calibri"/>
          <w:b/>
          <w:lang w:val="lt-LT"/>
        </w:rPr>
      </w:pPr>
      <w:r w:rsidRPr="00E11C74">
        <w:rPr>
          <w:rFonts w:ascii="Calibri" w:hAnsi="Calibri" w:cs="Calibri"/>
          <w:shd w:val="clear" w:color="auto" w:fill="FFFFFF"/>
          <w:lang w:val="lt-LT"/>
        </w:rPr>
        <w:t>Viešojo pirkimo komisija išnagrinėjo tiekėjo pateikt</w:t>
      </w:r>
      <w:r w:rsidR="008E7AAC" w:rsidRPr="00E11C74">
        <w:rPr>
          <w:rFonts w:ascii="Calibri" w:hAnsi="Calibri" w:cs="Calibri"/>
          <w:shd w:val="clear" w:color="auto" w:fill="FFFFFF"/>
          <w:lang w:val="lt-LT"/>
        </w:rPr>
        <w:t>ą</w:t>
      </w:r>
      <w:r w:rsidRPr="00E11C74">
        <w:rPr>
          <w:rFonts w:ascii="Calibri" w:hAnsi="Calibri" w:cs="Calibri"/>
          <w:shd w:val="clear" w:color="auto" w:fill="FFFFFF"/>
          <w:lang w:val="lt-LT"/>
        </w:rPr>
        <w:t xml:space="preserve"> paklausim</w:t>
      </w:r>
      <w:r w:rsidR="008E7AAC" w:rsidRPr="00E11C74">
        <w:rPr>
          <w:rFonts w:ascii="Calibri" w:hAnsi="Calibri" w:cs="Calibri"/>
          <w:shd w:val="clear" w:color="auto" w:fill="FFFFFF"/>
          <w:lang w:val="lt-LT"/>
        </w:rPr>
        <w:t>ą</w:t>
      </w:r>
      <w:r w:rsidRPr="00E11C74">
        <w:rPr>
          <w:rFonts w:ascii="Calibri" w:hAnsi="Calibri" w:cs="Calibri"/>
          <w:shd w:val="clear" w:color="auto" w:fill="FFFFFF"/>
          <w:lang w:val="lt-LT"/>
        </w:rPr>
        <w:t xml:space="preserve"> / prašym</w:t>
      </w:r>
      <w:r w:rsidR="008E7AAC" w:rsidRPr="00E11C74">
        <w:rPr>
          <w:rFonts w:ascii="Calibri" w:hAnsi="Calibri" w:cs="Calibri"/>
          <w:shd w:val="clear" w:color="auto" w:fill="FFFFFF"/>
          <w:lang w:val="lt-LT"/>
        </w:rPr>
        <w:t>ą</w:t>
      </w:r>
      <w:r w:rsidRPr="00E11C74">
        <w:rPr>
          <w:rFonts w:ascii="Calibri" w:hAnsi="Calibri" w:cs="Calibri"/>
          <w:shd w:val="clear" w:color="auto" w:fill="FFFFFF"/>
          <w:lang w:val="lt-LT"/>
        </w:rPr>
        <w:t xml:space="preserve"> paaiškinti pirkimo sąlygas ir teikia atsakymu</w:t>
      </w:r>
      <w:r w:rsidRPr="00E11C74">
        <w:rPr>
          <w:rFonts w:ascii="Calibri" w:hAnsi="Calibri" w:cs="Calibri"/>
          <w:lang w:val="lt-LT"/>
        </w:rPr>
        <w:t>s /</w:t>
      </w:r>
      <w:r w:rsidRPr="00E11C74">
        <w:rPr>
          <w:rFonts w:ascii="Calibri" w:hAnsi="Calibri" w:cs="Calibri"/>
          <w:b/>
          <w:lang w:val="lt-LT"/>
        </w:rPr>
        <w:t xml:space="preserve"> </w:t>
      </w:r>
      <w:r w:rsidR="0084056F" w:rsidRPr="00E11C74">
        <w:rPr>
          <w:rFonts w:ascii="Calibri" w:hAnsi="Calibri" w:cs="Calibri"/>
          <w:b/>
          <w:lang w:val="lt-LT"/>
        </w:rPr>
        <w:t>The Public Procurement Commission has examined the supplier’s request for clarification of the Procurement Conditions and provides the following response:</w:t>
      </w:r>
    </w:p>
    <w:p w14:paraId="74B3FBD3" w14:textId="77777777" w:rsidR="004B1153" w:rsidRPr="00E11C74" w:rsidRDefault="004B1153" w:rsidP="004B1153">
      <w:pPr>
        <w:spacing w:after="0" w:line="276" w:lineRule="auto"/>
        <w:jc w:val="both"/>
        <w:rPr>
          <w:rFonts w:ascii="Calibri" w:hAnsi="Calibri" w:cs="Calibri"/>
          <w:b/>
          <w:lang w:val="lt-LT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4820"/>
      </w:tblGrid>
      <w:tr w:rsidR="004B1153" w:rsidRPr="00E11C74" w14:paraId="17B9D21D" w14:textId="77777777" w:rsidTr="00C25CE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CAC9" w14:textId="77777777" w:rsidR="004B1153" w:rsidRPr="00E11C74" w:rsidRDefault="004B1153" w:rsidP="00A3552A">
            <w:pPr>
              <w:spacing w:before="60" w:after="60" w:line="240" w:lineRule="auto"/>
              <w:ind w:firstLine="40"/>
              <w:jc w:val="center"/>
              <w:rPr>
                <w:rFonts w:ascii="Calibri" w:hAnsi="Calibri" w:cs="Calibri"/>
                <w:b/>
                <w:shd w:val="clear" w:color="auto" w:fill="FFFFFF"/>
                <w:lang w:val="lt-LT"/>
              </w:rPr>
            </w:pPr>
            <w:r w:rsidRPr="00E11C74">
              <w:rPr>
                <w:rFonts w:ascii="Calibri" w:hAnsi="Calibri" w:cs="Calibri"/>
                <w:b/>
                <w:shd w:val="clear" w:color="auto" w:fill="FFFFFF"/>
                <w:lang w:val="lt-LT"/>
              </w:rPr>
              <w:t>Nr./</w:t>
            </w:r>
          </w:p>
          <w:p w14:paraId="600041AE" w14:textId="77777777" w:rsidR="004B1153" w:rsidRPr="00E11C74" w:rsidRDefault="004B1153" w:rsidP="00A3552A">
            <w:pPr>
              <w:spacing w:before="60" w:after="60" w:line="240" w:lineRule="auto"/>
              <w:ind w:firstLine="40"/>
              <w:jc w:val="center"/>
              <w:rPr>
                <w:rFonts w:ascii="Calibri" w:hAnsi="Calibri" w:cs="Calibri"/>
                <w:b/>
                <w:shd w:val="clear" w:color="auto" w:fill="FFFFFF"/>
                <w:lang w:val="lt-LT"/>
              </w:rPr>
            </w:pPr>
            <w:r w:rsidRPr="00E11C74">
              <w:rPr>
                <w:rFonts w:ascii="Calibri" w:hAnsi="Calibri" w:cs="Calibri"/>
                <w:b/>
                <w:shd w:val="clear" w:color="auto" w:fill="FFFFFF"/>
                <w:lang w:val="lt-LT"/>
              </w:rPr>
              <w:t>No</w:t>
            </w:r>
          </w:p>
          <w:p w14:paraId="04E4A70D" w14:textId="77777777" w:rsidR="004B1153" w:rsidRPr="00E11C74" w:rsidRDefault="004B1153" w:rsidP="00A3552A">
            <w:pPr>
              <w:spacing w:before="60" w:after="60" w:line="240" w:lineRule="auto"/>
              <w:ind w:firstLine="40"/>
              <w:jc w:val="center"/>
              <w:rPr>
                <w:rFonts w:ascii="Calibri" w:hAnsi="Calibri" w:cs="Calibri"/>
                <w:b/>
                <w:shd w:val="clear" w:color="auto" w:fill="FFFFFF"/>
                <w:lang w:val="lt-L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5458" w14:textId="0BC43F95" w:rsidR="004B1153" w:rsidRPr="00E11C74" w:rsidRDefault="004B1153" w:rsidP="00A3552A">
            <w:pPr>
              <w:spacing w:before="60" w:after="60" w:line="240" w:lineRule="auto"/>
              <w:ind w:hanging="108"/>
              <w:jc w:val="center"/>
              <w:rPr>
                <w:rFonts w:ascii="Calibri" w:hAnsi="Calibri" w:cs="Calibri"/>
                <w:b/>
                <w:shd w:val="clear" w:color="auto" w:fill="FFFFFF"/>
                <w:lang w:val="lt-LT"/>
              </w:rPr>
            </w:pPr>
            <w:r w:rsidRPr="00E11C74">
              <w:rPr>
                <w:rFonts w:ascii="Calibri" w:hAnsi="Calibri" w:cs="Calibri"/>
                <w:b/>
                <w:shd w:val="clear" w:color="auto" w:fill="FFFFFF"/>
                <w:lang w:val="lt-LT"/>
              </w:rPr>
              <w:t xml:space="preserve">Klausimas/prašymas* / Question/request*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9DC4" w14:textId="77777777" w:rsidR="004B1153" w:rsidRPr="00E11C74" w:rsidRDefault="004B1153" w:rsidP="00A355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shd w:val="clear" w:color="auto" w:fill="FFFFFF"/>
                <w:lang w:val="lt-LT"/>
              </w:rPr>
            </w:pPr>
            <w:r w:rsidRPr="00E11C74">
              <w:rPr>
                <w:rFonts w:ascii="Calibri" w:hAnsi="Calibri" w:cs="Calibri"/>
                <w:b/>
                <w:shd w:val="clear" w:color="auto" w:fill="FFFFFF"/>
                <w:lang w:val="lt-LT"/>
              </w:rPr>
              <w:t xml:space="preserve">Paaiškinimas / patikslinimas / </w:t>
            </w:r>
          </w:p>
          <w:p w14:paraId="5B925453" w14:textId="77777777" w:rsidR="004B1153" w:rsidRPr="00E11C74" w:rsidRDefault="004B1153" w:rsidP="00A355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shd w:val="clear" w:color="auto" w:fill="FFFFFF"/>
                <w:lang w:val="lt-LT"/>
              </w:rPr>
            </w:pPr>
            <w:r w:rsidRPr="00E11C74">
              <w:rPr>
                <w:rFonts w:ascii="Calibri" w:hAnsi="Calibri" w:cs="Calibri"/>
                <w:b/>
                <w:shd w:val="clear" w:color="auto" w:fill="FFFFFF"/>
                <w:lang w:val="lt-LT"/>
              </w:rPr>
              <w:t>Explanation / clarification</w:t>
            </w:r>
          </w:p>
        </w:tc>
      </w:tr>
      <w:tr w:rsidR="004B1153" w:rsidRPr="00E11C74" w14:paraId="5D8C2DA7" w14:textId="77777777" w:rsidTr="0098262F">
        <w:trPr>
          <w:trHeight w:val="70"/>
        </w:trPr>
        <w:tc>
          <w:tcPr>
            <w:tcW w:w="851" w:type="dxa"/>
          </w:tcPr>
          <w:p w14:paraId="4EBE73D5" w14:textId="1FF4A02D" w:rsidR="004B1153" w:rsidRPr="00E11C74" w:rsidRDefault="00A93D8D" w:rsidP="00A3552A">
            <w:pPr>
              <w:spacing w:before="60" w:after="60" w:line="240" w:lineRule="auto"/>
              <w:ind w:left="360"/>
              <w:jc w:val="both"/>
              <w:rPr>
                <w:rFonts w:ascii="Calibri" w:hAnsi="Calibri" w:cs="Calibri"/>
                <w:shd w:val="clear" w:color="auto" w:fill="FFFFFF"/>
              </w:rPr>
            </w:pPr>
            <w:r w:rsidRPr="00E11C74">
              <w:rPr>
                <w:rFonts w:ascii="Calibri" w:hAnsi="Calibri" w:cs="Calibri"/>
                <w:shd w:val="clear" w:color="auto" w:fill="FFFFFF"/>
              </w:rPr>
              <w:t>1.</w:t>
            </w:r>
          </w:p>
        </w:tc>
        <w:tc>
          <w:tcPr>
            <w:tcW w:w="4252" w:type="dxa"/>
          </w:tcPr>
          <w:p w14:paraId="4DE4F05E" w14:textId="7AF1F33D" w:rsidR="005D1273" w:rsidRPr="00E11C74" w:rsidRDefault="0068670A" w:rsidP="00A3552A">
            <w:pPr>
              <w:spacing w:before="60" w:after="6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FFFFF"/>
                <w:lang w:val="en-GB"/>
              </w:rPr>
            </w:pPr>
            <w:r w:rsidRPr="00E11C74">
              <w:rPr>
                <w:rFonts w:ascii="Calibri" w:hAnsi="Calibri" w:cs="Calibri"/>
                <w:b/>
                <w:bCs/>
                <w:shd w:val="clear" w:color="auto" w:fill="FFFFFF"/>
                <w:lang w:val="en-GB"/>
              </w:rPr>
              <w:t>In English:</w:t>
            </w:r>
          </w:p>
          <w:p w14:paraId="3E1A02DA" w14:textId="03179FB5" w:rsidR="00EC3B20" w:rsidRPr="00E11C74" w:rsidRDefault="007C196A" w:rsidP="00A3552A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r w:rsidRPr="00E11C74">
              <w:rPr>
                <w:rFonts w:ascii="Calibri" w:hAnsi="Calibri" w:cs="Calibri"/>
              </w:rPr>
              <w:t>The Resource Statement (</w:t>
            </w:r>
            <w:proofErr w:type="spellStart"/>
            <w:r w:rsidRPr="00E11C74">
              <w:rPr>
                <w:rFonts w:ascii="Calibri" w:hAnsi="Calibri" w:cs="Calibri"/>
              </w:rPr>
              <w:t>відомість</w:t>
            </w:r>
            <w:proofErr w:type="spellEnd"/>
            <w:r w:rsidRPr="00E11C74">
              <w:rPr>
                <w:rFonts w:ascii="Calibri" w:hAnsi="Calibri" w:cs="Calibri"/>
              </w:rPr>
              <w:t xml:space="preserve"> </w:t>
            </w:r>
            <w:proofErr w:type="spellStart"/>
            <w:r w:rsidRPr="00E11C74">
              <w:rPr>
                <w:rFonts w:ascii="Calibri" w:hAnsi="Calibri" w:cs="Calibri"/>
              </w:rPr>
              <w:t>ресурсів</w:t>
            </w:r>
            <w:proofErr w:type="spellEnd"/>
            <w:r w:rsidRPr="00E11C74">
              <w:rPr>
                <w:rFonts w:ascii="Calibri" w:hAnsi="Calibri" w:cs="Calibri"/>
              </w:rPr>
              <w:t xml:space="preserve">) provided by the tender does not indicate that the elevator (item 1234) is supplied by the Contractor. How do we calculate? Do we need to supply and </w:t>
            </w:r>
            <w:proofErr w:type="gramStart"/>
            <w:r w:rsidRPr="00E11C74">
              <w:rPr>
                <w:rFonts w:ascii="Calibri" w:hAnsi="Calibri" w:cs="Calibri"/>
              </w:rPr>
              <w:t>install</w:t>
            </w:r>
            <w:proofErr w:type="gramEnd"/>
            <w:r w:rsidRPr="00E11C74">
              <w:rPr>
                <w:rFonts w:ascii="Calibri" w:hAnsi="Calibri" w:cs="Calibri"/>
              </w:rPr>
              <w:t xml:space="preserve"> or </w:t>
            </w:r>
            <w:proofErr w:type="gramStart"/>
            <w:r w:rsidRPr="00E11C74">
              <w:rPr>
                <w:rFonts w:ascii="Calibri" w:hAnsi="Calibri" w:cs="Calibri"/>
              </w:rPr>
              <w:t>it will</w:t>
            </w:r>
            <w:proofErr w:type="gramEnd"/>
            <w:r w:rsidRPr="00E11C74">
              <w:rPr>
                <w:rFonts w:ascii="Calibri" w:hAnsi="Calibri" w:cs="Calibri"/>
              </w:rPr>
              <w:t xml:space="preserve"> be </w:t>
            </w:r>
            <w:proofErr w:type="gramStart"/>
            <w:r w:rsidRPr="00E11C74">
              <w:rPr>
                <w:rFonts w:ascii="Calibri" w:hAnsi="Calibri" w:cs="Calibri"/>
              </w:rPr>
              <w:t>separate</w:t>
            </w:r>
            <w:proofErr w:type="gramEnd"/>
            <w:r w:rsidRPr="00E11C74">
              <w:rPr>
                <w:rFonts w:ascii="Calibri" w:hAnsi="Calibri" w:cs="Calibri"/>
              </w:rPr>
              <w:t xml:space="preserve"> </w:t>
            </w:r>
            <w:proofErr w:type="gramStart"/>
            <w:r w:rsidRPr="00E11C74">
              <w:rPr>
                <w:rFonts w:ascii="Calibri" w:hAnsi="Calibri" w:cs="Calibri"/>
              </w:rPr>
              <w:t>to</w:t>
            </w:r>
            <w:proofErr w:type="gramEnd"/>
            <w:r w:rsidRPr="00E11C74">
              <w:rPr>
                <w:rFonts w:ascii="Calibri" w:hAnsi="Calibri" w:cs="Calibri"/>
              </w:rPr>
              <w:t xml:space="preserve"> this tender?</w:t>
            </w:r>
          </w:p>
          <w:p w14:paraId="43CFE791" w14:textId="77777777" w:rsidR="005F7977" w:rsidRPr="00E11C74" w:rsidRDefault="005F7977" w:rsidP="00A3552A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en-GB" w:eastAsia="lt-LT"/>
              </w:rPr>
            </w:pPr>
          </w:p>
          <w:p w14:paraId="5CEC0C2E" w14:textId="77777777" w:rsidR="004B1153" w:rsidRPr="00E11C74" w:rsidRDefault="00EC3B20" w:rsidP="00A3552A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pt-BR" w:eastAsia="lt-LT"/>
              </w:rPr>
            </w:pPr>
            <w:r w:rsidRPr="00E11C74">
              <w:rPr>
                <w:rFonts w:ascii="Calibri" w:eastAsia="Times New Roman" w:hAnsi="Calibri" w:cs="Calibri"/>
                <w:b/>
                <w:bCs/>
                <w:lang w:val="pt-BR" w:eastAsia="lt-LT"/>
              </w:rPr>
              <w:t xml:space="preserve">Klausimo vertimas į </w:t>
            </w:r>
            <w:r w:rsidR="00A1792D" w:rsidRPr="00E11C74">
              <w:rPr>
                <w:rFonts w:ascii="Calibri" w:eastAsia="Times New Roman" w:hAnsi="Calibri" w:cs="Calibri"/>
                <w:b/>
                <w:bCs/>
                <w:lang w:val="pt-BR" w:eastAsia="lt-LT"/>
              </w:rPr>
              <w:t>L</w:t>
            </w:r>
            <w:r w:rsidR="00EA0A91" w:rsidRPr="00E11C74">
              <w:rPr>
                <w:rFonts w:ascii="Calibri" w:eastAsia="Times New Roman" w:hAnsi="Calibri" w:cs="Calibri"/>
                <w:b/>
                <w:bCs/>
                <w:lang w:val="pt-BR" w:eastAsia="lt-LT"/>
              </w:rPr>
              <w:t>ietuvių kalb</w:t>
            </w:r>
            <w:r w:rsidRPr="00E11C74">
              <w:rPr>
                <w:rFonts w:ascii="Calibri" w:eastAsia="Times New Roman" w:hAnsi="Calibri" w:cs="Calibri"/>
                <w:b/>
                <w:bCs/>
                <w:lang w:val="pt-BR" w:eastAsia="lt-LT"/>
              </w:rPr>
              <w:t>ą</w:t>
            </w:r>
            <w:r w:rsidR="00EA0A91" w:rsidRPr="00E11C74">
              <w:rPr>
                <w:rFonts w:ascii="Calibri" w:eastAsia="Times New Roman" w:hAnsi="Calibri" w:cs="Calibri"/>
                <w:b/>
                <w:bCs/>
                <w:lang w:val="pt-BR" w:eastAsia="lt-LT"/>
              </w:rPr>
              <w:t xml:space="preserve">: </w:t>
            </w:r>
          </w:p>
          <w:p w14:paraId="37054FB3" w14:textId="77777777" w:rsidR="007C196A" w:rsidRPr="00E11C74" w:rsidRDefault="007C196A" w:rsidP="007C196A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lang w:val="lt-LT" w:eastAsia="lt-LT"/>
              </w:rPr>
            </w:pPr>
            <w:r w:rsidRPr="00E11C74">
              <w:rPr>
                <w:rFonts w:ascii="Calibri" w:eastAsia="Times New Roman" w:hAnsi="Calibri" w:cs="Calibri"/>
                <w:lang w:val="lt-LT" w:eastAsia="lt-LT"/>
              </w:rPr>
              <w:t>Pasiūlyme pateiktoje išteklių deklaracijoje (відомість ресурсів) nenurodyta, kad liftą (1234 pozicija) tiekia rangovas. Kaip tai apskaičiuoti? Ar mums reikia tiekti ir įrengti, ar tai bus atskirai nuo šio konkurso?</w:t>
            </w:r>
          </w:p>
          <w:p w14:paraId="5F2095B5" w14:textId="708835FF" w:rsidR="00615341" w:rsidRPr="00E11C74" w:rsidRDefault="00615341" w:rsidP="00615341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lang w:val="lt-LT" w:eastAsia="lt-LT"/>
              </w:rPr>
            </w:pPr>
          </w:p>
          <w:p w14:paraId="41083870" w14:textId="2CC12277" w:rsidR="0098262F" w:rsidRPr="00E11C74" w:rsidRDefault="0098262F" w:rsidP="00A3552A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lang w:val="lt-LT" w:eastAsia="lt-LT"/>
              </w:rPr>
            </w:pPr>
          </w:p>
        </w:tc>
        <w:tc>
          <w:tcPr>
            <w:tcW w:w="4820" w:type="dxa"/>
          </w:tcPr>
          <w:p w14:paraId="1C53917B" w14:textId="77777777" w:rsidR="00192618" w:rsidRPr="00E11C74" w:rsidRDefault="00192618" w:rsidP="00A3552A">
            <w:pPr>
              <w:spacing w:before="60" w:after="6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FFFFF"/>
                <w:lang w:val="en-GB"/>
              </w:rPr>
            </w:pPr>
            <w:r w:rsidRPr="00E11C74">
              <w:rPr>
                <w:rFonts w:ascii="Calibri" w:hAnsi="Calibri" w:cs="Calibri"/>
                <w:b/>
                <w:bCs/>
                <w:shd w:val="clear" w:color="auto" w:fill="FFFFFF"/>
                <w:lang w:val="en-GB"/>
              </w:rPr>
              <w:t>In English:</w:t>
            </w:r>
          </w:p>
          <w:p w14:paraId="541DA0D9" w14:textId="3F7F0355" w:rsidR="00F1351A" w:rsidRPr="00E3384F" w:rsidRDefault="005548B5" w:rsidP="00A3552A">
            <w:pPr>
              <w:spacing w:before="60" w:after="60" w:line="240" w:lineRule="auto"/>
              <w:jc w:val="both"/>
              <w:rPr>
                <w:rFonts w:ascii="Calibri" w:hAnsi="Calibri" w:cs="Calibri"/>
                <w:shd w:val="clear" w:color="auto" w:fill="FFFFFF"/>
              </w:rPr>
            </w:pPr>
            <w:r w:rsidRPr="005548B5">
              <w:rPr>
                <w:rFonts w:ascii="Calibri" w:hAnsi="Calibri" w:cs="Calibri"/>
                <w:shd w:val="clear" w:color="auto" w:fill="FFFFFF"/>
              </w:rPr>
              <w:t>Everything specified in the Resource statement (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Вiдомiсть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ресурсiв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>) should be supplied and installed by the contractor, including the elevator (item 1234). Exceptions apply only to furniture and equipment marked with “To be purchased separately” (items 1250-1258, 1260-1265, 1277, 1279-1409). These items will be purchased in a separate procurement and should not be included in the final price estimate."</w:t>
            </w:r>
          </w:p>
          <w:p w14:paraId="23197F16" w14:textId="77777777" w:rsidR="005F7977" w:rsidRPr="00E11C74" w:rsidRDefault="005F7977" w:rsidP="00A3552A">
            <w:pPr>
              <w:spacing w:before="60" w:after="6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FFFFF"/>
              </w:rPr>
            </w:pPr>
          </w:p>
          <w:p w14:paraId="1F3DAA78" w14:textId="7BC2D02D" w:rsidR="00D332E4" w:rsidRPr="00E11C74" w:rsidRDefault="00A1792D" w:rsidP="00A3552A">
            <w:pPr>
              <w:spacing w:before="60" w:after="60" w:line="240" w:lineRule="auto"/>
              <w:jc w:val="both"/>
              <w:rPr>
                <w:rFonts w:ascii="Calibri" w:hAnsi="Calibri" w:cs="Calibri"/>
                <w:b/>
                <w:bCs/>
                <w:shd w:val="clear" w:color="auto" w:fill="FFFFFF"/>
                <w:lang w:val="lt-LT"/>
              </w:rPr>
            </w:pPr>
            <w:r w:rsidRPr="00E11C74">
              <w:rPr>
                <w:rFonts w:ascii="Calibri" w:hAnsi="Calibri" w:cs="Calibri"/>
                <w:b/>
                <w:bCs/>
                <w:shd w:val="clear" w:color="auto" w:fill="FFFFFF"/>
                <w:lang w:val="lt-LT"/>
              </w:rPr>
              <w:t>Lietuvių kalba</w:t>
            </w:r>
            <w:r w:rsidR="005F7977" w:rsidRPr="00E11C74">
              <w:rPr>
                <w:rFonts w:ascii="Calibri" w:hAnsi="Calibri" w:cs="Calibri"/>
                <w:b/>
                <w:bCs/>
                <w:shd w:val="clear" w:color="auto" w:fill="FFFFFF"/>
                <w:lang w:val="lt-LT"/>
              </w:rPr>
              <w:t>:</w:t>
            </w:r>
          </w:p>
          <w:p w14:paraId="77644A88" w14:textId="2D183969" w:rsidR="0098262F" w:rsidRPr="00E11C74" w:rsidRDefault="005548B5" w:rsidP="007C196A">
            <w:pPr>
              <w:spacing w:before="60" w:after="60" w:line="240" w:lineRule="auto"/>
              <w:jc w:val="both"/>
              <w:rPr>
                <w:rFonts w:ascii="Calibri" w:hAnsi="Calibri" w:cs="Calibri"/>
                <w:shd w:val="clear" w:color="auto" w:fill="FFFFFF"/>
                <w:lang w:val="lt-LT"/>
              </w:rPr>
            </w:pP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Viską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, kas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nurodyta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išteklių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ataskaitoje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(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Вiдомiсть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ресурсiв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),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įskaitant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liftą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(1234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punktas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),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turi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tiekti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ir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sumontuoti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rangovas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.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Išimtys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taikomos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tik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baldams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ir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įrangai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,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pažymėtiems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„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Įsigyjama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5548B5">
              <w:rPr>
                <w:rFonts w:ascii="Calibri" w:hAnsi="Calibri" w:cs="Calibri"/>
                <w:shd w:val="clear" w:color="auto" w:fill="FFFFFF"/>
              </w:rPr>
              <w:t>atskirai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>“ (</w:t>
            </w:r>
            <w:proofErr w:type="gram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1250–1258, 1260–1265, 1277, 1279–1409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punktai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).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Šios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prekės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bus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perkamos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atskiru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pirkimu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ir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neturėtų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būti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įtrauktos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į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galutinę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kainos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5548B5">
              <w:rPr>
                <w:rFonts w:ascii="Calibri" w:hAnsi="Calibri" w:cs="Calibri"/>
                <w:shd w:val="clear" w:color="auto" w:fill="FFFFFF"/>
              </w:rPr>
              <w:t>sąmatą</w:t>
            </w:r>
            <w:proofErr w:type="spellEnd"/>
            <w:r w:rsidRPr="005548B5">
              <w:rPr>
                <w:rFonts w:ascii="Calibri" w:hAnsi="Calibri" w:cs="Calibri"/>
                <w:shd w:val="clear" w:color="auto" w:fill="FFFFFF"/>
              </w:rPr>
              <w:t>.</w:t>
            </w:r>
          </w:p>
        </w:tc>
      </w:tr>
    </w:tbl>
    <w:p w14:paraId="0E7261A6" w14:textId="77777777" w:rsidR="001758CB" w:rsidRPr="00E11C74" w:rsidRDefault="001758CB" w:rsidP="004B1153">
      <w:pPr>
        <w:spacing w:after="0" w:line="276" w:lineRule="auto"/>
        <w:jc w:val="both"/>
        <w:rPr>
          <w:rFonts w:ascii="Calibri" w:hAnsi="Calibri" w:cs="Calibri"/>
          <w:i/>
          <w:shd w:val="clear" w:color="auto" w:fill="FFFFFF"/>
          <w:lang w:val="lt-LT"/>
        </w:rPr>
      </w:pPr>
    </w:p>
    <w:p w14:paraId="7527CF07" w14:textId="653A739E" w:rsidR="004B1153" w:rsidRPr="00E11C74" w:rsidRDefault="004B1153" w:rsidP="004B1153">
      <w:pPr>
        <w:spacing w:after="0" w:line="276" w:lineRule="auto"/>
        <w:jc w:val="both"/>
        <w:rPr>
          <w:rFonts w:ascii="Calibri" w:hAnsi="Calibri" w:cs="Calibri"/>
          <w:i/>
          <w:iCs/>
          <w:shd w:val="clear" w:color="auto" w:fill="FFFFFF"/>
          <w:lang w:val="lt-LT"/>
        </w:rPr>
      </w:pPr>
      <w:r w:rsidRPr="00E11C74">
        <w:rPr>
          <w:rFonts w:ascii="Calibri" w:hAnsi="Calibri" w:cs="Calibri"/>
          <w:i/>
          <w:iCs/>
          <w:shd w:val="clear" w:color="auto" w:fill="FFFFFF"/>
          <w:lang w:val="lt-LT"/>
        </w:rPr>
        <w:t>* Tiekėjo pateikto paklausimo tekstas eina pirmas ir yra neredaguotas / The text of the supplier's enquiry comes first and is unedited.</w:t>
      </w:r>
    </w:p>
    <w:p w14:paraId="133E2825" w14:textId="77777777" w:rsidR="004B1153" w:rsidRPr="00E11C74" w:rsidRDefault="004B1153" w:rsidP="004B1153">
      <w:pPr>
        <w:spacing w:after="0" w:line="276" w:lineRule="auto"/>
        <w:jc w:val="both"/>
        <w:rPr>
          <w:rFonts w:ascii="Calibri" w:hAnsi="Calibri" w:cs="Calibri"/>
          <w:shd w:val="clear" w:color="auto" w:fill="FFFFFF"/>
          <w:lang w:val="lt-LT"/>
        </w:rPr>
      </w:pPr>
    </w:p>
    <w:p w14:paraId="5296DCCC" w14:textId="77DA4CD9" w:rsidR="004B1153" w:rsidRPr="00E11C74" w:rsidRDefault="004B1153" w:rsidP="004B1153">
      <w:pPr>
        <w:spacing w:after="0" w:line="276" w:lineRule="auto"/>
        <w:jc w:val="both"/>
        <w:rPr>
          <w:rFonts w:ascii="Calibri" w:hAnsi="Calibri" w:cs="Calibri"/>
          <w:shd w:val="clear" w:color="auto" w:fill="FFFFFF"/>
          <w:lang w:val="lt-LT"/>
        </w:rPr>
      </w:pPr>
      <w:r w:rsidRPr="00E11C74">
        <w:rPr>
          <w:rFonts w:ascii="Calibri" w:hAnsi="Calibri" w:cs="Calibri"/>
          <w:shd w:val="clear" w:color="auto" w:fill="FFFFFF"/>
          <w:lang w:val="lt-LT"/>
        </w:rPr>
        <w:t xml:space="preserve">Pažymėtina, kad bet kuris CPVA atliktas paaiškinimas / patikslinimas yra laikomas neatskiriama Pirkimo dokumentų dalimi ir jo nuostatos turi viršenybę prieš ankstesnes Pirkimo dokumentuose išdėstytas nuostatas. </w:t>
      </w:r>
      <w:r w:rsidRPr="00E11C74">
        <w:rPr>
          <w:rFonts w:ascii="Calibri" w:hAnsi="Calibri" w:cs="Calibri"/>
          <w:lang w:val="lt-LT"/>
        </w:rPr>
        <w:t xml:space="preserve"> </w:t>
      </w:r>
      <w:r w:rsidRPr="00E11C74">
        <w:rPr>
          <w:rFonts w:ascii="Calibri" w:hAnsi="Calibri" w:cs="Calibri"/>
        </w:rPr>
        <w:t xml:space="preserve">/ </w:t>
      </w:r>
      <w:r w:rsidRPr="00E11C74">
        <w:rPr>
          <w:rFonts w:ascii="Calibri" w:hAnsi="Calibri" w:cs="Calibri"/>
          <w:b/>
          <w:shd w:val="clear" w:color="auto" w:fill="FFFFFF"/>
          <w:lang w:val="lt-LT"/>
        </w:rPr>
        <w:t>It should be noted that any explanation/clarification made by the CP</w:t>
      </w:r>
      <w:r w:rsidR="008E4B01" w:rsidRPr="00E11C74">
        <w:rPr>
          <w:rFonts w:ascii="Calibri" w:hAnsi="Calibri" w:cs="Calibri"/>
          <w:b/>
          <w:shd w:val="clear" w:color="auto" w:fill="FFFFFF"/>
          <w:lang w:val="lt-LT"/>
        </w:rPr>
        <w:t>V</w:t>
      </w:r>
      <w:r w:rsidRPr="00E11C74">
        <w:rPr>
          <w:rFonts w:ascii="Calibri" w:hAnsi="Calibri" w:cs="Calibri"/>
          <w:b/>
          <w:shd w:val="clear" w:color="auto" w:fill="FFFFFF"/>
          <w:lang w:val="lt-LT"/>
        </w:rPr>
        <w:t xml:space="preserve">A is considered an integral part of the Procurement Documents and its provisions take precedence over the previous provisions set forth in the Procurement Documents. </w:t>
      </w:r>
    </w:p>
    <w:p w14:paraId="00A15149" w14:textId="77777777" w:rsidR="004B1153" w:rsidRPr="00E11C74" w:rsidRDefault="004B1153" w:rsidP="004B1153">
      <w:pPr>
        <w:spacing w:after="0" w:line="276" w:lineRule="auto"/>
        <w:ind w:firstLine="709"/>
        <w:jc w:val="both"/>
        <w:rPr>
          <w:rFonts w:ascii="Calibri" w:hAnsi="Calibri" w:cs="Calibri"/>
          <w:highlight w:val="yellow"/>
          <w:shd w:val="clear" w:color="auto" w:fill="FFFFFF"/>
          <w:lang w:val="lt-LT"/>
        </w:rPr>
      </w:pPr>
    </w:p>
    <w:p w14:paraId="021CCD76" w14:textId="77777777" w:rsidR="004B1153" w:rsidRPr="00E11C74" w:rsidRDefault="004B1153" w:rsidP="004B1153">
      <w:pPr>
        <w:spacing w:after="0" w:line="276" w:lineRule="auto"/>
        <w:ind w:firstLine="709"/>
        <w:jc w:val="both"/>
        <w:rPr>
          <w:rFonts w:ascii="Calibri" w:hAnsi="Calibri" w:cs="Calibri"/>
          <w:shd w:val="clear" w:color="auto" w:fill="FFFFFF"/>
        </w:rPr>
      </w:pPr>
    </w:p>
    <w:p w14:paraId="2602DB92" w14:textId="77777777" w:rsidR="004B1153" w:rsidRPr="00E11C74" w:rsidRDefault="004B1153" w:rsidP="004B1153">
      <w:pPr>
        <w:spacing w:after="0" w:line="276" w:lineRule="auto"/>
        <w:ind w:firstLine="709"/>
        <w:jc w:val="both"/>
        <w:rPr>
          <w:rFonts w:ascii="Calibri" w:hAnsi="Calibri" w:cs="Calibri"/>
          <w:shd w:val="clear" w:color="auto" w:fill="FFFFFF"/>
          <w:lang w:val="lt-LT"/>
        </w:rPr>
      </w:pPr>
      <w:r w:rsidRPr="00E11C74">
        <w:rPr>
          <w:rFonts w:ascii="Calibri" w:hAnsi="Calibri" w:cs="Calibri"/>
          <w:shd w:val="clear" w:color="auto" w:fill="FFFFFF"/>
          <w:lang w:val="lt-LT"/>
        </w:rPr>
        <w:t>Viešojo pirkimo komisija / Public Procurement Commission</w:t>
      </w:r>
    </w:p>
    <w:p w14:paraId="56AE3041" w14:textId="77777777" w:rsidR="004B1153" w:rsidRPr="00E11C74" w:rsidRDefault="004B1153" w:rsidP="004B1153">
      <w:pPr>
        <w:spacing w:after="0" w:line="276" w:lineRule="auto"/>
        <w:rPr>
          <w:rFonts w:ascii="Calibri" w:hAnsi="Calibri" w:cs="Calibri"/>
        </w:rPr>
      </w:pPr>
    </w:p>
    <w:p w14:paraId="61E3026D" w14:textId="77777777" w:rsidR="004B1153" w:rsidRPr="00E11C74" w:rsidRDefault="004B1153">
      <w:pPr>
        <w:rPr>
          <w:rFonts w:ascii="Calibri" w:hAnsi="Calibri" w:cs="Calibri"/>
        </w:rPr>
      </w:pPr>
    </w:p>
    <w:sectPr w:rsidR="004B1153" w:rsidRPr="00E11C74" w:rsidSect="004B115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CEA"/>
    <w:multiLevelType w:val="multilevel"/>
    <w:tmpl w:val="29F89BB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30D5F"/>
    <w:multiLevelType w:val="hybridMultilevel"/>
    <w:tmpl w:val="34B43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30A4F"/>
    <w:multiLevelType w:val="multilevel"/>
    <w:tmpl w:val="4454AC3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D108F"/>
    <w:multiLevelType w:val="multilevel"/>
    <w:tmpl w:val="89ECBE7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5823C0"/>
    <w:multiLevelType w:val="hybridMultilevel"/>
    <w:tmpl w:val="28464A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A5CAA"/>
    <w:multiLevelType w:val="multilevel"/>
    <w:tmpl w:val="60B0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F290F"/>
    <w:multiLevelType w:val="multilevel"/>
    <w:tmpl w:val="9BA4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0093D"/>
    <w:multiLevelType w:val="multilevel"/>
    <w:tmpl w:val="4DB8E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B60006"/>
    <w:multiLevelType w:val="multilevel"/>
    <w:tmpl w:val="B4B4EA4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2637D"/>
    <w:multiLevelType w:val="multilevel"/>
    <w:tmpl w:val="2284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134047"/>
    <w:multiLevelType w:val="multilevel"/>
    <w:tmpl w:val="300A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B56585"/>
    <w:multiLevelType w:val="multilevel"/>
    <w:tmpl w:val="B3B4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8D512F"/>
    <w:multiLevelType w:val="multilevel"/>
    <w:tmpl w:val="910A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804517">
    <w:abstractNumId w:val="1"/>
  </w:num>
  <w:num w:numId="2" w16cid:durableId="1512602879">
    <w:abstractNumId w:val="4"/>
  </w:num>
  <w:num w:numId="3" w16cid:durableId="860625176">
    <w:abstractNumId w:val="7"/>
  </w:num>
  <w:num w:numId="4" w16cid:durableId="1561360832">
    <w:abstractNumId w:val="9"/>
  </w:num>
  <w:num w:numId="5" w16cid:durableId="885213426">
    <w:abstractNumId w:val="2"/>
  </w:num>
  <w:num w:numId="6" w16cid:durableId="1777289948">
    <w:abstractNumId w:val="11"/>
  </w:num>
  <w:num w:numId="7" w16cid:durableId="2032948973">
    <w:abstractNumId w:val="0"/>
  </w:num>
  <w:num w:numId="8" w16cid:durableId="1120762050">
    <w:abstractNumId w:val="5"/>
  </w:num>
  <w:num w:numId="9" w16cid:durableId="1704090965">
    <w:abstractNumId w:val="3"/>
  </w:num>
  <w:num w:numId="10" w16cid:durableId="1239169832">
    <w:abstractNumId w:val="6"/>
  </w:num>
  <w:num w:numId="11" w16cid:durableId="626010860">
    <w:abstractNumId w:val="8"/>
  </w:num>
  <w:num w:numId="12" w16cid:durableId="848912362">
    <w:abstractNumId w:val="10"/>
  </w:num>
  <w:num w:numId="13" w16cid:durableId="5308731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53"/>
    <w:rsid w:val="00016013"/>
    <w:rsid w:val="0006505C"/>
    <w:rsid w:val="00076818"/>
    <w:rsid w:val="0008734D"/>
    <w:rsid w:val="000B1E40"/>
    <w:rsid w:val="000D113E"/>
    <w:rsid w:val="0013021D"/>
    <w:rsid w:val="00133201"/>
    <w:rsid w:val="00144643"/>
    <w:rsid w:val="001510E0"/>
    <w:rsid w:val="001758CB"/>
    <w:rsid w:val="00192618"/>
    <w:rsid w:val="001F7F2D"/>
    <w:rsid w:val="00203CF7"/>
    <w:rsid w:val="002408E7"/>
    <w:rsid w:val="00243EFF"/>
    <w:rsid w:val="002B1744"/>
    <w:rsid w:val="002B6DE6"/>
    <w:rsid w:val="002D4C4A"/>
    <w:rsid w:val="002F1FAA"/>
    <w:rsid w:val="00360E2E"/>
    <w:rsid w:val="003C7A34"/>
    <w:rsid w:val="003D2AA0"/>
    <w:rsid w:val="003E16EC"/>
    <w:rsid w:val="003F6299"/>
    <w:rsid w:val="0047083F"/>
    <w:rsid w:val="00492606"/>
    <w:rsid w:val="004A1D5C"/>
    <w:rsid w:val="004B1153"/>
    <w:rsid w:val="004B58D5"/>
    <w:rsid w:val="00507354"/>
    <w:rsid w:val="00524C86"/>
    <w:rsid w:val="005548B5"/>
    <w:rsid w:val="005D1273"/>
    <w:rsid w:val="005F7977"/>
    <w:rsid w:val="00615341"/>
    <w:rsid w:val="00661EB1"/>
    <w:rsid w:val="00663C7B"/>
    <w:rsid w:val="0068670A"/>
    <w:rsid w:val="006A6C12"/>
    <w:rsid w:val="006D57A9"/>
    <w:rsid w:val="006F4891"/>
    <w:rsid w:val="00703455"/>
    <w:rsid w:val="00725C74"/>
    <w:rsid w:val="007341B1"/>
    <w:rsid w:val="007C196A"/>
    <w:rsid w:val="007D0C04"/>
    <w:rsid w:val="007F0151"/>
    <w:rsid w:val="00817F3A"/>
    <w:rsid w:val="0084056F"/>
    <w:rsid w:val="008634AE"/>
    <w:rsid w:val="008A0911"/>
    <w:rsid w:val="008C79D2"/>
    <w:rsid w:val="008D68D5"/>
    <w:rsid w:val="008E389C"/>
    <w:rsid w:val="008E4B01"/>
    <w:rsid w:val="008E7AAC"/>
    <w:rsid w:val="008F1327"/>
    <w:rsid w:val="00976CD5"/>
    <w:rsid w:val="0098262F"/>
    <w:rsid w:val="00994D62"/>
    <w:rsid w:val="00A06430"/>
    <w:rsid w:val="00A113E0"/>
    <w:rsid w:val="00A1792D"/>
    <w:rsid w:val="00A3552A"/>
    <w:rsid w:val="00A62D8B"/>
    <w:rsid w:val="00A86EA5"/>
    <w:rsid w:val="00A91C38"/>
    <w:rsid w:val="00A93D8D"/>
    <w:rsid w:val="00AD1F05"/>
    <w:rsid w:val="00AF6AAD"/>
    <w:rsid w:val="00B261C8"/>
    <w:rsid w:val="00BF2FF2"/>
    <w:rsid w:val="00C02282"/>
    <w:rsid w:val="00C12851"/>
    <w:rsid w:val="00C12CC4"/>
    <w:rsid w:val="00C300B8"/>
    <w:rsid w:val="00C31515"/>
    <w:rsid w:val="00C510C4"/>
    <w:rsid w:val="00C626B5"/>
    <w:rsid w:val="00C64EEE"/>
    <w:rsid w:val="00D332E4"/>
    <w:rsid w:val="00D440B3"/>
    <w:rsid w:val="00DA10CC"/>
    <w:rsid w:val="00DA795D"/>
    <w:rsid w:val="00DC2BAA"/>
    <w:rsid w:val="00E11C74"/>
    <w:rsid w:val="00E3384F"/>
    <w:rsid w:val="00E6612C"/>
    <w:rsid w:val="00EA0A91"/>
    <w:rsid w:val="00EA2CFF"/>
    <w:rsid w:val="00EA7D69"/>
    <w:rsid w:val="00EA7F6D"/>
    <w:rsid w:val="00EC3A86"/>
    <w:rsid w:val="00EC3B20"/>
    <w:rsid w:val="00EF0879"/>
    <w:rsid w:val="00EF4BBA"/>
    <w:rsid w:val="00F1351A"/>
    <w:rsid w:val="00F24C5C"/>
    <w:rsid w:val="00F46179"/>
    <w:rsid w:val="00FA2CE9"/>
    <w:rsid w:val="00FD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3839"/>
  <w15:chartTrackingRefBased/>
  <w15:docId w15:val="{54CD97EE-F44C-42C3-8B79-2588357F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153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1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1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1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1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15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64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E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EEE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EEE"/>
    <w:rPr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C64EEE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C3B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 xsi:nil="true"/>
    <DmsDocPrepListOrderNo xmlns="4b2e9d09-07c5-42d4-ad0a-92e216c40b99">2</DmsDocPrepListOrder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1C0B2C-F518-4BB9-8785-AC677BA0CBFC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D69BD894-1628-43D9-A6EB-E52D28851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75A656-1FCC-40F2-B349-73A0FD06A1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atsakymas tiekejams</vt:lpstr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atsakymas tiekejams</dc:title>
  <dc:subject/>
  <dc:creator>Dalia Vinklerė</dc:creator>
  <cp:keywords/>
  <dc:description/>
  <cp:lastModifiedBy>Laura Sungailaitė-Jurčė</cp:lastModifiedBy>
  <cp:revision>2</cp:revision>
  <dcterms:created xsi:type="dcterms:W3CDTF">2026-03-03T08:45:00Z</dcterms:created>
  <dcterms:modified xsi:type="dcterms:W3CDTF">2026-03-03T08:45:00Z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GrammarlyDocumentId">
    <vt:lpwstr>9828af55-a0db-4c07-ab97-4523345e2a5a</vt:lpwstr>
  </property>
  <property fmtid="{D5CDD505-2E9C-101B-9397-08002B2CF9AE}" pid="4" name="DmsPermissionsFlags">
    <vt:lpwstr>,SECTRUE,</vt:lpwstr>
  </property>
  <property fmtid="{D5CDD505-2E9C-101B-9397-08002B2CF9AE}" pid="5" name="DmsPermissionsDivisions">
    <vt:lpwstr/>
  </property>
  <property fmtid="{D5CDD505-2E9C-101B-9397-08002B2CF9AE}" pid="6" name="ContentTypeId">
    <vt:lpwstr>0x010100D76F90AF19434866994CD715ED8FEE4200712820E1B0DE314FBCE77D75ADAD206D</vt:lpwstr>
  </property>
  <property fmtid="{D5CDD505-2E9C-101B-9397-08002B2CF9AE}" pid="7" name="DmsPermissionsUsers">
    <vt:lpwstr>1283;#Laura Sungailaitė-Jurčė;#795;#Tadas Kontrimas;#1701;#Rūta Valaitytė;#872;#Aina Jonuškytė;#1779;#Ana Stefanova</vt:lpwstr>
  </property>
  <property fmtid="{D5CDD505-2E9C-101B-9397-08002B2CF9AE}" pid="8" name="DmsCommChanPerm">
    <vt:lpwstr/>
  </property>
  <property fmtid="{D5CDD505-2E9C-101B-9397-08002B2CF9AE}" pid="9" name="DmsPermissionsConfid">
    <vt:bool>false</vt:bool>
  </property>
</Properties>
</file>