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A10" w:rsidRPr="00272A78" w:rsidRDefault="00FD745C">
      <w:pPr>
        <w:pStyle w:val="Antrat1"/>
        <w:jc w:val="center"/>
        <w:rPr>
          <w:lang w:val="lt-LT"/>
        </w:rPr>
      </w:pPr>
      <w:r w:rsidRPr="00272A78">
        <w:rPr>
          <w:lang w:val="lt-LT"/>
        </w:rPr>
        <w:t>TECHNINĖ SPECIFIKACIJA</w:t>
      </w:r>
    </w:p>
    <w:p w:rsidR="00255A10" w:rsidRPr="00272A78" w:rsidRDefault="00FD745C">
      <w:pPr>
        <w:jc w:val="center"/>
        <w:rPr>
          <w:lang w:val="lt-LT"/>
        </w:rPr>
      </w:pPr>
      <w:r w:rsidRPr="00272A78">
        <w:rPr>
          <w:lang w:val="lt-LT"/>
        </w:rPr>
        <w:t xml:space="preserve">1U tipo </w:t>
      </w:r>
      <w:proofErr w:type="spellStart"/>
      <w:r w:rsidRPr="00272A78">
        <w:rPr>
          <w:lang w:val="lt-LT"/>
        </w:rPr>
        <w:t>rack</w:t>
      </w:r>
      <w:proofErr w:type="spellEnd"/>
      <w:r w:rsidRPr="00272A78">
        <w:rPr>
          <w:lang w:val="lt-LT"/>
        </w:rPr>
        <w:t xml:space="preserve"> serverio įsigijimui</w:t>
      </w:r>
    </w:p>
    <w:p w:rsidR="00255A10" w:rsidRPr="00272A78" w:rsidRDefault="00255A10">
      <w:pPr>
        <w:rPr>
          <w:lang w:val="lt-LT"/>
        </w:rPr>
      </w:pPr>
    </w:p>
    <w:p w:rsidR="00255A10" w:rsidRPr="00272A78" w:rsidRDefault="00FD745C">
      <w:pPr>
        <w:pStyle w:val="Antrat2"/>
        <w:rPr>
          <w:lang w:val="lt-LT"/>
        </w:rPr>
      </w:pPr>
      <w:r w:rsidRPr="00272A78">
        <w:rPr>
          <w:lang w:val="lt-LT"/>
        </w:rPr>
        <w:t>1. Bendrieji reikalavimai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1.1. Siūloma įranga turi būti nauja, nenaudota, gamyklinės komplektacijos.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1.2. Įranga turi būti serijinės gamybos (ne prototipas).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1.3. Serveris turi būti skirtas montuoti į 19” standartinę serverinę spintą.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 xml:space="preserve">1.4. Formos tipas – 1U </w:t>
      </w:r>
      <w:proofErr w:type="spellStart"/>
      <w:r w:rsidRPr="00272A78">
        <w:rPr>
          <w:lang w:val="lt-LT"/>
        </w:rPr>
        <w:t>Rack</w:t>
      </w:r>
      <w:proofErr w:type="spellEnd"/>
      <w:r w:rsidRPr="00272A78">
        <w:rPr>
          <w:lang w:val="lt-LT"/>
        </w:rPr>
        <w:t xml:space="preserve"> tipo serveris.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1.5.  Įranga turi būti sertifikuota darbui ES rinkoje (CE ženklinimas).</w:t>
      </w:r>
    </w:p>
    <w:p w:rsidR="00255A10" w:rsidRPr="00272A78" w:rsidRDefault="00FD745C">
      <w:pPr>
        <w:pStyle w:val="Antrat2"/>
        <w:rPr>
          <w:lang w:val="lt-LT"/>
        </w:rPr>
      </w:pPr>
      <w:r w:rsidRPr="00272A78">
        <w:rPr>
          <w:lang w:val="lt-LT"/>
        </w:rPr>
        <w:t>2. Procesorius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 xml:space="preserve">2.1. Ne mažiau kaip 1 serverinės klasės procesorius (Intel </w:t>
      </w:r>
      <w:proofErr w:type="spellStart"/>
      <w:r w:rsidRPr="00272A78">
        <w:rPr>
          <w:lang w:val="lt-LT"/>
        </w:rPr>
        <w:t>Xeon</w:t>
      </w:r>
      <w:proofErr w:type="spellEnd"/>
      <w:r w:rsidRPr="00272A78">
        <w:rPr>
          <w:lang w:val="lt-LT"/>
        </w:rPr>
        <w:t xml:space="preserve"> arba lygiavertis).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2.2. Ne mažiau kaip 4 fiziniai branduoliai ir 8 gijos.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2.3. 64-bit architektūra.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2.4. Virtualizacijos palaikymas (Intel VT-x/VT-d arba lygiavertis).</w:t>
      </w:r>
      <w:bookmarkStart w:id="0" w:name="_GoBack"/>
      <w:bookmarkEnd w:id="0"/>
    </w:p>
    <w:p w:rsidR="00255A10" w:rsidRPr="00272A78" w:rsidRDefault="00FD745C">
      <w:pPr>
        <w:pStyle w:val="Antrat2"/>
        <w:rPr>
          <w:lang w:val="lt-LT"/>
        </w:rPr>
      </w:pPr>
      <w:r w:rsidRPr="00272A78">
        <w:rPr>
          <w:lang w:val="lt-LT"/>
        </w:rPr>
        <w:t>3. Operatyvioji atmintis (RAM)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 xml:space="preserve">3.1. Ne mažiau kaip 32 GB DDR5 ECC </w:t>
      </w:r>
      <w:proofErr w:type="spellStart"/>
      <w:r w:rsidRPr="00272A78">
        <w:rPr>
          <w:lang w:val="lt-LT"/>
        </w:rPr>
        <w:t>Registered</w:t>
      </w:r>
      <w:proofErr w:type="spellEnd"/>
      <w:r w:rsidRPr="00272A78">
        <w:rPr>
          <w:lang w:val="lt-LT"/>
        </w:rPr>
        <w:t xml:space="preserve"> atminties.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3.2. Atmintis turi būti įdiegta ne mažiau kaip 2 moduliais.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3.3. Ne mažiau kaip 4 DIMM lizdai.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3.4. Maksimali palaikoma atmintis – ne mažiau kaip 128 GB.</w:t>
      </w:r>
    </w:p>
    <w:p w:rsidR="00255A10" w:rsidRPr="00272A78" w:rsidRDefault="00FD745C">
      <w:pPr>
        <w:pStyle w:val="Antrat2"/>
        <w:rPr>
          <w:lang w:val="lt-LT"/>
        </w:rPr>
      </w:pPr>
      <w:r w:rsidRPr="00272A78">
        <w:rPr>
          <w:lang w:val="lt-LT"/>
        </w:rPr>
        <w:t>4. Duomenų saugykla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4.1. Ne mažiau kaip 4 x 3.5” diskų lizdai.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 xml:space="preserve">4.2. Diskų lizdai – </w:t>
      </w:r>
      <w:proofErr w:type="spellStart"/>
      <w:r w:rsidRPr="00272A78">
        <w:rPr>
          <w:lang w:val="lt-LT"/>
        </w:rPr>
        <w:t>Hot-swap</w:t>
      </w:r>
      <w:proofErr w:type="spellEnd"/>
      <w:r w:rsidRPr="00272A78">
        <w:rPr>
          <w:lang w:val="lt-LT"/>
        </w:rPr>
        <w:t xml:space="preserve"> tipo.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4.3. Ne mažiau kaip 2 x 1.2 TB serverinės klasės diskai (SAS arba lygiaverčiai).</w:t>
      </w:r>
    </w:p>
    <w:p w:rsidR="00255A10" w:rsidRPr="00272A78" w:rsidRDefault="00FD745C">
      <w:pPr>
        <w:pStyle w:val="Antrat2"/>
        <w:rPr>
          <w:lang w:val="lt-LT"/>
        </w:rPr>
      </w:pPr>
      <w:r w:rsidRPr="00272A78">
        <w:rPr>
          <w:lang w:val="lt-LT"/>
        </w:rPr>
        <w:t>5. RAID valdiklis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5.1. Integruotas aparatinis RAID valdiklis.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5.2. Palaikomi RAID lygiai: 0, 1, 5, 10.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 xml:space="preserve">5.3. Palaikomas </w:t>
      </w:r>
      <w:proofErr w:type="spellStart"/>
      <w:r w:rsidRPr="00272A78">
        <w:rPr>
          <w:lang w:val="lt-LT"/>
        </w:rPr>
        <w:t>Hot-swap</w:t>
      </w:r>
      <w:proofErr w:type="spellEnd"/>
      <w:r w:rsidRPr="00272A78">
        <w:rPr>
          <w:lang w:val="lt-LT"/>
        </w:rPr>
        <w:t xml:space="preserve"> diskų keitimas.</w:t>
      </w:r>
    </w:p>
    <w:p w:rsidR="00255A10" w:rsidRPr="00272A78" w:rsidRDefault="00FD745C">
      <w:pPr>
        <w:pStyle w:val="Antrat2"/>
        <w:rPr>
          <w:lang w:val="lt-LT"/>
        </w:rPr>
      </w:pPr>
      <w:r w:rsidRPr="00272A78">
        <w:rPr>
          <w:lang w:val="lt-LT"/>
        </w:rPr>
        <w:lastRenderedPageBreak/>
        <w:t>6. Tinklo sąsajos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6.1. Ne mažiau kaip 2 x 1GbE RJ-45 tinklo prievadai arba lygiaverčiai.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 xml:space="preserve">6.2. Palaikomas tinklo apkrovos balansavimas (NIC </w:t>
      </w:r>
      <w:proofErr w:type="spellStart"/>
      <w:r w:rsidRPr="00272A78">
        <w:rPr>
          <w:lang w:val="lt-LT"/>
        </w:rPr>
        <w:t>teaming</w:t>
      </w:r>
      <w:proofErr w:type="spellEnd"/>
      <w:r w:rsidRPr="00272A78">
        <w:rPr>
          <w:lang w:val="lt-LT"/>
        </w:rPr>
        <w:t>).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6.3. Palaikomas virtualizacijos aplinkų tinklo funkcionalumas.</w:t>
      </w:r>
    </w:p>
    <w:p w:rsidR="00255A10" w:rsidRPr="00272A78" w:rsidRDefault="00FD745C">
      <w:pPr>
        <w:pStyle w:val="Antrat2"/>
        <w:rPr>
          <w:lang w:val="lt-LT"/>
        </w:rPr>
      </w:pPr>
      <w:r w:rsidRPr="00272A78">
        <w:rPr>
          <w:lang w:val="lt-LT"/>
        </w:rPr>
        <w:t>7. Nuotolinis valdymas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7.1. Integruotas nepriklausomas nuotolinio administravimo modulis (</w:t>
      </w:r>
      <w:proofErr w:type="spellStart"/>
      <w:r w:rsidRPr="00272A78">
        <w:rPr>
          <w:lang w:val="lt-LT"/>
        </w:rPr>
        <w:t>iDRAC</w:t>
      </w:r>
      <w:proofErr w:type="spellEnd"/>
      <w:r w:rsidRPr="00272A78">
        <w:rPr>
          <w:lang w:val="lt-LT"/>
        </w:rPr>
        <w:t xml:space="preserve">, </w:t>
      </w:r>
      <w:proofErr w:type="spellStart"/>
      <w:r w:rsidRPr="00272A78">
        <w:rPr>
          <w:lang w:val="lt-LT"/>
        </w:rPr>
        <w:t>iLO</w:t>
      </w:r>
      <w:proofErr w:type="spellEnd"/>
      <w:r w:rsidRPr="00272A78">
        <w:rPr>
          <w:lang w:val="lt-LT"/>
        </w:rPr>
        <w:t xml:space="preserve"> ar lygiavertis).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7.2. Funkcijos: nuotolinis įjungimas/išjungimas, aparatinės įrangos stebėjimas, virtuali konsolė, OS diegimas nuotoliniu būdu.</w:t>
      </w:r>
    </w:p>
    <w:p w:rsidR="00255A10" w:rsidRPr="00272A78" w:rsidRDefault="00FD745C">
      <w:pPr>
        <w:pStyle w:val="Antrat2"/>
        <w:rPr>
          <w:lang w:val="lt-LT"/>
        </w:rPr>
      </w:pPr>
      <w:r w:rsidRPr="00272A78">
        <w:rPr>
          <w:lang w:val="lt-LT"/>
        </w:rPr>
        <w:t>8. Maitinimas ir aušinimas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 xml:space="preserve">8.1. Ne mažiau kaip 1 </w:t>
      </w:r>
      <w:proofErr w:type="spellStart"/>
      <w:r w:rsidRPr="00272A78">
        <w:rPr>
          <w:lang w:val="lt-LT"/>
        </w:rPr>
        <w:t>Hot-plug</w:t>
      </w:r>
      <w:proofErr w:type="spellEnd"/>
      <w:r w:rsidRPr="00272A78">
        <w:rPr>
          <w:lang w:val="lt-LT"/>
        </w:rPr>
        <w:t xml:space="preserve"> maitinimo šaltinis.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 xml:space="preserve">8.2. Ne mažesnis kaip 80 PLUS </w:t>
      </w:r>
      <w:proofErr w:type="spellStart"/>
      <w:r w:rsidRPr="00272A78">
        <w:rPr>
          <w:lang w:val="lt-LT"/>
        </w:rPr>
        <w:t>Bronze</w:t>
      </w:r>
      <w:proofErr w:type="spellEnd"/>
      <w:r w:rsidRPr="00272A78">
        <w:rPr>
          <w:lang w:val="lt-LT"/>
        </w:rPr>
        <w:t xml:space="preserve"> efektyvumas.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8.3. Pertekliniai (</w:t>
      </w:r>
      <w:proofErr w:type="spellStart"/>
      <w:r w:rsidRPr="00272A78">
        <w:rPr>
          <w:lang w:val="lt-LT"/>
        </w:rPr>
        <w:t>redundant</w:t>
      </w:r>
      <w:proofErr w:type="spellEnd"/>
      <w:r w:rsidRPr="00272A78">
        <w:rPr>
          <w:lang w:val="lt-LT"/>
        </w:rPr>
        <w:t>) aušinimo ventiliatoriai.</w:t>
      </w:r>
    </w:p>
    <w:p w:rsidR="00255A10" w:rsidRPr="00272A78" w:rsidRDefault="00FD745C">
      <w:pPr>
        <w:pStyle w:val="Antrat2"/>
        <w:rPr>
          <w:lang w:val="lt-LT"/>
        </w:rPr>
      </w:pPr>
      <w:r w:rsidRPr="00272A78">
        <w:rPr>
          <w:lang w:val="lt-LT"/>
        </w:rPr>
        <w:t>9. Suderinamumas</w:t>
      </w:r>
    </w:p>
    <w:p w:rsidR="00255A10" w:rsidRPr="00272A78" w:rsidRDefault="00FD745C">
      <w:pPr>
        <w:rPr>
          <w:color w:val="FF0000"/>
          <w:lang w:val="lt-LT"/>
        </w:rPr>
      </w:pPr>
      <w:r w:rsidRPr="00272A78">
        <w:rPr>
          <w:lang w:val="lt-LT"/>
        </w:rPr>
        <w:t xml:space="preserve">9.1. </w:t>
      </w:r>
      <w:r w:rsidR="007E7347" w:rsidRPr="00272A78">
        <w:rPr>
          <w:lang w:val="lt-LT"/>
        </w:rPr>
        <w:t xml:space="preserve">Turi būti įdiegta </w:t>
      </w:r>
      <w:r w:rsidRPr="00272A78">
        <w:rPr>
          <w:lang w:val="lt-LT"/>
        </w:rPr>
        <w:t>operacinė sistem</w:t>
      </w:r>
      <w:r w:rsidR="007E7347" w:rsidRPr="00272A78">
        <w:rPr>
          <w:lang w:val="lt-LT"/>
        </w:rPr>
        <w:t>a</w:t>
      </w:r>
      <w:r w:rsidRPr="00272A78">
        <w:rPr>
          <w:lang w:val="lt-LT"/>
        </w:rPr>
        <w:t xml:space="preserve"> Microsoft Windows Server, </w:t>
      </w:r>
    </w:p>
    <w:p w:rsidR="00255A10" w:rsidRPr="00272A78" w:rsidRDefault="00FD745C">
      <w:pPr>
        <w:pStyle w:val="Antrat2"/>
        <w:rPr>
          <w:lang w:val="lt-LT"/>
        </w:rPr>
      </w:pPr>
      <w:r w:rsidRPr="00272A78">
        <w:rPr>
          <w:lang w:val="lt-LT"/>
        </w:rPr>
        <w:t>10. Garantija ir aptarnavimas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 xml:space="preserve">10.1. Ne trumpesnė kaip </w:t>
      </w:r>
      <w:r w:rsidR="007E7347" w:rsidRPr="00272A78">
        <w:rPr>
          <w:lang w:val="lt-LT"/>
        </w:rPr>
        <w:t>2</w:t>
      </w:r>
      <w:r w:rsidRPr="00272A78">
        <w:rPr>
          <w:lang w:val="lt-LT"/>
        </w:rPr>
        <w:t xml:space="preserve"> metų gamintojo garantija.</w:t>
      </w:r>
    </w:p>
    <w:p w:rsidR="00255A10" w:rsidRPr="00272A78" w:rsidRDefault="00FD745C">
      <w:pPr>
        <w:rPr>
          <w:color w:val="FF0000"/>
          <w:lang w:val="lt-LT"/>
        </w:rPr>
      </w:pPr>
      <w:r w:rsidRPr="00272A78">
        <w:rPr>
          <w:lang w:val="lt-LT"/>
        </w:rPr>
        <w:t xml:space="preserve">10.2. Gedimų šalinimas – </w:t>
      </w:r>
      <w:r w:rsidR="007E7347" w:rsidRPr="00272A78">
        <w:rPr>
          <w:lang w:val="lt-LT"/>
        </w:rPr>
        <w:t xml:space="preserve">reagavimas į pranešimą </w:t>
      </w:r>
      <w:r w:rsidRPr="00272A78">
        <w:rPr>
          <w:lang w:val="lt-LT"/>
        </w:rPr>
        <w:t>ne ilgesnis kaip NBD (</w:t>
      </w:r>
      <w:proofErr w:type="spellStart"/>
      <w:r w:rsidRPr="00272A78">
        <w:rPr>
          <w:lang w:val="lt-LT"/>
        </w:rPr>
        <w:t>Next</w:t>
      </w:r>
      <w:proofErr w:type="spellEnd"/>
      <w:r w:rsidRPr="00272A78">
        <w:rPr>
          <w:lang w:val="lt-LT"/>
        </w:rPr>
        <w:t xml:space="preserve"> </w:t>
      </w:r>
      <w:proofErr w:type="spellStart"/>
      <w:r w:rsidRPr="00272A78">
        <w:rPr>
          <w:lang w:val="lt-LT"/>
        </w:rPr>
        <w:t>Business</w:t>
      </w:r>
      <w:proofErr w:type="spellEnd"/>
      <w:r w:rsidRPr="00272A78">
        <w:rPr>
          <w:lang w:val="lt-LT"/>
        </w:rPr>
        <w:t xml:space="preserve"> </w:t>
      </w:r>
      <w:proofErr w:type="spellStart"/>
      <w:r w:rsidRPr="00272A78">
        <w:rPr>
          <w:lang w:val="lt-LT"/>
        </w:rPr>
        <w:t>Day</w:t>
      </w:r>
      <w:proofErr w:type="spellEnd"/>
      <w:r w:rsidRPr="00272A78">
        <w:rPr>
          <w:lang w:val="lt-LT"/>
        </w:rPr>
        <w:t>)</w:t>
      </w:r>
      <w:r w:rsidR="007E7347" w:rsidRPr="00272A78">
        <w:rPr>
          <w:lang w:val="lt-LT"/>
        </w:rPr>
        <w:t xml:space="preserve">, </w:t>
      </w:r>
    </w:p>
    <w:p w:rsidR="00255A10" w:rsidRPr="00272A78" w:rsidRDefault="00FD745C">
      <w:pPr>
        <w:pStyle w:val="Antrat2"/>
        <w:rPr>
          <w:lang w:val="lt-LT"/>
        </w:rPr>
      </w:pPr>
      <w:r w:rsidRPr="00272A78">
        <w:rPr>
          <w:lang w:val="lt-LT"/>
        </w:rPr>
        <w:t>11. Paskirtis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11.1. Virtualizacijos aplinka.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11.2. Failų serveris.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11.3. Verslo informacinių sistemų talpinimas.</w:t>
      </w:r>
    </w:p>
    <w:p w:rsidR="00255A10" w:rsidRPr="00272A78" w:rsidRDefault="00FD745C">
      <w:pPr>
        <w:rPr>
          <w:lang w:val="lt-LT"/>
        </w:rPr>
      </w:pPr>
      <w:r w:rsidRPr="00272A78">
        <w:rPr>
          <w:lang w:val="lt-LT"/>
        </w:rPr>
        <w:t>11.4. Duomenų saugojimas ir apdorojimas.</w:t>
      </w:r>
    </w:p>
    <w:sectPr w:rsidR="00255A10" w:rsidRPr="00272A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5A10"/>
    <w:rsid w:val="00272A78"/>
    <w:rsid w:val="0029639D"/>
    <w:rsid w:val="00326F90"/>
    <w:rsid w:val="004A5683"/>
    <w:rsid w:val="00754899"/>
    <w:rsid w:val="007E7347"/>
    <w:rsid w:val="00AA1D8D"/>
    <w:rsid w:val="00B47730"/>
    <w:rsid w:val="00CB0664"/>
    <w:rsid w:val="00FC693F"/>
    <w:rsid w:val="00FD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BCFC0"/>
  <w14:defaultImageDpi w14:val="300"/>
  <w15:docId w15:val="{E37EC156-650D-4930-8D5A-616409C8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C9D25F-9659-41C5-9B77-F34E3173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1446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Darb</cp:lastModifiedBy>
  <cp:revision>3</cp:revision>
  <dcterms:created xsi:type="dcterms:W3CDTF">2026-03-02T11:57:00Z</dcterms:created>
  <dcterms:modified xsi:type="dcterms:W3CDTF">2026-03-02T15:09:00Z</dcterms:modified>
  <cp:category/>
</cp:coreProperties>
</file>