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013D8BCF" w14:textId="77777777" w:rsidR="006469F6" w:rsidRPr="003845D0" w:rsidRDefault="006469F6" w:rsidP="000207A5">
          <w:pPr>
            <w:spacing w:after="0" w:line="240" w:lineRule="auto"/>
            <w:contextualSpacing/>
            <w:rPr>
              <w:rFonts w:asciiTheme="majorBidi" w:hAnsiTheme="majorBidi" w:cstheme="majorBidi"/>
              <w:b/>
              <w:bCs/>
              <w:sz w:val="24"/>
              <w:szCs w:val="24"/>
            </w:rPr>
          </w:pPr>
        </w:p>
        <w:p w14:paraId="6D822F3C" w14:textId="77777777" w:rsidR="006469F6" w:rsidRPr="00322695" w:rsidRDefault="006469F6" w:rsidP="00F16909">
          <w:pPr>
            <w:spacing w:after="0" w:line="240" w:lineRule="auto"/>
            <w:contextualSpacing/>
            <w:jc w:val="center"/>
            <w:rPr>
              <w:rFonts w:asciiTheme="majorBidi" w:hAnsiTheme="majorBidi" w:cstheme="majorBidi"/>
              <w:b/>
              <w:bCs/>
              <w:sz w:val="24"/>
              <w:szCs w:val="24"/>
            </w:rPr>
          </w:pPr>
        </w:p>
        <w:p w14:paraId="36C6BD87" w14:textId="0C58F6F5" w:rsidR="00C724A1" w:rsidRPr="0048749B" w:rsidRDefault="00C724A1" w:rsidP="00C724A1">
          <w:pPr>
            <w:spacing w:after="120" w:line="240" w:lineRule="auto"/>
            <w:contextualSpacing/>
            <w:jc w:val="center"/>
            <w:rPr>
              <w:rFonts w:asciiTheme="majorBidi" w:hAnsiTheme="majorBidi" w:cstheme="majorBidi"/>
              <w:b/>
              <w:sz w:val="28"/>
              <w:szCs w:val="28"/>
            </w:rPr>
          </w:pPr>
          <w:r w:rsidRPr="0048749B">
            <w:rPr>
              <w:rFonts w:asciiTheme="majorBidi" w:hAnsiTheme="majorBidi" w:cstheme="majorBidi"/>
              <w:b/>
              <w:sz w:val="28"/>
              <w:szCs w:val="28"/>
            </w:rPr>
            <w:t>MAŽOS VERTĖS VIEŠOJO PIRKIMO „</w:t>
          </w:r>
          <w:r w:rsidR="00322695" w:rsidRPr="0048749B">
            <w:rPr>
              <w:rFonts w:ascii="Times New Roman" w:eastAsia="Times New Roman" w:hAnsi="Times New Roman" w:cs="Times New Roman"/>
              <w:b/>
              <w:bCs/>
              <w:sz w:val="28"/>
              <w:szCs w:val="28"/>
            </w:rPr>
            <w:t>INTERREG VI-A LIETUVOS–LENKIJOS BENDRADARBIAVIMO PROGRAMOS PROJEKTO NR. LTPL00388 „TINKLŲ KŪRIMAS SIEKIANT SĖKMINGOS NUTEISTŲJŲ RESOCIALIZACIJOS IR VISUOMENĖS TELKIMO BENDRAM PASITIKĖJIMUI“ SOCIOLOGINIŲ TYRIMŲ PASLAUGOS</w:t>
          </w:r>
          <w:r w:rsidRPr="0048749B">
            <w:rPr>
              <w:rFonts w:asciiTheme="majorBidi" w:hAnsiTheme="majorBidi" w:cstheme="majorBidi"/>
              <w:b/>
              <w:sz w:val="28"/>
              <w:szCs w:val="28"/>
            </w:rPr>
            <w:t>“</w:t>
          </w:r>
        </w:p>
        <w:p w14:paraId="47EF0C37" w14:textId="32D4ED92" w:rsidR="00D526C8" w:rsidRPr="0048749B" w:rsidRDefault="00C724A1" w:rsidP="00C724A1">
          <w:pPr>
            <w:spacing w:after="0" w:line="240" w:lineRule="auto"/>
            <w:contextualSpacing/>
            <w:jc w:val="center"/>
            <w:rPr>
              <w:rFonts w:asciiTheme="majorBidi" w:hAnsiTheme="majorBidi" w:cstheme="majorBidi"/>
              <w:sz w:val="28"/>
              <w:szCs w:val="28"/>
            </w:rPr>
          </w:pPr>
          <w:r w:rsidRPr="0048749B">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5EF1B16"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1EC82C5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3196884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510EE1F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7BDE0492"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486D544A"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4301FB9C"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2FA8B96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4C7DD15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3745CF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713D7E0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6D2AB45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59BE9764"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6DCE10D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1B484AA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1F93CA2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70FD398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940E34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C0BB" w14:textId="77777777" w:rsidR="00B85EAD" w:rsidRDefault="00B85EAD" w:rsidP="00D05666">
      <w:r>
        <w:separator/>
      </w:r>
    </w:p>
  </w:endnote>
  <w:endnote w:type="continuationSeparator" w:id="0">
    <w:p w14:paraId="57FDF2E4" w14:textId="77777777" w:rsidR="00B85EAD" w:rsidRDefault="00B85EAD" w:rsidP="00D05666">
      <w:r>
        <w:continuationSeparator/>
      </w:r>
    </w:p>
  </w:endnote>
  <w:endnote w:type="continuationNotice" w:id="1">
    <w:p w14:paraId="19553FF7" w14:textId="77777777" w:rsidR="00B85EAD" w:rsidRDefault="00B85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9AFF" w14:textId="77777777" w:rsidR="00B85EAD" w:rsidRDefault="00B85EAD" w:rsidP="00D05666">
      <w:r>
        <w:separator/>
      </w:r>
    </w:p>
  </w:footnote>
  <w:footnote w:type="continuationSeparator" w:id="0">
    <w:p w14:paraId="4BBBA341" w14:textId="77777777" w:rsidR="00B85EAD" w:rsidRDefault="00B85EAD" w:rsidP="00D05666">
      <w:r>
        <w:continuationSeparator/>
      </w:r>
    </w:p>
  </w:footnote>
  <w:footnote w:type="continuationNotice" w:id="1">
    <w:p w14:paraId="6578A00E" w14:textId="77777777" w:rsidR="00B85EAD" w:rsidRDefault="00B85EAD">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A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1A48"/>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1D17"/>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3BEF"/>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2695"/>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49B"/>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60B"/>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3AB"/>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89B"/>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5EAD"/>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A5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DF6A49DA-432E-48F8-BE62-CC68990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24045</Words>
  <Characters>13706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Vilija Jakutienė</cp:lastModifiedBy>
  <cp:revision>4</cp:revision>
  <dcterms:created xsi:type="dcterms:W3CDTF">2026-03-03T09:38:00Z</dcterms:created>
  <dcterms:modified xsi:type="dcterms:W3CDTF">2026-03-04T06:22:00Z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