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DF600" w14:textId="77777777" w:rsidR="008A5789" w:rsidRPr="00E30D9F" w:rsidRDefault="008A5789" w:rsidP="008A5789">
      <w:pPr>
        <w:spacing w:line="300" w:lineRule="atLeast"/>
        <w:jc w:val="both"/>
        <w:rPr>
          <w:b/>
          <w:bCs/>
          <w:color w:val="000000"/>
          <w:lang w:val="lt-LT"/>
        </w:rPr>
      </w:pPr>
      <w:r w:rsidRPr="00E30D9F">
        <w:rPr>
          <w:b/>
          <w:bCs/>
          <w:color w:val="000000"/>
          <w:lang w:val="lt-LT"/>
        </w:rPr>
        <w:t>DĖL ATSAKYM</w:t>
      </w:r>
      <w:r>
        <w:rPr>
          <w:b/>
          <w:bCs/>
          <w:color w:val="000000"/>
          <w:lang w:val="lt-LT"/>
        </w:rPr>
        <w:t>Ų</w:t>
      </w:r>
      <w:r w:rsidRPr="00E30D9F">
        <w:rPr>
          <w:b/>
          <w:bCs/>
          <w:color w:val="000000"/>
          <w:lang w:val="lt-LT"/>
        </w:rPr>
        <w:t xml:space="preserve"> Į KLAUSIMUS</w:t>
      </w:r>
    </w:p>
    <w:p w14:paraId="06D31C58" w14:textId="77777777" w:rsidR="008A5789" w:rsidRPr="00E30D9F" w:rsidRDefault="008A5789" w:rsidP="008A5789">
      <w:pPr>
        <w:spacing w:line="300" w:lineRule="atLeast"/>
        <w:jc w:val="both"/>
        <w:rPr>
          <w:color w:val="000000"/>
          <w:lang w:val="lt-LT"/>
        </w:rPr>
      </w:pPr>
    </w:p>
    <w:p w14:paraId="6BF3143D" w14:textId="77777777" w:rsidR="008A5789" w:rsidRPr="00E30D9F" w:rsidRDefault="008A5789" w:rsidP="008A5789">
      <w:pPr>
        <w:spacing w:line="300" w:lineRule="atLeast"/>
        <w:ind w:firstLine="720"/>
        <w:jc w:val="both"/>
        <w:rPr>
          <w:color w:val="000000"/>
          <w:lang w:val="lt-LT"/>
        </w:rPr>
      </w:pPr>
      <w:r w:rsidRPr="00E30D9F">
        <w:rPr>
          <w:color w:val="000000"/>
          <w:lang w:val="lt-LT"/>
        </w:rPr>
        <w:t>Viešoji įstaiga CPO LT, vykdydama viešąjį pirkimą „</w:t>
      </w:r>
      <w:r w:rsidRPr="00E30D9F">
        <w:rPr>
          <w:rFonts w:eastAsia="Times New Roman"/>
          <w:bdr w:val="none" w:sz="0" w:space="0" w:color="auto" w:frame="1"/>
          <w:lang w:val="lt-LT" w:eastAsia="lt-LT"/>
        </w:rPr>
        <w:t>TELEFONIJOS RYŠIO IR SKAMBUČIŲ CENTRO PASLAUGOS</w:t>
      </w:r>
      <w:r w:rsidRPr="00E30D9F">
        <w:rPr>
          <w:lang w:val="lt-LT"/>
        </w:rPr>
        <w:t xml:space="preserve">”, </w:t>
      </w:r>
      <w:r w:rsidRPr="00E30D9F">
        <w:rPr>
          <w:color w:val="000000"/>
          <w:lang w:val="lt-LT"/>
        </w:rPr>
        <w:t xml:space="preserve">gavo suinteresuoto tiekėjo klausimus. </w:t>
      </w:r>
    </w:p>
    <w:p w14:paraId="675C68CD" w14:textId="77777777" w:rsidR="008A5789" w:rsidRPr="00E30D9F" w:rsidRDefault="008A5789" w:rsidP="008A5789">
      <w:pPr>
        <w:ind w:firstLine="851"/>
        <w:jc w:val="both"/>
        <w:rPr>
          <w:lang w:val="lt-LT"/>
        </w:rPr>
      </w:pPr>
      <w:r w:rsidRPr="00E30D9F">
        <w:rPr>
          <w:lang w:val="lt-LT" w:eastAsia="en-GB"/>
        </w:rPr>
        <w:t>Vadovaudamiesi Lietuvos Respublikos viešųjų pirkimų įstatymo 36 str. 5 d. bei Bendrųjų pirkimo sąlygų 5.2 p.,</w:t>
      </w:r>
      <w:r w:rsidRPr="00E30D9F">
        <w:rPr>
          <w:lang w:val="lt-LT"/>
        </w:rPr>
        <w:t xml:space="preserve"> teikiami atsakymai į klausimus:</w:t>
      </w:r>
    </w:p>
    <w:tbl>
      <w:tblPr>
        <w:tblStyle w:val="TableGrid"/>
        <w:tblW w:w="9890" w:type="dxa"/>
        <w:tblInd w:w="-95" w:type="dxa"/>
        <w:tblLook w:val="04A0" w:firstRow="1" w:lastRow="0" w:firstColumn="1" w:lastColumn="0" w:noHBand="0" w:noVBand="1"/>
      </w:tblPr>
      <w:tblGrid>
        <w:gridCol w:w="570"/>
        <w:gridCol w:w="4847"/>
        <w:gridCol w:w="4473"/>
      </w:tblGrid>
      <w:tr w:rsidR="008A5789" w:rsidRPr="00E30D9F" w14:paraId="7BE3911D" w14:textId="77777777" w:rsidTr="0083690F">
        <w:tc>
          <w:tcPr>
            <w:tcW w:w="570" w:type="dxa"/>
            <w:vAlign w:val="center"/>
          </w:tcPr>
          <w:p w14:paraId="5F2D6CBE" w14:textId="77777777" w:rsidR="008A5789" w:rsidRPr="00E30D9F" w:rsidRDefault="008A5789" w:rsidP="0083690F">
            <w:pPr>
              <w:rPr>
                <w:b/>
                <w:bCs/>
                <w:i/>
                <w:iCs/>
              </w:rPr>
            </w:pPr>
            <w:r w:rsidRPr="00E30D9F">
              <w:rPr>
                <w:b/>
                <w:bCs/>
                <w:i/>
                <w:iCs/>
              </w:rPr>
              <w:t>Eil. Nr.</w:t>
            </w:r>
          </w:p>
        </w:tc>
        <w:tc>
          <w:tcPr>
            <w:tcW w:w="4847" w:type="dxa"/>
            <w:vAlign w:val="center"/>
          </w:tcPr>
          <w:p w14:paraId="6CB1A0EB" w14:textId="77777777" w:rsidR="008A5789" w:rsidRPr="00E30D9F" w:rsidRDefault="008A5789" w:rsidP="0083690F">
            <w:pPr>
              <w:jc w:val="center"/>
              <w:rPr>
                <w:b/>
                <w:bCs/>
                <w:i/>
                <w:iCs/>
              </w:rPr>
            </w:pPr>
            <w:r w:rsidRPr="00E30D9F">
              <w:rPr>
                <w:b/>
                <w:bCs/>
                <w:i/>
                <w:iCs/>
              </w:rPr>
              <w:t xml:space="preserve">KLAUSIMAS </w:t>
            </w:r>
          </w:p>
        </w:tc>
        <w:tc>
          <w:tcPr>
            <w:tcW w:w="4473" w:type="dxa"/>
            <w:vAlign w:val="center"/>
          </w:tcPr>
          <w:p w14:paraId="757746C9" w14:textId="77777777" w:rsidR="008A5789" w:rsidRPr="00E30D9F" w:rsidRDefault="008A5789" w:rsidP="0083690F">
            <w:pPr>
              <w:jc w:val="center"/>
              <w:rPr>
                <w:b/>
                <w:bCs/>
                <w:i/>
                <w:iCs/>
              </w:rPr>
            </w:pPr>
            <w:r w:rsidRPr="00E30D9F">
              <w:rPr>
                <w:b/>
                <w:bCs/>
                <w:i/>
                <w:iCs/>
              </w:rPr>
              <w:t>ATSAKYMAS</w:t>
            </w:r>
          </w:p>
        </w:tc>
      </w:tr>
      <w:tr w:rsidR="008A5789" w:rsidRPr="00E30D9F" w14:paraId="38CB02AA" w14:textId="77777777" w:rsidTr="0083690F">
        <w:tc>
          <w:tcPr>
            <w:tcW w:w="570" w:type="dxa"/>
            <w:vAlign w:val="center"/>
          </w:tcPr>
          <w:p w14:paraId="64430EBA" w14:textId="77777777" w:rsidR="008A5789" w:rsidRPr="00E30D9F" w:rsidRDefault="008A5789" w:rsidP="0083690F">
            <w:r w:rsidRPr="00E30D9F">
              <w:t>1.</w:t>
            </w:r>
          </w:p>
        </w:tc>
        <w:tc>
          <w:tcPr>
            <w:tcW w:w="4847" w:type="dxa"/>
            <w:vAlign w:val="center"/>
          </w:tcPr>
          <w:p w14:paraId="7B98E5E2" w14:textId="77777777" w:rsidR="008A5789" w:rsidRPr="00E30D9F" w:rsidRDefault="008A5789" w:rsidP="0083690F">
            <w:pPr>
              <w:jc w:val="both"/>
            </w:pPr>
            <w:r w:rsidRPr="00E30D9F">
              <w:t>I skyriaus 6 punkte parašyta, kad Pirkėjui taikomas Europos Parlamento ir Tarybos direktyva (ES) 2022/2555 dėl priemonių, kuriomis užtikrinamas aukštas bendras kibernetinio saugumo lygis visoje Sąjungoje (TIS2 / NIS2), todėl pirkimo objektas, tiekėjo teikiami sprendimai bei paslaugų tiekėjas privalo atitikti šioje direktyvoje ir susijusiuose teisės aktuose nustatytus kibernetinio saugumo reikalavimus.</w:t>
            </w:r>
            <w:r w:rsidRPr="00E30D9F">
              <w:br/>
            </w:r>
            <w:r w:rsidRPr="00E30D9F">
              <w:br/>
              <w:t>Pagal NIS 2 direktyvos reikalavimus pokalbių įrašų darymui/saugojimui/perklausimui keliami reikalavimai:</w:t>
            </w:r>
            <w:r w:rsidRPr="00E30D9F">
              <w:br/>
              <w:t>Prisijungimas prie vartotojo darbinės aplinkos turi būti apsaugotas bent dviejų skirtingų būdų autentifikacija (pvz., slaptažodis ir kodas, gaunamas SMS žinute).</w:t>
            </w:r>
            <w:r w:rsidRPr="00E30D9F">
              <w:br/>
              <w:t>Pokalbių įrašai turi būti užšifruoti visu savo gyvavimo laikotarpiu taikant visuotinai priimtų informacijos ir kibernetinės saugos gerųjų praktiškų rekomendacijas šifravimui;</w:t>
            </w:r>
            <w:r w:rsidRPr="00E30D9F">
              <w:br/>
              <w:t xml:space="preserve">Šifravimo algoritmas ir jo parametrai (pvz., rakto ilgis, veikimo režimas ir pan.) turi atitikti naujausius šifravimo standartus ir būti laikomi atspariais užkoduotų pranešimų iššifravimo, neturint rakto, procesui (angl. </w:t>
            </w:r>
            <w:proofErr w:type="spellStart"/>
            <w:r w:rsidRPr="00E30D9F">
              <w:t>cryptanalysis</w:t>
            </w:r>
            <w:proofErr w:type="spellEnd"/>
            <w:r w:rsidRPr="00E30D9F">
              <w:t>).</w:t>
            </w:r>
            <w:r w:rsidRPr="00E30D9F">
              <w:br/>
              <w:t>Siekiant užtikrinti pokalbių įrašų konfidencialumą ir atitikimą duomenų apsaugos reikalavimams pokalbių iššifravimo raktas ir/ar slaptažodis turi būti saugomas pas Perkančiąją organizaciją; Tiekėjas neturi turėti galimybių iššifruoti saugomų pokalbių.</w:t>
            </w:r>
            <w:r w:rsidRPr="00E30D9F">
              <w:br/>
              <w:t>Tiekėjas neturi turėti galimybių iššifruoti saugomų pokalbių.</w:t>
            </w:r>
            <w:r w:rsidRPr="00E30D9F">
              <w:br/>
              <w:t xml:space="preserve">Pokalbių įrašų perklausimas turi būti </w:t>
            </w:r>
            <w:proofErr w:type="spellStart"/>
            <w:r w:rsidRPr="00E30D9F">
              <w:t>monitorinamas</w:t>
            </w:r>
            <w:proofErr w:type="spellEnd"/>
            <w:r w:rsidRPr="00E30D9F">
              <w:t xml:space="preserve"> ( kas kada kokį įrašą perklausė/parsisiuntė);</w:t>
            </w:r>
            <w:r w:rsidRPr="00E30D9F">
              <w:br/>
            </w:r>
            <w:r w:rsidRPr="00E30D9F">
              <w:br/>
              <w:t>Patvirtinkite, kad paslaugos tiekėjas turi išpildyti pagrindinių privalomus aprašytus reikalavimus pokalbių įrašų darymui/saugojimui/perklausimui?</w:t>
            </w:r>
          </w:p>
        </w:tc>
        <w:tc>
          <w:tcPr>
            <w:tcW w:w="4473" w:type="dxa"/>
          </w:tcPr>
          <w:p w14:paraId="33B81A05" w14:textId="77777777" w:rsidR="008A5789" w:rsidRPr="00E30D9F" w:rsidRDefault="008A5789" w:rsidP="0083690F">
            <w:pPr>
              <w:jc w:val="both"/>
            </w:pPr>
            <w:r w:rsidRPr="00E30D9F">
              <w:t>Vadovaudamasi Viešųjų pirkimų įstatyme įtvirtintu proporcingumo principu ir formuojama praktika, Perkančioji organizacija pirkimo dokumentuose nustato ne perteklinius, o minimalius, tačiau Pirkėjo poreikiams ir saugumui visiškai pakankamus reikalavimus. Vertiname, kad šiuo metu specifikacijoje aprašytos sąlygos jau užtikrina pakankamą saugumo lygį, todėl Perkančioji organizacija nesiaurins specifikacijos nustatydama perteklinius technologinius ribojimus (pvz., reikalavimą iššifravimo raktus saugoti tik pas Pirkėją).</w:t>
            </w:r>
          </w:p>
        </w:tc>
      </w:tr>
      <w:tr w:rsidR="008A5789" w:rsidRPr="00E30D9F" w14:paraId="6DADB01E" w14:textId="77777777" w:rsidTr="0083690F">
        <w:tc>
          <w:tcPr>
            <w:tcW w:w="570" w:type="dxa"/>
          </w:tcPr>
          <w:p w14:paraId="5F320D38" w14:textId="77777777" w:rsidR="008A5789" w:rsidRPr="00E30D9F" w:rsidRDefault="008A5789" w:rsidP="0083690F">
            <w:pPr>
              <w:jc w:val="center"/>
              <w:rPr>
                <w:rFonts w:eastAsia="Times New Roman"/>
                <w:lang w:eastAsia="lt-LT"/>
              </w:rPr>
            </w:pPr>
            <w:r w:rsidRPr="00E30D9F">
              <w:rPr>
                <w:rFonts w:eastAsia="Times New Roman"/>
                <w:lang w:eastAsia="lt-LT"/>
              </w:rPr>
              <w:t>2.</w:t>
            </w:r>
          </w:p>
        </w:tc>
        <w:tc>
          <w:tcPr>
            <w:tcW w:w="4847" w:type="dxa"/>
          </w:tcPr>
          <w:p w14:paraId="1E3218E7" w14:textId="77777777" w:rsidR="008A5789" w:rsidRPr="00E30D9F" w:rsidRDefault="008A5789" w:rsidP="0083690F">
            <w:pPr>
              <w:jc w:val="both"/>
            </w:pPr>
            <w:r w:rsidRPr="00E30D9F">
              <w:t>III skyriaus 38.3.3 punkte rašoma, kad visi pokalbių įrašai turi būti saugomi užšifruoti. Prieiga prie jų turi būti ribojama ir fiksuojama žurnale.</w:t>
            </w:r>
            <w:r w:rsidRPr="00E30D9F">
              <w:br/>
            </w:r>
            <w:r w:rsidRPr="00E30D9F">
              <w:br/>
              <w:t xml:space="preserve">Prašome patikslinti kaip turi vykti pokalbių įrašų </w:t>
            </w:r>
            <w:r w:rsidRPr="00E30D9F">
              <w:lastRenderedPageBreak/>
              <w:t xml:space="preserve">dešifravimas? Kas atsakingas už dešifravimo rakto sukūrimą? NIS 2 direktyvos </w:t>
            </w:r>
            <w:proofErr w:type="spellStart"/>
            <w:r w:rsidRPr="00E30D9F">
              <w:t>reikalaivmai</w:t>
            </w:r>
            <w:proofErr w:type="spellEnd"/>
            <w:r w:rsidRPr="00E30D9F">
              <w:t xml:space="preserve"> dėl pokalbių įrašų saugojimo/perklausimo:</w:t>
            </w:r>
            <w:r w:rsidRPr="00E30D9F">
              <w:br/>
              <w:t>Pokalbių įrašai turi būti užšifruoti visu savo gyvavimo laikotarpiu taikant visuotinai priimtų informacijos ir kibernetinės saugos gerųjų praktiškų rekomendacijas šifravimui;</w:t>
            </w:r>
            <w:r w:rsidRPr="00E30D9F">
              <w:br/>
              <w:t xml:space="preserve">Šifravimo algoritmas ir jo parametrai (pvz., rakto ilgis, veikimo režimas ir pan.) turi atitikti naujausius šifravimo standartus ir būti laikomi atspariais užkoduotų pranešimų iššifravimo, neturint rakto, procesui (angl. </w:t>
            </w:r>
            <w:proofErr w:type="spellStart"/>
            <w:r w:rsidRPr="00E30D9F">
              <w:t>cryptanalysis</w:t>
            </w:r>
            <w:proofErr w:type="spellEnd"/>
            <w:r w:rsidRPr="00E30D9F">
              <w:t>).</w:t>
            </w:r>
            <w:r w:rsidRPr="00E30D9F">
              <w:br/>
              <w:t>Siekiant užtikrinti pokalbių įrašų konfidencialumą ir atitikimą duomenų apsaugos reikalavimams pokalbių iššifravimo raktas ir/ar slaptažodis turi būti saugomas pas Perkančiąją organizaciją; Tiekėjas neturi turėti galimybių iššifruoti saugomų pokalbių.</w:t>
            </w:r>
            <w:r w:rsidRPr="00E30D9F">
              <w:br/>
              <w:t xml:space="preserve">Pokalbių įrašų perklausimas turi būti </w:t>
            </w:r>
            <w:proofErr w:type="spellStart"/>
            <w:r w:rsidRPr="00E30D9F">
              <w:t>monitorinamas</w:t>
            </w:r>
            <w:proofErr w:type="spellEnd"/>
            <w:r w:rsidRPr="00E30D9F">
              <w:t xml:space="preserve"> ( kas kada kokį įrašą perklausė/parsisiuntė);</w:t>
            </w:r>
            <w:r w:rsidRPr="00E30D9F">
              <w:br/>
              <w:t>Tiekėjas neturi turėti galimybių iššifruoti saugomų pokalbių.</w:t>
            </w:r>
            <w:r w:rsidRPr="00E30D9F">
              <w:br/>
            </w:r>
            <w:r w:rsidRPr="00E30D9F">
              <w:br/>
              <w:t>Patvirtinkite, kad paslaugos teikėjas turi išpildyti pagrindinių privalomus reikalavimų dėl pokalbių įrašų dešifravimo.</w:t>
            </w:r>
          </w:p>
        </w:tc>
        <w:tc>
          <w:tcPr>
            <w:tcW w:w="4473" w:type="dxa"/>
          </w:tcPr>
          <w:p w14:paraId="02F21D8E" w14:textId="77777777" w:rsidR="008A5789" w:rsidRPr="00E30D9F" w:rsidRDefault="008A5789" w:rsidP="0083690F">
            <w:pPr>
              <w:jc w:val="both"/>
            </w:pPr>
            <w:r w:rsidRPr="00E30D9F">
              <w:lastRenderedPageBreak/>
              <w:t xml:space="preserve">Paaiškiname, kad griežtų ir specifinių technologinių ribojimų šiems procesams nenustatoma. Pirkimo dokumentuose paliekama galimybė tiekėjams siūlyti ir taikyti </w:t>
            </w:r>
            <w:r w:rsidRPr="00E30D9F">
              <w:lastRenderedPageBreak/>
              <w:t>suderinamus, pakankamus bei standartizuotus sprendimus, užtikrinančius aukštą saugumo lygį.</w:t>
            </w:r>
          </w:p>
          <w:p w14:paraId="1D647694" w14:textId="77777777" w:rsidR="008A5789" w:rsidRPr="00E30D9F" w:rsidRDefault="008A5789" w:rsidP="0083690F">
            <w:pPr>
              <w:jc w:val="both"/>
            </w:pPr>
            <w:r w:rsidRPr="00E30D9F">
              <w:t>Tiekėjui paliekama teisė ir atsakomybė pačiam parinkti saugius šifravimo / dešifravimo mechanizmus bei raktų valdymo procedūras, kurios atitiktų bendruosius Techninėje specifikacijoje nustatytus saugumo reikalavimus ir kartu leistų sklandžiai bei be papildomų trikdžių naudotis reikalaujamu paslaugų funkcionalumu.</w:t>
            </w:r>
          </w:p>
          <w:p w14:paraId="3225C2C4" w14:textId="77777777" w:rsidR="008A5789" w:rsidRPr="00E30D9F" w:rsidRDefault="008A5789" w:rsidP="0083690F">
            <w:pPr>
              <w:jc w:val="both"/>
            </w:pPr>
          </w:p>
        </w:tc>
      </w:tr>
      <w:tr w:rsidR="008A5789" w:rsidRPr="00E30D9F" w14:paraId="127105AB" w14:textId="77777777" w:rsidTr="0083690F">
        <w:tc>
          <w:tcPr>
            <w:tcW w:w="570" w:type="dxa"/>
          </w:tcPr>
          <w:p w14:paraId="3B4A63B6" w14:textId="77777777" w:rsidR="008A5789" w:rsidRPr="00E30D9F" w:rsidRDefault="008A5789" w:rsidP="0083690F">
            <w:pPr>
              <w:jc w:val="center"/>
              <w:rPr>
                <w:rFonts w:eastAsia="Times New Roman"/>
                <w:lang w:eastAsia="lt-LT"/>
              </w:rPr>
            </w:pPr>
            <w:r w:rsidRPr="00E30D9F">
              <w:rPr>
                <w:rFonts w:eastAsia="Times New Roman"/>
                <w:lang w:eastAsia="lt-LT"/>
              </w:rPr>
              <w:lastRenderedPageBreak/>
              <w:t xml:space="preserve">3. </w:t>
            </w:r>
          </w:p>
        </w:tc>
        <w:tc>
          <w:tcPr>
            <w:tcW w:w="4847" w:type="dxa"/>
          </w:tcPr>
          <w:p w14:paraId="2FE01DDA" w14:textId="77777777" w:rsidR="008A5789" w:rsidRPr="00E30D9F" w:rsidRDefault="008A5789" w:rsidP="0083690F">
            <w:pPr>
              <w:jc w:val="both"/>
            </w:pPr>
            <w:r w:rsidRPr="00E30D9F">
              <w:t>Techninėje specifikacijoje IV skyriuje 79 punkte rašoma, kad Perkančioji organizacija gali paprašyti pademonstruoti Skambučių centro valdymo sistemos funkcionalumus, numatytus pirkimo reikalavimuose. Aprašytas visas paslaugos demonstravimo eiliškumas. Pirkimų sąlygų specialiojoje dalyje 2.7 punkte rašoma, kad Perkančioji organizacija nerengs objekto apžiūros.</w:t>
            </w:r>
            <w:r w:rsidRPr="00E30D9F">
              <w:br/>
            </w:r>
            <w:r w:rsidRPr="00E30D9F">
              <w:br/>
              <w:t>Patikslinkite, kokiu atveju gali būti prašomas sistemos demonstravimas?</w:t>
            </w:r>
          </w:p>
        </w:tc>
        <w:tc>
          <w:tcPr>
            <w:tcW w:w="4473" w:type="dxa"/>
          </w:tcPr>
          <w:p w14:paraId="43E5FAC7" w14:textId="77777777" w:rsidR="008A5789" w:rsidRPr="00E30D9F" w:rsidRDefault="008A5789" w:rsidP="0083690F">
            <w:pPr>
              <w:jc w:val="both"/>
            </w:pPr>
            <w:r w:rsidRPr="00E30D9F">
              <w:t>Techninės specifikacijos IV skyriaus 79 p. numatyta, kad Perkančioji organizacija prašys pademonstruoti siūlomos Skambučių centro valdymo sistemos funkcionalumus, siekiant įsitikinti, kad siūlomas sprendimas atitinka Techninėje specifikacijoje nustatytus techninius ir funkcinius reikalavimus.</w:t>
            </w:r>
          </w:p>
          <w:p w14:paraId="68D2822D" w14:textId="77777777" w:rsidR="008A5789" w:rsidRPr="00E30D9F" w:rsidRDefault="008A5789" w:rsidP="0083690F">
            <w:pPr>
              <w:jc w:val="both"/>
            </w:pPr>
            <w:r w:rsidRPr="00E30D9F">
              <w:t>Sistemos demonstravimas nėra laikomas objekto apžiūra ir bus organizuojamas visiems tiekėjams, pateikusiems pasiūlymus.</w:t>
            </w:r>
          </w:p>
          <w:p w14:paraId="6ED8E90A" w14:textId="77777777" w:rsidR="008A5789" w:rsidRPr="00E30D9F" w:rsidRDefault="008A5789" w:rsidP="0083690F">
            <w:pPr>
              <w:jc w:val="both"/>
            </w:pPr>
            <w:r w:rsidRPr="00E30D9F">
              <w:t>Pirkimo sąlygų Specialiosios dalies 2.7 p. nurodyta, kad Perkančioji organizacija nerengs objekto apžiūros, t. y. nebus organizuojamas fizinės vietos apžiūrėjimas.</w:t>
            </w:r>
          </w:p>
        </w:tc>
      </w:tr>
      <w:tr w:rsidR="008A5789" w:rsidRPr="00E30D9F" w14:paraId="0833D21D" w14:textId="77777777" w:rsidTr="0083690F">
        <w:tc>
          <w:tcPr>
            <w:tcW w:w="570" w:type="dxa"/>
          </w:tcPr>
          <w:p w14:paraId="14F32D4B" w14:textId="77777777" w:rsidR="008A5789" w:rsidRPr="00E30D9F" w:rsidRDefault="008A5789" w:rsidP="0083690F">
            <w:pPr>
              <w:jc w:val="center"/>
              <w:rPr>
                <w:rFonts w:eastAsia="Times New Roman"/>
                <w:lang w:eastAsia="lt-LT"/>
              </w:rPr>
            </w:pPr>
            <w:r w:rsidRPr="00E30D9F">
              <w:rPr>
                <w:rFonts w:eastAsia="Times New Roman"/>
                <w:lang w:eastAsia="lt-LT"/>
              </w:rPr>
              <w:t>4.</w:t>
            </w:r>
          </w:p>
        </w:tc>
        <w:tc>
          <w:tcPr>
            <w:tcW w:w="4847" w:type="dxa"/>
          </w:tcPr>
          <w:p w14:paraId="501D4440" w14:textId="77777777" w:rsidR="008A5789" w:rsidRPr="00E30D9F" w:rsidRDefault="008A5789" w:rsidP="0083690F">
            <w:pPr>
              <w:tabs>
                <w:tab w:val="left" w:pos="1376"/>
              </w:tabs>
              <w:jc w:val="both"/>
            </w:pPr>
            <w:r w:rsidRPr="00E30D9F">
              <w:t>I skyriaus bendrosiose nuostatose rašoma, kad Paslaugos turi būti įdiegtos ir pradėti veikti visa apimtimi per 20 darbo dienų nuo Sutarties įsigaliojimo dienos. Paslaugos integracija į Pirkėjo informacinę infrastruktūrą turi būti atlikta be papildomų išlaidų.</w:t>
            </w:r>
            <w:r w:rsidRPr="00E30D9F">
              <w:br/>
            </w:r>
            <w:r w:rsidRPr="00E30D9F">
              <w:br/>
              <w:t>Patikslinkite dėl telefonų jungimo/keitimo. Jei tiekėjas pajungia sprendimą ant esamos kliento infrastruktūros ir sutarties metu suges galinė įranga ( pirkėjo telefonai) ar tiekėjas savo lėšomis turės keisti galines įrangas?</w:t>
            </w:r>
          </w:p>
        </w:tc>
        <w:tc>
          <w:tcPr>
            <w:tcW w:w="4473" w:type="dxa"/>
          </w:tcPr>
          <w:p w14:paraId="0DD03953" w14:textId="77777777" w:rsidR="008A5789" w:rsidRPr="00E30D9F" w:rsidRDefault="008A5789" w:rsidP="0083690F">
            <w:pPr>
              <w:jc w:val="both"/>
            </w:pPr>
            <w:r w:rsidRPr="00E30D9F">
              <w:t>Paaiškiname, kad Tiekėjui įdiegus ir perdavus naudojimui paslaugą, kuomet naudojama esama Perkančiajai organizacijai priklausanti galinė įranga (telefonų aparatai), ir sutarties vykdymo metu ši įranga sugenda (įvyksta fizinis ar elektroninis paties įrenginio gedimas), Tiekėjas neprivalo savo lėšomis jos keisti nauja. Atkreipiame dėmesį, kad vadovaujantis pirkimo dokumentais, Tiekėjo pareiga savo lėšomis keisti įrangą taikoma tiems atvejams, kai sugenda paties Tiekėjo pateikta (Tiekėjui priklausanti) įranga, arba kai Perkančiosios organizacijos palikta įranga nustoja veikti dėl techninio nesuderinamumo su Tiekėjo siūlomu sprendimu.</w:t>
            </w:r>
          </w:p>
        </w:tc>
      </w:tr>
      <w:tr w:rsidR="008A5789" w:rsidRPr="00E30D9F" w14:paraId="6DDB08B9" w14:textId="77777777" w:rsidTr="0083690F">
        <w:tc>
          <w:tcPr>
            <w:tcW w:w="570" w:type="dxa"/>
          </w:tcPr>
          <w:p w14:paraId="47105569" w14:textId="77777777" w:rsidR="008A5789" w:rsidRPr="00E30D9F" w:rsidRDefault="008A5789" w:rsidP="0083690F">
            <w:pPr>
              <w:jc w:val="center"/>
              <w:rPr>
                <w:rFonts w:eastAsia="Times New Roman"/>
                <w:lang w:eastAsia="lt-LT"/>
              </w:rPr>
            </w:pPr>
            <w:r w:rsidRPr="00E30D9F">
              <w:rPr>
                <w:rFonts w:eastAsia="Times New Roman"/>
                <w:lang w:eastAsia="lt-LT"/>
              </w:rPr>
              <w:lastRenderedPageBreak/>
              <w:t xml:space="preserve">5. </w:t>
            </w:r>
          </w:p>
        </w:tc>
        <w:tc>
          <w:tcPr>
            <w:tcW w:w="4847" w:type="dxa"/>
          </w:tcPr>
          <w:p w14:paraId="58A983CC" w14:textId="77777777" w:rsidR="008A5789" w:rsidRPr="00E30D9F" w:rsidRDefault="008A5789" w:rsidP="0083690F">
            <w:pPr>
              <w:jc w:val="both"/>
            </w:pPr>
            <w:r w:rsidRPr="00E30D9F">
              <w:t>Perkančiosios organizacijos 2026-02-27 atsakymas:</w:t>
            </w:r>
          </w:p>
          <w:p w14:paraId="7A31FD1A" w14:textId="77777777" w:rsidR="008A5789" w:rsidRPr="00E30D9F" w:rsidRDefault="008A5789" w:rsidP="0083690F">
            <w:pPr>
              <w:jc w:val="both"/>
              <w:rPr>
                <w:i/>
                <w:iCs/>
              </w:rPr>
            </w:pPr>
            <w:r w:rsidRPr="00E30D9F">
              <w:t xml:space="preserve">Techninės specifikacijos 93 p. nustatyta </w:t>
            </w:r>
            <w:r w:rsidRPr="00E30D9F">
              <w:rPr>
                <w:i/>
                <w:iCs/>
              </w:rPr>
              <w:t xml:space="preserve">„Reikalavimas galinei įrangai. Techninė įranga Pirkėjui turi būti pateikiama ir įrengiama paslaugos diegimo metu tais atvejais, kai esama Pirkėjo infrastruktūra ar turimi aparatai yra techniškai nesuderinami su Tiekėjo siūlomu sprendimu. </w:t>
            </w:r>
            <w:r w:rsidRPr="00E30D9F">
              <w:rPr>
                <w:b/>
                <w:bCs/>
                <w:i/>
                <w:iCs/>
              </w:rPr>
              <w:t>Pirkėjas šios įrangos neperka, nenuomoja ir nenaudoja išperkamosios nuomos būdu – Tiekėjas ją teikia savo lėšomis kaip būtinąją techninę priemonę Paslaugų teikimui užtikrinti. Visi su šios įrangos pateikimu, diegimu, priežiūra ir keitimu susiję kaštai privalo būti įskaičiuoti į bendrą Paslaugų teikimo kainą</w:t>
            </w:r>
            <w:r w:rsidRPr="00E30D9F">
              <w:rPr>
                <w:i/>
                <w:iCs/>
              </w:rPr>
              <w:t>.“.</w:t>
            </w:r>
          </w:p>
          <w:p w14:paraId="6AC7C009" w14:textId="77777777" w:rsidR="008A5789" w:rsidRPr="00E30D9F" w:rsidRDefault="008A5789" w:rsidP="0083690F">
            <w:pPr>
              <w:jc w:val="both"/>
            </w:pPr>
          </w:p>
          <w:p w14:paraId="0C1F0133" w14:textId="77777777" w:rsidR="008A5789" w:rsidRPr="00E30D9F" w:rsidRDefault="008A5789" w:rsidP="0083690F">
            <w:pPr>
              <w:jc w:val="both"/>
            </w:pPr>
            <w:r w:rsidRPr="00E30D9F">
              <w:t>Atsižvelgiant į tai, jeigu Tiekėjo siūlomas sprendinys yra techniškai suderinamas su Perkančiosios organizacijos turima infrastruktūra ir telefonų aparatais ir Tiekėjas naujos galinės įrangos neteikia, tokiu atveju Tiekėjas nepildo Techninės specifikacijos 6 ir 7 lentelių bei pasiūlymo formos dalies „Informacija apie įrangos gamintoją (-</w:t>
            </w:r>
            <w:proofErr w:type="spellStart"/>
            <w:r w:rsidRPr="00E30D9F">
              <w:t>us</w:t>
            </w:r>
            <w:proofErr w:type="spellEnd"/>
            <w:r w:rsidRPr="00E30D9F">
              <w:t>)“ telefono aparatų dalyje.</w:t>
            </w:r>
          </w:p>
          <w:p w14:paraId="1C7DB29C" w14:textId="77777777" w:rsidR="008A5789" w:rsidRPr="00E30D9F" w:rsidRDefault="008A5789" w:rsidP="0083690F">
            <w:pPr>
              <w:jc w:val="both"/>
            </w:pPr>
          </w:p>
          <w:p w14:paraId="1D39BD2D" w14:textId="77777777" w:rsidR="008A5789" w:rsidRPr="00E30D9F" w:rsidRDefault="008A5789" w:rsidP="0083690F">
            <w:pPr>
              <w:jc w:val="both"/>
            </w:pPr>
            <w:r w:rsidRPr="00E30D9F">
              <w:t xml:space="preserve">Tiekėjo klausimai: </w:t>
            </w:r>
          </w:p>
          <w:p w14:paraId="4B1B2B28" w14:textId="77777777" w:rsidR="008A5789" w:rsidRPr="00E30D9F" w:rsidRDefault="008A5789" w:rsidP="0083690F">
            <w:pPr>
              <w:jc w:val="both"/>
            </w:pPr>
            <w:r w:rsidRPr="00E30D9F">
              <w:t xml:space="preserve">1. manome, kad punkte minėtos lentelės ir informacija privalo būti teikiamos kiekvieno tiekėjo, nes sutarties terminas yra 36 mėnesiai ir sugedus įrangai per šį laikotarpį ji turės </w:t>
            </w:r>
            <w:proofErr w:type="spellStart"/>
            <w:r w:rsidRPr="00E30D9F">
              <w:t>buti</w:t>
            </w:r>
            <w:proofErr w:type="spellEnd"/>
            <w:r w:rsidRPr="00E30D9F">
              <w:t xml:space="preserve"> keičiama, todėl logiškai kiekvienas tiekėjas turi nurodyti kokia konkrečia įranga (atitinkančia nacionalinio saugumo </w:t>
            </w:r>
            <w:proofErr w:type="spellStart"/>
            <w:r w:rsidRPr="00E30D9F">
              <w:t>rekalavimus</w:t>
            </w:r>
            <w:proofErr w:type="spellEnd"/>
            <w:r w:rsidRPr="00E30D9F">
              <w:t>) bus pakeičiami sutarties galiojimo laikotarpiu sugedę telefono aparatai.</w:t>
            </w:r>
          </w:p>
          <w:p w14:paraId="6C538621" w14:textId="77777777" w:rsidR="008A5789" w:rsidRPr="00E30D9F" w:rsidRDefault="008A5789" w:rsidP="0083690F">
            <w:pPr>
              <w:jc w:val="both"/>
            </w:pPr>
            <w:r w:rsidRPr="00E30D9F">
              <w:t xml:space="preserve">2. norime papildyti prieš tai siųstą paklausimą: dalies 1 lentelėje yra nurodyta, kad šiai dienai organizacija naudoja 839 abonentus, o pasiūlymo formoje nurodomas maksimalus </w:t>
            </w:r>
            <w:proofErr w:type="spellStart"/>
            <w:r w:rsidRPr="00E30D9F">
              <w:t>abonetų</w:t>
            </w:r>
            <w:proofErr w:type="spellEnd"/>
            <w:r w:rsidRPr="00E30D9F">
              <w:t xml:space="preserve"> kiekis - 1000 vnt. Jeigu paliekant esamą galinę infrastruktūrą nereikia pildyti lentelės apie planuojamus statyti telefonus, tai kokią galinę įrangą tiekėjas turi pateikti didinant sutarties metu abonentų kiekį iki 1000 </w:t>
            </w:r>
            <w:proofErr w:type="spellStart"/>
            <w:r w:rsidRPr="00E30D9F">
              <w:t>vnt</w:t>
            </w:r>
            <w:proofErr w:type="spellEnd"/>
            <w:r w:rsidRPr="00E30D9F">
              <w:t>? Kokią įrangą stato sugedus esamai įrangai?</w:t>
            </w:r>
            <w:r w:rsidRPr="00E30D9F">
              <w:br/>
            </w:r>
            <w:r w:rsidRPr="00E30D9F">
              <w:br/>
              <w:t>Manome, kad yra nelogiška neteikti šios informacijos, tad prašome patikslinimo ir išaiškinimo.</w:t>
            </w:r>
          </w:p>
        </w:tc>
        <w:tc>
          <w:tcPr>
            <w:tcW w:w="4473" w:type="dxa"/>
          </w:tcPr>
          <w:p w14:paraId="5B4D8FB4" w14:textId="77777777" w:rsidR="008A5789" w:rsidRPr="00E30D9F" w:rsidRDefault="008A5789" w:rsidP="0083690F">
            <w:pPr>
              <w:jc w:val="both"/>
            </w:pPr>
            <w:r w:rsidRPr="00E30D9F">
              <w:t xml:space="preserve">Vadovaudamasi proporcingumo principu, Perkančioji organizacija nelaiko tikslingu ir logišku reikalauti iš tiekėjų pasiūlymo teikimo metu iš anksto deklaruoti teorinius įrangos modelius, kurių jie neplanuoja naudoti ar tiekti paslaugų diegimo metu. </w:t>
            </w:r>
          </w:p>
          <w:p w14:paraId="498EE600" w14:textId="77777777" w:rsidR="008A5789" w:rsidRPr="00E30D9F" w:rsidRDefault="008A5789" w:rsidP="0083690F">
            <w:pPr>
              <w:jc w:val="both"/>
            </w:pPr>
            <w:r w:rsidRPr="00E30D9F">
              <w:t>Paaiškiname, kad Tiekėjui įdiegus ir perdavus naudojimui paslaugą, kuomet naudojama esama Perkančiajai organizacijai priklausanti galinė įranga (telefonų aparatai), ir sutarties vykdymo metu ši įranga sugenda (įvyksta fizinis ar elektroninis paties įrenginio gedimas), Tiekėjas neprivalo savo lėšomis jos keisti nauja.</w:t>
            </w:r>
          </w:p>
          <w:p w14:paraId="0A1A6046" w14:textId="77777777" w:rsidR="008A5789" w:rsidRPr="00E30D9F" w:rsidRDefault="008A5789" w:rsidP="0083690F">
            <w:pPr>
              <w:jc w:val="both"/>
            </w:pPr>
          </w:p>
          <w:p w14:paraId="30EC21D7" w14:textId="77777777" w:rsidR="008A5789" w:rsidRPr="00E30D9F" w:rsidRDefault="008A5789" w:rsidP="0083690F">
            <w:pPr>
              <w:jc w:val="both"/>
            </w:pPr>
            <w:r w:rsidRPr="00E30D9F">
              <w:t>Perkančioji organizacija paaiškina, kad sutarties vykdymo metu (tiek atliekant paslaugų plėtrą iki 1000 abonentų, tiek sprendžiant įrangos gedimo klausimus) bus vadovaujamasi paslaugos teikimo tęstinumo ir Tiekėjo pasirinkto pirminio sprendimo modelio principu. Tai reiškia, kad jeigu sprendimas buvo pritaikytas esamai Pirkėjo infrastruktūrai, naujų abonentų prijungimui ar fizinį gedimą patyrusių aparatų keitimui bus naudojama Pirkėjo pasitelkiama įranga, identiška esamai, kurią Tiekėjui reikės tik sukonfigūruoti. Tuo tarpu Tiekėjas, kuris pradiniame etape paslaugai teikti privalėjo pateikti savo įrangą, išlaikydamas paslaugos tęstinumą, turės analogiška įranga aprūpinti ir naujai prijungiamus abonentus bei užtikrinti sugedusios savo įrangos keitimą.</w:t>
            </w:r>
          </w:p>
        </w:tc>
      </w:tr>
    </w:tbl>
    <w:p w14:paraId="06EA9653" w14:textId="77777777" w:rsidR="008A5789" w:rsidRPr="00E30D9F" w:rsidRDefault="008A5789" w:rsidP="008A5789">
      <w:pPr>
        <w:pStyle w:val="FreeForm"/>
        <w:keepNext/>
        <w:spacing w:line="300" w:lineRule="atLeast"/>
        <w:rPr>
          <w:rFonts w:ascii="Times New Roman" w:hAnsi="Times New Roman" w:cs="Times New Roman"/>
          <w:sz w:val="24"/>
          <w:szCs w:val="24"/>
          <w:lang w:val="lt-LT"/>
        </w:rPr>
      </w:pPr>
      <w:r>
        <w:rPr>
          <w:rFonts w:ascii="Times New Roman" w:hAnsi="Times New Roman" w:cs="Times New Roman"/>
          <w:sz w:val="24"/>
          <w:szCs w:val="24"/>
          <w:lang w:val="lt-LT"/>
        </w:rPr>
        <w:t>Informuojame, kad</w:t>
      </w:r>
      <w:r w:rsidRPr="00E30D9F">
        <w:rPr>
          <w:rFonts w:ascii="Times New Roman" w:hAnsi="Times New Roman" w:cs="Times New Roman"/>
          <w:sz w:val="24"/>
          <w:szCs w:val="24"/>
          <w:lang w:val="lt-LT"/>
        </w:rPr>
        <w:t xml:space="preserve"> pasiūlymų pateikimo terminas </w:t>
      </w:r>
      <w:r>
        <w:rPr>
          <w:rFonts w:ascii="Times New Roman" w:hAnsi="Times New Roman" w:cs="Times New Roman"/>
          <w:sz w:val="24"/>
          <w:szCs w:val="24"/>
          <w:lang w:val="lt-LT"/>
        </w:rPr>
        <w:t xml:space="preserve">perkeliamas </w:t>
      </w:r>
      <w:r w:rsidRPr="00E30D9F">
        <w:rPr>
          <w:rFonts w:ascii="Times New Roman" w:hAnsi="Times New Roman" w:cs="Times New Roman"/>
          <w:sz w:val="24"/>
          <w:szCs w:val="24"/>
          <w:lang w:val="lt-LT"/>
        </w:rPr>
        <w:t>iš 2026-03-06 9:00 val. į 2026-03-16 9:00 val.</w:t>
      </w:r>
    </w:p>
    <w:p w14:paraId="70959E07" w14:textId="77777777" w:rsidR="008A5789" w:rsidRPr="00E30D9F" w:rsidRDefault="008A5789" w:rsidP="008A5789">
      <w:pPr>
        <w:pStyle w:val="FreeForm"/>
        <w:keepNext/>
        <w:spacing w:line="300" w:lineRule="atLeast"/>
        <w:rPr>
          <w:lang w:val="lt-LT"/>
        </w:rPr>
      </w:pPr>
    </w:p>
    <w:p w14:paraId="36DC755E" w14:textId="77777777" w:rsidR="008A5789" w:rsidRPr="00E30D9F" w:rsidRDefault="008A5789" w:rsidP="008A5789">
      <w:pPr>
        <w:pStyle w:val="Caption"/>
        <w:rPr>
          <w:i w:val="0"/>
          <w:iCs w:val="0"/>
          <w:color w:val="auto"/>
          <w:sz w:val="24"/>
          <w:szCs w:val="24"/>
          <w:lang w:val="lt-LT"/>
        </w:rPr>
      </w:pPr>
      <w:r w:rsidRPr="00E30D9F">
        <w:rPr>
          <w:i w:val="0"/>
          <w:iCs w:val="0"/>
          <w:color w:val="auto"/>
          <w:sz w:val="24"/>
          <w:szCs w:val="24"/>
          <w:lang w:val="lt-LT"/>
        </w:rPr>
        <w:t>Viešojo pirkimo komisija</w:t>
      </w:r>
    </w:p>
    <w:p w14:paraId="428F76AF" w14:textId="77777777" w:rsidR="008A5789" w:rsidRPr="00E30D9F" w:rsidRDefault="008A5789" w:rsidP="008A5789">
      <w:pPr>
        <w:pStyle w:val="FreeForm"/>
        <w:tabs>
          <w:tab w:val="left" w:pos="720"/>
          <w:tab w:val="left" w:pos="1440"/>
          <w:tab w:val="left" w:pos="2160"/>
          <w:tab w:val="left" w:pos="2880"/>
          <w:tab w:val="left" w:pos="3600"/>
          <w:tab w:val="left" w:pos="4320"/>
          <w:tab w:val="left" w:pos="5040"/>
          <w:tab w:val="left" w:pos="5835"/>
        </w:tabs>
        <w:spacing w:line="300" w:lineRule="atLeast"/>
        <w:jc w:val="both"/>
        <w:rPr>
          <w:rFonts w:ascii="Times New Roman" w:hAnsi="Times New Roman" w:cs="Times New Roman"/>
          <w:color w:val="auto"/>
          <w:sz w:val="24"/>
          <w:szCs w:val="24"/>
          <w:lang w:val="lt-LT"/>
        </w:rPr>
      </w:pPr>
    </w:p>
    <w:sectPr w:rsidR="008A5789" w:rsidRPr="00E30D9F" w:rsidSect="008A5789">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89"/>
    <w:rsid w:val="000B3188"/>
    <w:rsid w:val="00476686"/>
    <w:rsid w:val="004C00D7"/>
    <w:rsid w:val="005F6CF5"/>
    <w:rsid w:val="007159B3"/>
    <w:rsid w:val="008A5789"/>
    <w:rsid w:val="00A01BA8"/>
    <w:rsid w:val="00BF129A"/>
    <w:rsid w:val="00C31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6A277"/>
  <w15:chartTrackingRefBased/>
  <w15:docId w15:val="{40D1337D-17BE-4016-9145-E7CAABB5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789"/>
    <w:pPr>
      <w:spacing w:after="0" w:line="240" w:lineRule="auto"/>
    </w:pPr>
    <w:rPr>
      <w:rFonts w:ascii="Times New Roman" w:eastAsia="Arial Unicode MS" w:hAnsi="Times New Roman" w:cs="Times New Roman"/>
      <w:kern w:val="0"/>
      <w14:ligatures w14:val="none"/>
    </w:rPr>
  </w:style>
  <w:style w:type="paragraph" w:styleId="Heading1">
    <w:name w:val="heading 1"/>
    <w:basedOn w:val="Normal"/>
    <w:next w:val="Normal"/>
    <w:link w:val="Heading1Char"/>
    <w:uiPriority w:val="9"/>
    <w:qFormat/>
    <w:rsid w:val="008A578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578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578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578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A578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A578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A578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A578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A578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789"/>
    <w:rPr>
      <w:rFonts w:eastAsiaTheme="majorEastAsia" w:cstheme="majorBidi"/>
      <w:color w:val="272727" w:themeColor="text1" w:themeTint="D8"/>
    </w:rPr>
  </w:style>
  <w:style w:type="paragraph" w:styleId="Title">
    <w:name w:val="Title"/>
    <w:basedOn w:val="Normal"/>
    <w:next w:val="Normal"/>
    <w:link w:val="TitleChar"/>
    <w:uiPriority w:val="10"/>
    <w:qFormat/>
    <w:rsid w:val="008A578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5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78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5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78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A5789"/>
    <w:rPr>
      <w:i/>
      <w:iCs/>
      <w:color w:val="404040" w:themeColor="text1" w:themeTint="BF"/>
    </w:rPr>
  </w:style>
  <w:style w:type="paragraph" w:styleId="ListParagraph">
    <w:name w:val="List Paragraph"/>
    <w:basedOn w:val="Normal"/>
    <w:uiPriority w:val="34"/>
    <w:qFormat/>
    <w:rsid w:val="008A578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A5789"/>
    <w:rPr>
      <w:i/>
      <w:iCs/>
      <w:color w:val="0F4761" w:themeColor="accent1" w:themeShade="BF"/>
    </w:rPr>
  </w:style>
  <w:style w:type="paragraph" w:styleId="IntenseQuote">
    <w:name w:val="Intense Quote"/>
    <w:basedOn w:val="Normal"/>
    <w:next w:val="Normal"/>
    <w:link w:val="IntenseQuoteChar"/>
    <w:uiPriority w:val="30"/>
    <w:qFormat/>
    <w:rsid w:val="008A578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A5789"/>
    <w:rPr>
      <w:i/>
      <w:iCs/>
      <w:color w:val="0F4761" w:themeColor="accent1" w:themeShade="BF"/>
    </w:rPr>
  </w:style>
  <w:style w:type="character" w:styleId="IntenseReference">
    <w:name w:val="Intense Reference"/>
    <w:basedOn w:val="DefaultParagraphFont"/>
    <w:uiPriority w:val="32"/>
    <w:qFormat/>
    <w:rsid w:val="008A5789"/>
    <w:rPr>
      <w:b/>
      <w:bCs/>
      <w:smallCaps/>
      <w:color w:val="0F4761" w:themeColor="accent1" w:themeShade="BF"/>
      <w:spacing w:val="5"/>
    </w:rPr>
  </w:style>
  <w:style w:type="paragraph" w:customStyle="1" w:styleId="FreeForm">
    <w:name w:val="Free Form"/>
    <w:rsid w:val="008A5789"/>
    <w:pPr>
      <w:spacing w:after="0" w:line="240" w:lineRule="auto"/>
    </w:pPr>
    <w:rPr>
      <w:rFonts w:ascii="Helvetica Neue" w:eastAsia="Arial Unicode MS" w:hAnsi="Helvetica Neue" w:cs="Arial Unicode MS"/>
      <w:color w:val="413F3C"/>
      <w:kern w:val="0"/>
      <w:sz w:val="16"/>
      <w:szCs w:val="16"/>
      <w14:ligatures w14:val="none"/>
    </w:rPr>
  </w:style>
  <w:style w:type="table" w:styleId="TableGrid">
    <w:name w:val="Table Grid"/>
    <w:basedOn w:val="TableNormal"/>
    <w:uiPriority w:val="39"/>
    <w:rsid w:val="008A5789"/>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A5789"/>
    <w:pPr>
      <w:pBdr>
        <w:top w:val="nil"/>
        <w:left w:val="nil"/>
        <w:bottom w:val="nil"/>
        <w:right w:val="nil"/>
        <w:between w:val="nil"/>
        <w:bar w:val="nil"/>
      </w:pBdr>
      <w:spacing w:after="200"/>
    </w:pPr>
    <w:rPr>
      <w:i/>
      <w:iCs/>
      <w:color w:val="0E2841" w:themeColor="text2"/>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1483</Words>
  <Characters>8458</Characters>
  <Application>Microsoft Office Word</Application>
  <DocSecurity>0</DocSecurity>
  <Lines>70</Lines>
  <Paragraphs>19</Paragraphs>
  <ScaleCrop>false</ScaleCrop>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Milda Viteikienė</cp:lastModifiedBy>
  <cp:revision>1</cp:revision>
  <dcterms:created xsi:type="dcterms:W3CDTF">2026-03-04T11:00:00Z</dcterms:created>
  <dcterms:modified xsi:type="dcterms:W3CDTF">2026-03-04T11:01:00Z</dcterms:modified>
</cp:coreProperties>
</file>