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F056C9" w:rsidRDefault="773BF8CE" w:rsidP="3F63CA89">
            <w:pPr>
              <w:ind w:left="-56"/>
              <w:rPr>
                <w:rFonts w:ascii="Arial" w:hAnsi="Arial" w:cs="Arial"/>
                <w:sz w:val="22"/>
                <w:szCs w:val="22"/>
                <w:lang w:val="lt-LT"/>
              </w:rPr>
            </w:pPr>
            <w:r w:rsidRPr="00F056C9">
              <w:rPr>
                <w:rFonts w:ascii="Arial" w:hAnsi="Arial" w:cs="Arial"/>
                <w:b/>
                <w:bCs/>
                <w:sz w:val="22"/>
                <w:szCs w:val="22"/>
                <w:lang w:val="lt-LT"/>
              </w:rPr>
              <w:t>Suinteresuotiems asmenimis</w:t>
            </w:r>
          </w:p>
          <w:p w14:paraId="312E8CAF" w14:textId="77777777" w:rsidR="000355F8" w:rsidRPr="00F056C9" w:rsidRDefault="000355F8" w:rsidP="0017335B">
            <w:pPr>
              <w:ind w:left="-56"/>
              <w:rPr>
                <w:rFonts w:ascii="Arial" w:hAnsi="Arial" w:cs="Arial"/>
                <w:b/>
                <w:sz w:val="22"/>
                <w:szCs w:val="22"/>
                <w:lang w:val="lt-LT"/>
              </w:rPr>
            </w:pPr>
          </w:p>
          <w:p w14:paraId="61D7DBA1" w14:textId="77777777" w:rsidR="000355F8" w:rsidRPr="00F056C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37407290" w14:textId="75EFF2BF" w:rsidR="00815890" w:rsidRPr="00F056C9" w:rsidRDefault="00290520" w:rsidP="00F056C9">
            <w:pPr>
              <w:ind w:left="-56"/>
              <w:jc w:val="both"/>
              <w:rPr>
                <w:rFonts w:ascii="Arial" w:hAnsi="Arial" w:cs="Arial"/>
                <w:b/>
                <w:bCs/>
                <w:iCs/>
                <w:sz w:val="22"/>
                <w:szCs w:val="22"/>
                <w:lang w:val="lt-LT"/>
              </w:rPr>
            </w:pPr>
            <w:r w:rsidRPr="00F056C9">
              <w:rPr>
                <w:rFonts w:ascii="Arial" w:hAnsi="Arial" w:cs="Arial"/>
                <w:b/>
                <w:bCs/>
                <w:sz w:val="22"/>
                <w:szCs w:val="22"/>
                <w:lang w:val="lt-LT"/>
              </w:rPr>
              <w:t xml:space="preserve">KVIETIMAS DALYVAUTI IŠANKSTINĖJE (RINKOS) KONSULTACIJOJE </w:t>
            </w:r>
            <w:r w:rsidR="00815890" w:rsidRPr="00F056C9">
              <w:rPr>
                <w:rFonts w:ascii="Arial" w:hAnsi="Arial" w:cs="Arial"/>
                <w:b/>
                <w:bCs/>
                <w:sz w:val="22"/>
                <w:szCs w:val="22"/>
                <w:lang w:val="lt-LT"/>
              </w:rPr>
              <w:t>DĖL</w:t>
            </w:r>
            <w:r w:rsidR="00815890" w:rsidRPr="00F056C9">
              <w:rPr>
                <w:rFonts w:ascii="Arial" w:eastAsiaTheme="minorHAnsi" w:hAnsi="Arial" w:cs="Arial"/>
                <w:b/>
                <w:bCs/>
                <w:iCs/>
                <w:sz w:val="22"/>
                <w:szCs w:val="22"/>
                <w:lang w:val="lt-LT"/>
              </w:rPr>
              <w:t xml:space="preserve"> PIRKIMO „</w:t>
            </w:r>
            <w:r w:rsidR="00007787" w:rsidRPr="00007787">
              <w:rPr>
                <w:rFonts w:ascii="Arial" w:hAnsi="Arial" w:cs="Arial"/>
                <w:b/>
                <w:bCs/>
                <w:iCs/>
                <w:sz w:val="22"/>
                <w:szCs w:val="22"/>
                <w:lang w:val="lt-LT"/>
              </w:rPr>
              <w:t>LABORATORINIAI BALDAI, NR. 1047/2026/MF</w:t>
            </w:r>
            <w:r w:rsidR="00815890" w:rsidRPr="00F056C9">
              <w:rPr>
                <w:rFonts w:ascii="Arial" w:hAnsi="Arial" w:cs="Arial"/>
                <w:b/>
                <w:bCs/>
                <w:sz w:val="22"/>
                <w:szCs w:val="22"/>
                <w:lang w:val="lt-LT"/>
              </w:rPr>
              <w:t>“</w:t>
            </w:r>
          </w:p>
          <w:p w14:paraId="778B1EDD" w14:textId="3E77CC9D" w:rsidR="00290520" w:rsidRPr="00F056C9" w:rsidRDefault="00290520" w:rsidP="00EE448D">
            <w:pPr>
              <w:ind w:left="-56"/>
              <w:jc w:val="both"/>
              <w:rPr>
                <w:rFonts w:ascii="Arial" w:hAnsi="Arial" w:cs="Arial"/>
                <w:sz w:val="22"/>
                <w:szCs w:val="22"/>
                <w:lang w:val="lt-LT"/>
              </w:rPr>
            </w:pPr>
          </w:p>
          <w:p w14:paraId="2F2C0D55" w14:textId="77777777" w:rsidR="00290520" w:rsidRPr="00F056C9" w:rsidRDefault="00290520" w:rsidP="0017335B">
            <w:pPr>
              <w:ind w:left="-56"/>
              <w:rPr>
                <w:rFonts w:ascii="Arial" w:hAnsi="Arial" w:cs="Arial"/>
                <w:b/>
                <w:sz w:val="22"/>
                <w:szCs w:val="22"/>
                <w:lang w:val="lt-LT"/>
              </w:rPr>
            </w:pPr>
          </w:p>
          <w:p w14:paraId="1AE6D6F7" w14:textId="77777777" w:rsidR="00290520" w:rsidRPr="00F056C9" w:rsidRDefault="00290520" w:rsidP="000355F8">
            <w:pPr>
              <w:rPr>
                <w:rFonts w:ascii="Arial" w:hAnsi="Arial" w:cs="Arial"/>
                <w:sz w:val="22"/>
                <w:szCs w:val="22"/>
                <w:lang w:val="lt-LT"/>
              </w:rPr>
            </w:pPr>
          </w:p>
        </w:tc>
      </w:tr>
    </w:tbl>
    <w:p w14:paraId="4D0B2096" w14:textId="29983BB1" w:rsidR="00860B3D" w:rsidRPr="00DE5859" w:rsidRDefault="00860B3D" w:rsidP="008D2922">
      <w:pPr>
        <w:tabs>
          <w:tab w:val="num" w:pos="1080"/>
        </w:tabs>
        <w:ind w:firstLine="720"/>
        <w:jc w:val="both"/>
        <w:rPr>
          <w:rFonts w:ascii="Arial" w:hAnsi="Arial" w:cs="Arial"/>
          <w:sz w:val="22"/>
          <w:szCs w:val="22"/>
          <w:lang w:val="lt-LT"/>
        </w:rPr>
      </w:pPr>
      <w:r w:rsidRPr="00DE5859">
        <w:rPr>
          <w:rFonts w:ascii="Arial" w:hAnsi="Arial" w:cs="Arial"/>
          <w:sz w:val="22"/>
          <w:szCs w:val="22"/>
          <w:lang w:val="lt-LT"/>
        </w:rPr>
        <w:t xml:space="preserve">Vilniaus </w:t>
      </w:r>
      <w:r w:rsidR="000F5806" w:rsidRPr="00DE5859">
        <w:rPr>
          <w:rFonts w:ascii="Arial" w:hAnsi="Arial" w:cs="Arial"/>
          <w:sz w:val="22"/>
          <w:szCs w:val="22"/>
          <w:lang w:val="lt-LT"/>
        </w:rPr>
        <w:t>U</w:t>
      </w:r>
      <w:r w:rsidRPr="00DE5859">
        <w:rPr>
          <w:rFonts w:ascii="Arial" w:hAnsi="Arial" w:cs="Arial"/>
          <w:sz w:val="22"/>
          <w:szCs w:val="22"/>
          <w:lang w:val="lt-LT"/>
        </w:rPr>
        <w:t>niversitetas</w:t>
      </w:r>
      <w:r w:rsidR="0021175D" w:rsidRPr="00DE5859">
        <w:rPr>
          <w:rFonts w:ascii="Arial" w:hAnsi="Arial" w:cs="Arial"/>
          <w:sz w:val="22"/>
          <w:szCs w:val="22"/>
          <w:lang w:val="lt-LT"/>
        </w:rPr>
        <w:t xml:space="preserve"> (toliau – </w:t>
      </w:r>
      <w:r w:rsidR="1FA14BE8" w:rsidRPr="00DE5859">
        <w:rPr>
          <w:rFonts w:ascii="Arial" w:hAnsi="Arial" w:cs="Arial"/>
          <w:b/>
          <w:bCs/>
          <w:sz w:val="22"/>
          <w:szCs w:val="22"/>
          <w:lang w:val="lt-LT"/>
        </w:rPr>
        <w:t>VU</w:t>
      </w:r>
      <w:r w:rsidR="0021175D" w:rsidRPr="00DE5859">
        <w:rPr>
          <w:rFonts w:ascii="Arial" w:hAnsi="Arial" w:cs="Arial"/>
          <w:sz w:val="22"/>
          <w:szCs w:val="22"/>
          <w:lang w:val="lt-LT"/>
        </w:rPr>
        <w:t>)</w:t>
      </w:r>
      <w:r w:rsidR="31D7D957" w:rsidRPr="00DE5859">
        <w:rPr>
          <w:rFonts w:ascii="Arial" w:hAnsi="Arial" w:cs="Arial"/>
          <w:sz w:val="22"/>
          <w:szCs w:val="22"/>
          <w:lang w:val="lt-LT"/>
        </w:rPr>
        <w:t>, siekda</w:t>
      </w:r>
      <w:r w:rsidR="765F22CA" w:rsidRPr="00DE5859">
        <w:rPr>
          <w:rFonts w:ascii="Arial" w:hAnsi="Arial" w:cs="Arial"/>
          <w:sz w:val="22"/>
          <w:szCs w:val="22"/>
          <w:lang w:val="lt-LT"/>
        </w:rPr>
        <w:t>ma</w:t>
      </w:r>
      <w:r w:rsidR="0074039E" w:rsidRPr="00DE5859">
        <w:rPr>
          <w:rFonts w:ascii="Arial" w:hAnsi="Arial" w:cs="Arial"/>
          <w:sz w:val="22"/>
          <w:szCs w:val="22"/>
          <w:lang w:val="lt-LT"/>
        </w:rPr>
        <w:t>s</w:t>
      </w:r>
      <w:r w:rsidR="31D7D957" w:rsidRPr="00DE5859">
        <w:rPr>
          <w:rFonts w:ascii="Arial" w:hAnsi="Arial" w:cs="Arial"/>
          <w:sz w:val="22"/>
          <w:szCs w:val="22"/>
          <w:lang w:val="lt-LT"/>
        </w:rPr>
        <w:t xml:space="preserve"> tinkamai pasirengti numatomam</w:t>
      </w:r>
      <w:r w:rsidR="00EF3D39" w:rsidRPr="00DE5859">
        <w:rPr>
          <w:rFonts w:ascii="Arial" w:hAnsi="Arial" w:cs="Arial"/>
          <w:sz w:val="22"/>
          <w:szCs w:val="22"/>
        </w:rPr>
        <w:t xml:space="preserve"> </w:t>
      </w:r>
      <w:r w:rsidR="008D2922">
        <w:rPr>
          <w:rFonts w:ascii="Arial" w:hAnsi="Arial" w:cs="Arial"/>
          <w:sz w:val="22"/>
          <w:szCs w:val="22"/>
        </w:rPr>
        <w:t>“</w:t>
      </w:r>
      <w:r w:rsidR="00E828BB">
        <w:rPr>
          <w:rFonts w:ascii="Arial" w:hAnsi="Arial" w:cs="Arial"/>
          <w:sz w:val="22"/>
          <w:szCs w:val="22"/>
          <w:lang w:val="lt-LT"/>
        </w:rPr>
        <w:t>L</w:t>
      </w:r>
      <w:r w:rsidR="00E828BB" w:rsidRPr="00E828BB">
        <w:rPr>
          <w:rFonts w:ascii="Arial" w:hAnsi="Arial" w:cs="Arial"/>
          <w:sz w:val="22"/>
          <w:szCs w:val="22"/>
          <w:lang w:val="lt-LT"/>
        </w:rPr>
        <w:t>aboratoriniai baldai, N</w:t>
      </w:r>
      <w:r w:rsidR="00E828BB">
        <w:rPr>
          <w:rFonts w:ascii="Arial" w:hAnsi="Arial" w:cs="Arial"/>
          <w:sz w:val="22"/>
          <w:szCs w:val="22"/>
          <w:lang w:val="lt-LT"/>
        </w:rPr>
        <w:t>r</w:t>
      </w:r>
      <w:r w:rsidR="00E828BB" w:rsidRPr="00E828BB">
        <w:rPr>
          <w:rFonts w:ascii="Arial" w:hAnsi="Arial" w:cs="Arial"/>
          <w:sz w:val="22"/>
          <w:szCs w:val="22"/>
          <w:lang w:val="lt-LT"/>
        </w:rPr>
        <w:t>. 1047/2026/MF</w:t>
      </w:r>
      <w:r w:rsidR="008D2922">
        <w:rPr>
          <w:rFonts w:ascii="Arial" w:hAnsi="Arial" w:cs="Arial"/>
          <w:sz w:val="22"/>
          <w:szCs w:val="22"/>
          <w:lang w:val="lt-LT"/>
        </w:rPr>
        <w:t xml:space="preserve">“ </w:t>
      </w:r>
      <w:r w:rsidR="00A809AD" w:rsidRPr="008D2922">
        <w:rPr>
          <w:rFonts w:ascii="Arial" w:hAnsi="Arial" w:cs="Arial"/>
          <w:sz w:val="22"/>
          <w:szCs w:val="22"/>
          <w:lang w:val="lt-LT"/>
        </w:rPr>
        <w:t xml:space="preserve">pirkimui </w:t>
      </w:r>
      <w:r w:rsidR="00E77B0F" w:rsidRPr="00DE5859">
        <w:rPr>
          <w:rFonts w:ascii="Arial" w:hAnsi="Arial" w:cs="Arial"/>
          <w:sz w:val="22"/>
          <w:szCs w:val="22"/>
          <w:lang w:val="lt-LT"/>
        </w:rPr>
        <w:t xml:space="preserve">(toliau – </w:t>
      </w:r>
      <w:r w:rsidR="00E77B0F" w:rsidRPr="00DE5859">
        <w:rPr>
          <w:rFonts w:ascii="Arial" w:hAnsi="Arial" w:cs="Arial"/>
          <w:b/>
          <w:bCs/>
          <w:sz w:val="22"/>
          <w:szCs w:val="22"/>
          <w:lang w:val="lt-LT"/>
        </w:rPr>
        <w:t>Pirkimas</w:t>
      </w:r>
      <w:r w:rsidR="00E77B0F" w:rsidRPr="00DE5859">
        <w:rPr>
          <w:rFonts w:ascii="Arial" w:hAnsi="Arial" w:cs="Arial"/>
          <w:sz w:val="22"/>
          <w:szCs w:val="22"/>
          <w:lang w:val="lt-LT"/>
        </w:rPr>
        <w:t>)</w:t>
      </w:r>
      <w:r w:rsidR="65B0A5BA" w:rsidRPr="00DE5859">
        <w:rPr>
          <w:rFonts w:ascii="Arial" w:hAnsi="Arial" w:cs="Arial"/>
          <w:sz w:val="22"/>
          <w:szCs w:val="22"/>
          <w:lang w:val="lt-LT"/>
        </w:rPr>
        <w:t>,</w:t>
      </w:r>
      <w:r w:rsidR="00E77B0F" w:rsidRPr="00DE5859">
        <w:rPr>
          <w:rFonts w:ascii="Arial" w:hAnsi="Arial" w:cs="Arial"/>
          <w:sz w:val="22"/>
          <w:szCs w:val="22"/>
          <w:lang w:val="lt-LT"/>
        </w:rPr>
        <w:t xml:space="preserve"> </w:t>
      </w:r>
      <w:r w:rsidR="0021175D" w:rsidRPr="00DE5859">
        <w:rPr>
          <w:rFonts w:ascii="Arial" w:hAnsi="Arial" w:cs="Arial"/>
          <w:sz w:val="22"/>
          <w:szCs w:val="22"/>
          <w:lang w:val="lt-LT"/>
        </w:rPr>
        <w:t>ir vadovaudamasi</w:t>
      </w:r>
      <w:r w:rsidR="0074039E" w:rsidRPr="00DE5859">
        <w:rPr>
          <w:rFonts w:ascii="Arial" w:hAnsi="Arial" w:cs="Arial"/>
          <w:sz w:val="22"/>
          <w:szCs w:val="22"/>
          <w:lang w:val="lt-LT"/>
        </w:rPr>
        <w:t>s</w:t>
      </w:r>
      <w:r w:rsidR="00456038" w:rsidRPr="00DE5859">
        <w:rPr>
          <w:rFonts w:ascii="Arial" w:hAnsi="Arial" w:cs="Arial"/>
          <w:sz w:val="22"/>
          <w:szCs w:val="22"/>
          <w:lang w:val="lt-LT"/>
        </w:rPr>
        <w:t xml:space="preserve"> Lietuvos Respublikos viešųjų pirkimų įstatymo (toliau – </w:t>
      </w:r>
      <w:r w:rsidR="00456038" w:rsidRPr="00DE5859">
        <w:rPr>
          <w:rFonts w:ascii="Arial" w:hAnsi="Arial" w:cs="Arial"/>
          <w:b/>
          <w:bCs/>
          <w:sz w:val="22"/>
          <w:szCs w:val="22"/>
          <w:lang w:val="lt-LT"/>
        </w:rPr>
        <w:t>VPĮ</w:t>
      </w:r>
      <w:r w:rsidR="00456038" w:rsidRPr="00DE5859">
        <w:rPr>
          <w:rFonts w:ascii="Arial" w:hAnsi="Arial" w:cs="Arial"/>
          <w:sz w:val="22"/>
          <w:szCs w:val="22"/>
          <w:lang w:val="lt-LT"/>
        </w:rPr>
        <w:t>) 27 straipsnio 1 dalies 1 punktu</w:t>
      </w:r>
      <w:r w:rsidR="0021175D" w:rsidRPr="00DE5859">
        <w:rPr>
          <w:rFonts w:ascii="Arial" w:hAnsi="Arial" w:cs="Arial"/>
          <w:sz w:val="22"/>
          <w:szCs w:val="22"/>
          <w:lang w:val="lt-LT"/>
        </w:rPr>
        <w:t xml:space="preserve">, </w:t>
      </w:r>
      <w:r w:rsidR="7EAF3414" w:rsidRPr="00DE5859">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15890"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D8CF1E1" w14:textId="3DA3E8BC" w:rsidR="00693D11" w:rsidRDefault="00693D11" w:rsidP="006A6970">
            <w:pPr>
              <w:spacing w:after="120"/>
              <w:jc w:val="both"/>
              <w:rPr>
                <w:rFonts w:ascii="Arial" w:eastAsia="Arial" w:hAnsi="Arial" w:cs="Arial"/>
                <w:sz w:val="22"/>
                <w:szCs w:val="22"/>
                <w:lang w:val="lt-LT"/>
              </w:rPr>
            </w:pPr>
            <w:r w:rsidRPr="00693D11">
              <w:rPr>
                <w:rFonts w:ascii="Arial" w:eastAsia="Arial" w:hAnsi="Arial" w:cs="Arial"/>
                <w:sz w:val="22"/>
                <w:szCs w:val="22"/>
                <w:lang w:val="lt-LT"/>
              </w:rPr>
              <w:t>VU iki Pirkimo pradžios informuoja rinkos dalyvius (toliau – rinkos dalyviai arba tiekėjai) apie numatomą Pirkimą,</w:t>
            </w:r>
            <w:r w:rsidR="007C3F4A">
              <w:rPr>
                <w:rFonts w:ascii="Arial" w:eastAsia="Arial" w:hAnsi="Arial" w:cs="Arial"/>
                <w:sz w:val="22"/>
                <w:szCs w:val="22"/>
                <w:lang w:val="lt-LT"/>
              </w:rPr>
              <w:t xml:space="preserve"> </w:t>
            </w:r>
            <w:r w:rsidRPr="00693D11">
              <w:rPr>
                <w:rFonts w:ascii="Arial" w:eastAsia="Arial" w:hAnsi="Arial" w:cs="Arial"/>
                <w:sz w:val="22"/>
                <w:szCs w:val="22"/>
                <w:lang w:val="lt-LT"/>
              </w:rPr>
              <w:t>prašant tiekėjų, kurie yra suinteresuoti dalyvauti Pirkime, pateikti savo nuomonę/siūlymus/rekomendacijas/klausimus dėl pateiktų dokumentų, efektyvesnio pirkimo vykdymo modelio nustatymo, gerosios praktikos pavyzdžių ir įvertinti galimybes dalyvauti Pirkime</w:t>
            </w:r>
            <w:r w:rsidR="00F5059A">
              <w:rPr>
                <w:rFonts w:ascii="Arial" w:eastAsia="Arial" w:hAnsi="Arial" w:cs="Arial"/>
                <w:sz w:val="22"/>
                <w:szCs w:val="22"/>
                <w:lang w:val="lt-LT"/>
              </w:rPr>
              <w:t>.</w:t>
            </w: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rsidRPr="00815890">
              <w:rPr>
                <w:lang w:val="lt-LT"/>
              </w:rP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3C730EF5" w:rsidR="3F63CA89" w:rsidRPr="00721393" w:rsidRDefault="3F63CA89" w:rsidP="00721393">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tc>
      </w:tr>
      <w:tr w:rsidR="3F63CA89" w:rsidRPr="00815890"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A9644E">
              <w:rPr>
                <w:rFonts w:ascii="Arial" w:eastAsia="Arial" w:hAnsi="Arial" w:cs="Arial"/>
                <w:b/>
                <w:bCs/>
                <w:sz w:val="22"/>
                <w:szCs w:val="22"/>
                <w:lang w:val="lt-LT"/>
              </w:rPr>
              <w:t xml:space="preserve">Rinkos dalyviai kviečiami </w:t>
            </w:r>
            <w:r w:rsidR="004C4561" w:rsidRPr="00A9644E">
              <w:rPr>
                <w:rFonts w:ascii="Arial" w:eastAsia="Arial" w:hAnsi="Arial" w:cs="Arial"/>
                <w:b/>
                <w:bCs/>
                <w:sz w:val="22"/>
                <w:szCs w:val="22"/>
                <w:lang w:val="lt-LT"/>
              </w:rPr>
              <w:t xml:space="preserve">pastabas/siūlymus </w:t>
            </w:r>
            <w:r w:rsidRPr="00A9644E">
              <w:rPr>
                <w:rFonts w:ascii="Arial" w:eastAsia="Arial" w:hAnsi="Arial" w:cs="Arial"/>
                <w:b/>
                <w:bCs/>
                <w:sz w:val="22"/>
                <w:szCs w:val="22"/>
                <w:lang w:val="lt-LT"/>
              </w:rPr>
              <w:t>teikti</w:t>
            </w:r>
            <w:r w:rsidRPr="001E223E">
              <w:rPr>
                <w:rFonts w:ascii="Arial" w:eastAsia="Arial" w:hAnsi="Arial" w:cs="Arial"/>
                <w:sz w:val="22"/>
                <w:szCs w:val="22"/>
                <w:lang w:val="lt-LT"/>
              </w:rPr>
              <w:t xml:space="preserve"> </w:t>
            </w:r>
            <w:r w:rsidRPr="00BB4B4A">
              <w:rPr>
                <w:rFonts w:ascii="Arial" w:eastAsia="Arial" w:hAnsi="Arial" w:cs="Arial"/>
                <w:b/>
                <w:bCs/>
                <w:sz w:val="22"/>
                <w:szCs w:val="22"/>
                <w:lang w:val="lt-LT"/>
              </w:rPr>
              <w:t xml:space="preserve">užpildant priedą Nr. </w:t>
            </w:r>
            <w:r w:rsidR="003F7594" w:rsidRPr="00BB4B4A">
              <w:rPr>
                <w:rFonts w:ascii="Arial" w:eastAsia="Arial" w:hAnsi="Arial" w:cs="Arial"/>
                <w:b/>
                <w:bCs/>
                <w:sz w:val="22"/>
                <w:szCs w:val="22"/>
                <w:lang w:val="lt-LT"/>
              </w:rPr>
              <w:t>1</w:t>
            </w:r>
            <w:r w:rsidR="001E223E" w:rsidRPr="00BB4B4A">
              <w:rPr>
                <w:rFonts w:ascii="Arial" w:eastAsia="Arial" w:hAnsi="Arial" w:cs="Arial"/>
                <w:b/>
                <w:bCs/>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2FB98C72"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6E703B">
              <w:rPr>
                <w:rFonts w:ascii="Arial" w:eastAsia="Arial" w:hAnsi="Arial" w:cs="Arial"/>
                <w:b/>
                <w:bCs/>
                <w:sz w:val="22"/>
                <w:szCs w:val="22"/>
                <w:lang w:val="lt-LT"/>
              </w:rPr>
              <w:t>3</w:t>
            </w:r>
            <w:r w:rsidR="00E21330" w:rsidRPr="004B2A3E">
              <w:rPr>
                <w:rFonts w:ascii="Arial" w:eastAsia="Arial" w:hAnsi="Arial" w:cs="Arial"/>
                <w:b/>
                <w:bCs/>
                <w:sz w:val="22"/>
                <w:szCs w:val="22"/>
                <w:lang w:val="lt-LT"/>
              </w:rPr>
              <w:t>-</w:t>
            </w:r>
            <w:r w:rsidR="00AF66C1">
              <w:rPr>
                <w:rFonts w:ascii="Arial" w:eastAsia="Arial" w:hAnsi="Arial" w:cs="Arial"/>
                <w:b/>
                <w:bCs/>
                <w:sz w:val="22"/>
                <w:szCs w:val="22"/>
                <w:lang w:val="lt-LT"/>
              </w:rPr>
              <w:t>0</w:t>
            </w:r>
            <w:r w:rsidR="00CC07C2">
              <w:rPr>
                <w:rFonts w:ascii="Arial" w:eastAsia="Arial" w:hAnsi="Arial" w:cs="Arial"/>
                <w:b/>
                <w:bCs/>
                <w:sz w:val="22"/>
                <w:szCs w:val="22"/>
                <w:lang w:val="lt-LT"/>
              </w:rPr>
              <w:t>9</w:t>
            </w:r>
            <w:r w:rsidR="002216FB">
              <w:rPr>
                <w:rFonts w:ascii="Arial" w:eastAsia="Arial" w:hAnsi="Arial" w:cs="Arial"/>
                <w:b/>
                <w:bCs/>
                <w:sz w:val="22"/>
                <w:szCs w:val="22"/>
                <w:lang w:val="lt-LT"/>
              </w:rPr>
              <w:t xml:space="preserve"> d. </w:t>
            </w:r>
            <w:r w:rsidR="00447118">
              <w:rPr>
                <w:rFonts w:ascii="Arial" w:eastAsia="Arial" w:hAnsi="Arial" w:cs="Arial"/>
                <w:b/>
                <w:bCs/>
                <w:sz w:val="22"/>
                <w:szCs w:val="22"/>
                <w:lang w:val="lt-LT"/>
              </w:rPr>
              <w:t>1</w:t>
            </w:r>
            <w:r w:rsidR="00CC07C2">
              <w:rPr>
                <w:rFonts w:ascii="Arial" w:eastAsia="Arial" w:hAnsi="Arial" w:cs="Arial"/>
                <w:b/>
                <w:bCs/>
                <w:sz w:val="22"/>
                <w:szCs w:val="22"/>
                <w:lang w:val="lt-LT"/>
              </w:rPr>
              <w:t>5</w:t>
            </w:r>
            <w:r w:rsidR="00447118">
              <w:rPr>
                <w:rFonts w:ascii="Arial" w:eastAsia="Arial" w:hAnsi="Arial" w:cs="Arial"/>
                <w:b/>
                <w:bCs/>
                <w:sz w:val="22"/>
                <w:szCs w:val="22"/>
                <w:lang w:val="lt-LT"/>
              </w:rPr>
              <w:t>.00 val.</w:t>
            </w:r>
            <w:r w:rsidR="00474B36">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15890"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2855BC"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B282A6D" w14:textId="6E59F137" w:rsidR="00287C4E" w:rsidRPr="0077155A" w:rsidRDefault="3F63CA89" w:rsidP="00287C4E">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002855BC" w:rsidRPr="002855BC">
              <w:rPr>
                <w:rFonts w:ascii="Arial" w:eastAsia="Arial" w:hAnsi="Arial" w:cs="Arial"/>
                <w:sz w:val="22"/>
                <w:szCs w:val="22"/>
                <w:lang w:val="lt-LT"/>
              </w:rPr>
              <w:t xml:space="preserve">VU Pirkimų skyriaus vyresnioji pirkimų specialistė </w:t>
            </w:r>
            <w:r w:rsidR="00287C4E">
              <w:rPr>
                <w:rFonts w:ascii="Arial" w:eastAsia="Arial" w:hAnsi="Arial" w:cs="Arial"/>
                <w:sz w:val="22"/>
                <w:szCs w:val="22"/>
                <w:lang w:val="lt-LT"/>
              </w:rPr>
              <w:t>Monika Lev</w:t>
            </w:r>
            <w:r w:rsidR="00614BE1">
              <w:rPr>
                <w:rFonts w:ascii="Arial" w:eastAsia="Arial" w:hAnsi="Arial" w:cs="Arial"/>
                <w:sz w:val="22"/>
                <w:szCs w:val="22"/>
                <w:lang w:val="lt-LT"/>
              </w:rPr>
              <w:t>i</w:t>
            </w:r>
            <w:r w:rsidR="00287C4E">
              <w:rPr>
                <w:rFonts w:ascii="Arial" w:eastAsia="Arial" w:hAnsi="Arial" w:cs="Arial"/>
                <w:sz w:val="22"/>
                <w:szCs w:val="22"/>
                <w:lang w:val="lt-LT"/>
              </w:rPr>
              <w:t>ckė</w:t>
            </w:r>
            <w:r w:rsidR="00287C4E" w:rsidRPr="0077155A">
              <w:rPr>
                <w:rFonts w:ascii="Arial" w:eastAsia="Arial" w:hAnsi="Arial" w:cs="Arial"/>
                <w:sz w:val="22"/>
                <w:szCs w:val="22"/>
                <w:lang w:val="lt-LT"/>
              </w:rPr>
              <w:t xml:space="preserve">, mob. tel. </w:t>
            </w:r>
            <w:r w:rsidR="00287C4E" w:rsidRPr="0077155A">
              <w:rPr>
                <w:rFonts w:ascii="Arial" w:eastAsia="Arial" w:hAnsi="Arial" w:cs="Arial"/>
                <w:color w:val="000000" w:themeColor="text1"/>
                <w:sz w:val="22"/>
                <w:szCs w:val="22"/>
                <w:lang w:val="lt-LT"/>
              </w:rPr>
              <w:t>+370</w:t>
            </w:r>
            <w:r w:rsidR="00287C4E">
              <w:rPr>
                <w:rFonts w:ascii="Arial" w:eastAsia="Arial" w:hAnsi="Arial" w:cs="Arial"/>
                <w:color w:val="000000" w:themeColor="text1"/>
                <w:sz w:val="22"/>
                <w:szCs w:val="22"/>
                <w:lang w:val="lt-LT"/>
              </w:rPr>
              <w:t> </w:t>
            </w:r>
            <w:r w:rsidR="00287C4E" w:rsidRPr="0077155A">
              <w:rPr>
                <w:rFonts w:ascii="Arial" w:eastAsia="Arial" w:hAnsi="Arial" w:cs="Arial"/>
                <w:color w:val="000000" w:themeColor="text1"/>
                <w:sz w:val="22"/>
                <w:szCs w:val="22"/>
                <w:lang w:val="en-US"/>
              </w:rPr>
              <w:t>6</w:t>
            </w:r>
            <w:r w:rsidR="00287C4E">
              <w:rPr>
                <w:rFonts w:ascii="Arial" w:eastAsia="Arial" w:hAnsi="Arial" w:cs="Arial"/>
                <w:color w:val="000000" w:themeColor="text1"/>
                <w:sz w:val="22"/>
                <w:szCs w:val="22"/>
                <w:lang w:val="en-US"/>
              </w:rPr>
              <w:t>40 15034</w:t>
            </w:r>
            <w:r w:rsidR="00287C4E" w:rsidRPr="0077155A">
              <w:rPr>
                <w:rFonts w:ascii="Arial" w:eastAsia="Arial" w:hAnsi="Arial" w:cs="Arial"/>
                <w:sz w:val="22"/>
                <w:szCs w:val="22"/>
                <w:lang w:val="lt-LT"/>
              </w:rPr>
              <w:t xml:space="preserve">, el. paštas </w:t>
            </w:r>
            <w:hyperlink r:id="rId12" w:history="1">
              <w:r w:rsidR="00106A70" w:rsidRPr="0077569C">
                <w:rPr>
                  <w:rStyle w:val="Hyperlink"/>
                  <w:rFonts w:ascii="Arial" w:eastAsia="Arial" w:hAnsi="Arial" w:cs="Arial"/>
                  <w:sz w:val="22"/>
                  <w:szCs w:val="22"/>
                  <w:lang w:val="lt-LT"/>
                </w:rPr>
                <w:t>monika.levicke</w:t>
              </w:r>
              <w:r w:rsidR="00106A70" w:rsidRPr="0077569C">
                <w:rPr>
                  <w:rStyle w:val="Hyperlink"/>
                  <w:rFonts w:ascii="Arial" w:eastAsia="Arial" w:hAnsi="Arial" w:cs="Arial"/>
                  <w:sz w:val="22"/>
                  <w:szCs w:val="22"/>
                  <w:lang w:val="en-US"/>
                </w:rPr>
                <w:t>@cr.vu.lt</w:t>
              </w:r>
            </w:hyperlink>
            <w:r w:rsidR="00106A70">
              <w:rPr>
                <w:rFonts w:ascii="Arial" w:eastAsia="Arial" w:hAnsi="Arial" w:cs="Arial"/>
                <w:sz w:val="22"/>
                <w:szCs w:val="22"/>
                <w:lang w:val="en-US"/>
              </w:rPr>
              <w:t xml:space="preserve"> </w:t>
            </w:r>
          </w:p>
          <w:p w14:paraId="3A37B0FF" w14:textId="3EF0740F"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sectPr w:rsidR="00877F7D"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D2988" w14:textId="77777777" w:rsidR="003C313A" w:rsidRDefault="003C313A">
      <w:r>
        <w:separator/>
      </w:r>
    </w:p>
  </w:endnote>
  <w:endnote w:type="continuationSeparator" w:id="0">
    <w:p w14:paraId="0A0EC166" w14:textId="77777777" w:rsidR="003C313A" w:rsidRDefault="003C313A">
      <w:r>
        <w:continuationSeparator/>
      </w:r>
    </w:p>
  </w:endnote>
  <w:endnote w:type="continuationNotice" w:id="1">
    <w:p w14:paraId="64E8C686" w14:textId="77777777" w:rsidR="003C313A" w:rsidRDefault="003C3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14BE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F697" w14:textId="77777777" w:rsidR="003C313A" w:rsidRDefault="003C313A">
      <w:r>
        <w:separator/>
      </w:r>
    </w:p>
  </w:footnote>
  <w:footnote w:type="continuationSeparator" w:id="0">
    <w:p w14:paraId="6C708988" w14:textId="77777777" w:rsidR="003C313A" w:rsidRDefault="003C313A">
      <w:r>
        <w:continuationSeparator/>
      </w:r>
    </w:p>
  </w:footnote>
  <w:footnote w:type="continuationNotice" w:id="1">
    <w:p w14:paraId="57738B26" w14:textId="77777777" w:rsidR="003C313A" w:rsidRDefault="003C3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7787"/>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6A70"/>
    <w:rsid w:val="00107ADC"/>
    <w:rsid w:val="00110B9E"/>
    <w:rsid w:val="001134A0"/>
    <w:rsid w:val="00114B89"/>
    <w:rsid w:val="0011596B"/>
    <w:rsid w:val="001174DC"/>
    <w:rsid w:val="0011764E"/>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12D3"/>
    <w:rsid w:val="0020764E"/>
    <w:rsid w:val="00210346"/>
    <w:rsid w:val="0021175D"/>
    <w:rsid w:val="0021237B"/>
    <w:rsid w:val="00215121"/>
    <w:rsid w:val="002216FB"/>
    <w:rsid w:val="002220EE"/>
    <w:rsid w:val="00226285"/>
    <w:rsid w:val="00241E4D"/>
    <w:rsid w:val="00244EA2"/>
    <w:rsid w:val="00247D43"/>
    <w:rsid w:val="00272816"/>
    <w:rsid w:val="0027447B"/>
    <w:rsid w:val="0027633A"/>
    <w:rsid w:val="002855BC"/>
    <w:rsid w:val="00287C4E"/>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313A"/>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47118"/>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4BE1"/>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A6970"/>
    <w:rsid w:val="006B503B"/>
    <w:rsid w:val="006B741D"/>
    <w:rsid w:val="006C00B7"/>
    <w:rsid w:val="006C2984"/>
    <w:rsid w:val="006C458D"/>
    <w:rsid w:val="006C5271"/>
    <w:rsid w:val="006D70E9"/>
    <w:rsid w:val="006E2A6E"/>
    <w:rsid w:val="006E2B9A"/>
    <w:rsid w:val="006E703B"/>
    <w:rsid w:val="006F0724"/>
    <w:rsid w:val="006F0E45"/>
    <w:rsid w:val="007209B1"/>
    <w:rsid w:val="00721393"/>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3F4A"/>
    <w:rsid w:val="007C5228"/>
    <w:rsid w:val="007D478E"/>
    <w:rsid w:val="007D54CB"/>
    <w:rsid w:val="007D72D6"/>
    <w:rsid w:val="007E2E75"/>
    <w:rsid w:val="007E7E2D"/>
    <w:rsid w:val="007F4D20"/>
    <w:rsid w:val="00800326"/>
    <w:rsid w:val="008013A9"/>
    <w:rsid w:val="00801B00"/>
    <w:rsid w:val="00806CCC"/>
    <w:rsid w:val="008127FF"/>
    <w:rsid w:val="00815890"/>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2922"/>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58C1"/>
    <w:rsid w:val="00A066B8"/>
    <w:rsid w:val="00A11288"/>
    <w:rsid w:val="00A13A02"/>
    <w:rsid w:val="00A24287"/>
    <w:rsid w:val="00A25E52"/>
    <w:rsid w:val="00A2751E"/>
    <w:rsid w:val="00A5624B"/>
    <w:rsid w:val="00A61C03"/>
    <w:rsid w:val="00A61F11"/>
    <w:rsid w:val="00A7798E"/>
    <w:rsid w:val="00A809AD"/>
    <w:rsid w:val="00A96219"/>
    <w:rsid w:val="00A9644E"/>
    <w:rsid w:val="00AA23D2"/>
    <w:rsid w:val="00AA46FD"/>
    <w:rsid w:val="00AB40B7"/>
    <w:rsid w:val="00AC0463"/>
    <w:rsid w:val="00AC123E"/>
    <w:rsid w:val="00AC292E"/>
    <w:rsid w:val="00AD3599"/>
    <w:rsid w:val="00AD7E0E"/>
    <w:rsid w:val="00AF308F"/>
    <w:rsid w:val="00AF66C1"/>
    <w:rsid w:val="00B115CC"/>
    <w:rsid w:val="00B176F2"/>
    <w:rsid w:val="00B24B30"/>
    <w:rsid w:val="00B25935"/>
    <w:rsid w:val="00B27FDB"/>
    <w:rsid w:val="00B3368D"/>
    <w:rsid w:val="00B35386"/>
    <w:rsid w:val="00B4115B"/>
    <w:rsid w:val="00B437EC"/>
    <w:rsid w:val="00B57BF4"/>
    <w:rsid w:val="00B61FDD"/>
    <w:rsid w:val="00B63844"/>
    <w:rsid w:val="00B66325"/>
    <w:rsid w:val="00B66BE0"/>
    <w:rsid w:val="00B854D6"/>
    <w:rsid w:val="00B90105"/>
    <w:rsid w:val="00B912DB"/>
    <w:rsid w:val="00B93952"/>
    <w:rsid w:val="00B96310"/>
    <w:rsid w:val="00BA185B"/>
    <w:rsid w:val="00BA294A"/>
    <w:rsid w:val="00BA5A83"/>
    <w:rsid w:val="00BA691E"/>
    <w:rsid w:val="00BA7467"/>
    <w:rsid w:val="00BA7EDF"/>
    <w:rsid w:val="00BB4B4A"/>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07C2"/>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28BB"/>
    <w:rsid w:val="00E86D96"/>
    <w:rsid w:val="00E96B9D"/>
    <w:rsid w:val="00EA0FF3"/>
    <w:rsid w:val="00EA73D7"/>
    <w:rsid w:val="00EC284C"/>
    <w:rsid w:val="00ED6AB0"/>
    <w:rsid w:val="00EE448D"/>
    <w:rsid w:val="00EE4930"/>
    <w:rsid w:val="00EF3D39"/>
    <w:rsid w:val="00F03558"/>
    <w:rsid w:val="00F053E5"/>
    <w:rsid w:val="00F056C9"/>
    <w:rsid w:val="00F07EF0"/>
    <w:rsid w:val="00F17443"/>
    <w:rsid w:val="00F25C30"/>
    <w:rsid w:val="00F37DBF"/>
    <w:rsid w:val="00F4355B"/>
    <w:rsid w:val="00F47D49"/>
    <w:rsid w:val="00F5059A"/>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onika.levicke@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8B3CEF48-A480-47E0-A3E4-E5BCEBA96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347</Words>
  <Characters>2751</Characters>
  <Application>Microsoft Office Word</Application>
  <DocSecurity>0</DocSecurity>
  <Lines>22</Lines>
  <Paragraphs>6</Paragraphs>
  <ScaleCrop>false</ScaleCrop>
  <Company>Vilniaus universitetas</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Monika Levickė</cp:lastModifiedBy>
  <cp:revision>122</cp:revision>
  <cp:lastPrinted>2017-12-13T11:48:00Z</cp:lastPrinted>
  <dcterms:created xsi:type="dcterms:W3CDTF">2025-03-26T07:03:00Z</dcterms:created>
  <dcterms:modified xsi:type="dcterms:W3CDTF">2026-03-04T14:15:00Z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