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6" w:type="dxa"/>
        <w:tblInd w:w="-108" w:type="dxa"/>
        <w:tblLook w:val="04A0" w:firstRow="1" w:lastRow="0" w:firstColumn="1" w:lastColumn="0" w:noHBand="0" w:noVBand="1"/>
      </w:tblPr>
      <w:tblGrid>
        <w:gridCol w:w="108"/>
        <w:gridCol w:w="620"/>
        <w:gridCol w:w="1112"/>
        <w:gridCol w:w="820"/>
        <w:gridCol w:w="2825"/>
        <w:gridCol w:w="728"/>
        <w:gridCol w:w="255"/>
        <w:gridCol w:w="728"/>
        <w:gridCol w:w="679"/>
        <w:gridCol w:w="582"/>
        <w:gridCol w:w="142"/>
        <w:gridCol w:w="269"/>
        <w:gridCol w:w="665"/>
        <w:gridCol w:w="63"/>
        <w:gridCol w:w="406"/>
        <w:gridCol w:w="665"/>
        <w:gridCol w:w="1483"/>
        <w:gridCol w:w="501"/>
        <w:gridCol w:w="1824"/>
        <w:gridCol w:w="659"/>
        <w:gridCol w:w="352"/>
      </w:tblGrid>
      <w:tr w:rsidR="009C0816" w:rsidRPr="009C0816" w14:paraId="050D7217" w14:textId="77777777" w:rsidTr="00C22B8E">
        <w:trPr>
          <w:gridBefore w:val="1"/>
          <w:wBefore w:w="108" w:type="dxa"/>
          <w:trHeight w:val="300"/>
        </w:trPr>
        <w:tc>
          <w:tcPr>
            <w:tcW w:w="61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B58AC" w14:textId="05C1A562" w:rsidR="009C0816" w:rsidRPr="009C0816" w:rsidRDefault="002D040A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>Pilkai</w:t>
            </w:r>
            <w:r w:rsidR="009C0816" w:rsidRPr="009C0816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  <w:t xml:space="preserve"> pažymėtas lentelės sritis pildo tiekėjas.</w:t>
            </w:r>
          </w:p>
        </w:tc>
        <w:tc>
          <w:tcPr>
            <w:tcW w:w="338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C1D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F24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745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0771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Pirkimo sąlygų 1 priedas</w:t>
            </w:r>
          </w:p>
        </w:tc>
      </w:tr>
      <w:tr w:rsidR="003F1194" w:rsidRPr="009C0816" w14:paraId="16F14872" w14:textId="77777777" w:rsidTr="00C22B8E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8F61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70D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40C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918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626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F7C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A32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A75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E8E9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3DDFD149" w14:textId="77777777" w:rsidTr="00C22B8E">
        <w:trPr>
          <w:gridBefore w:val="1"/>
          <w:wBefore w:w="108" w:type="dxa"/>
          <w:trHeight w:val="300"/>
        </w:trPr>
        <w:tc>
          <w:tcPr>
            <w:tcW w:w="15378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4EE1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TECHNINĖ SPECIFIKACIJA IR PASIŪLYMO KAINA</w:t>
            </w:r>
          </w:p>
        </w:tc>
      </w:tr>
      <w:tr w:rsidR="009C0816" w:rsidRPr="009C0816" w14:paraId="3B8C788D" w14:textId="77777777" w:rsidTr="00C22B8E">
        <w:trPr>
          <w:gridBefore w:val="1"/>
          <w:wBefore w:w="108" w:type="dxa"/>
          <w:trHeight w:val="300"/>
        </w:trPr>
        <w:tc>
          <w:tcPr>
            <w:tcW w:w="153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CCFFFF" w:fill="D9D9D9"/>
            <w:vAlign w:val="center"/>
            <w:hideMark/>
          </w:tcPr>
          <w:p w14:paraId="4E6CB5EF" w14:textId="1E4C50B4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202</w:t>
            </w:r>
            <w:r w:rsidR="00F322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6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-    -</w:t>
            </w:r>
          </w:p>
        </w:tc>
      </w:tr>
      <w:tr w:rsidR="009C0816" w:rsidRPr="009C0816" w14:paraId="206C08CC" w14:textId="77777777" w:rsidTr="00C22B8E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943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475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BC8A" w14:textId="51BA1FBA" w:rsidR="009C0816" w:rsidRPr="000B3BCA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proofErr w:type="spellStart"/>
            <w:r w:rsidRPr="000B3B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Intraokuliniai</w:t>
            </w:r>
            <w:proofErr w:type="spellEnd"/>
            <w:r w:rsidRPr="000B3B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 xml:space="preserve"> lęšiai (Nr.</w:t>
            </w:r>
            <w:r w:rsidR="000B3BCA" w:rsidRPr="000B3BCA">
              <w:rPr>
                <w:rFonts w:ascii="Times New Roman" w:eastAsia="TimesNewRomanPS-BoldMT" w:hAnsi="Times New Roman" w:cs="Times New Roman"/>
                <w:b/>
                <w:bCs/>
                <w:kern w:val="0"/>
              </w:rPr>
              <w:t xml:space="preserve"> 11266-1</w:t>
            </w:r>
            <w:r w:rsidRPr="000B3BCA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)</w:t>
            </w:r>
          </w:p>
        </w:tc>
      </w:tr>
      <w:tr w:rsidR="009C0816" w:rsidRPr="009C0816" w14:paraId="1B432359" w14:textId="77777777" w:rsidTr="00C22B8E">
        <w:trPr>
          <w:gridBefore w:val="1"/>
          <w:wBefore w:w="108" w:type="dxa"/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4DF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6D4C" w14:textId="77777777" w:rsidR="009C0816" w:rsidRPr="000B3BCA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0B3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pavadinimas / ūkio subjektų grupės nariai:</w:t>
            </w:r>
          </w:p>
        </w:tc>
        <w:tc>
          <w:tcPr>
            <w:tcW w:w="64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2D46C691" w14:textId="77777777" w:rsidR="009C0816" w:rsidRPr="000B3BCA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B3BC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66DF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56B87808" w14:textId="77777777" w:rsidTr="00C22B8E">
        <w:trPr>
          <w:gridBefore w:val="1"/>
          <w:wBefore w:w="108" w:type="dxa"/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D8D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4D5B" w14:textId="77777777" w:rsidR="009C0816" w:rsidRPr="000B3BCA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0B3B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kodas:</w:t>
            </w:r>
          </w:p>
        </w:tc>
        <w:tc>
          <w:tcPr>
            <w:tcW w:w="64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4DE78961" w14:textId="77777777" w:rsidR="009C0816" w:rsidRPr="000B3BCA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B3BCA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289A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1E80DD2C" w14:textId="77777777" w:rsidTr="00C22B8E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ADCF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D569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adresas:</w:t>
            </w:r>
          </w:p>
        </w:tc>
        <w:tc>
          <w:tcPr>
            <w:tcW w:w="64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0768F6B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73BC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07858064" w14:textId="77777777" w:rsidTr="00C22B8E">
        <w:trPr>
          <w:gridBefore w:val="1"/>
          <w:wBefore w:w="108" w:type="dxa"/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ADB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F8F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vardas, pavardė:</w:t>
            </w:r>
          </w:p>
        </w:tc>
        <w:tc>
          <w:tcPr>
            <w:tcW w:w="64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0898A0A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E63C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38E40E82" w14:textId="77777777" w:rsidTr="00C22B8E">
        <w:trPr>
          <w:gridBefore w:val="1"/>
          <w:wBefore w:w="108" w:type="dxa"/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21B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5BD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telefono numeris:</w:t>
            </w:r>
          </w:p>
        </w:tc>
        <w:tc>
          <w:tcPr>
            <w:tcW w:w="64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35F4682C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348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20D7AA41" w14:textId="77777777" w:rsidTr="00C22B8E">
        <w:trPr>
          <w:gridBefore w:val="1"/>
          <w:wBefore w:w="108" w:type="dxa"/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5C62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D632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Asmens atsakingo už pasiūlymą el. pašto adresas:</w:t>
            </w:r>
          </w:p>
        </w:tc>
        <w:tc>
          <w:tcPr>
            <w:tcW w:w="64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D9D9D9"/>
            <w:noWrap/>
            <w:vAlign w:val="bottom"/>
            <w:hideMark/>
          </w:tcPr>
          <w:p w14:paraId="312F17A7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333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341ABD66" w14:textId="77777777" w:rsidTr="00C22B8E">
        <w:trPr>
          <w:gridBefore w:val="1"/>
          <w:wBefore w:w="108" w:type="dxa"/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5629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150E8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DA39C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0CE6D1F3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0E10FE2B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3CF37583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62EFFDC7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noWrap/>
            <w:vAlign w:val="bottom"/>
            <w:hideMark/>
          </w:tcPr>
          <w:p w14:paraId="2BE7974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6745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864D59" w:rsidRPr="009C0816" w14:paraId="2938A8EB" w14:textId="77777777" w:rsidTr="00C22B8E">
        <w:trPr>
          <w:gridBefore w:val="1"/>
          <w:wBefore w:w="108" w:type="dxa"/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CB4C" w14:textId="77777777" w:rsidR="00864D59" w:rsidRPr="009C0816" w:rsidRDefault="00864D59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758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2384658D" w14:textId="71650260" w:rsidR="00864D59" w:rsidRPr="009C0816" w:rsidRDefault="00864D59" w:rsidP="00F32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Pildoma, jei tiekėjas, kuris yra juridinis asmuo, turi kolegialų valdymo organą ar priežiūros organo narį (-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ius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) (VPĮ 46 str. 2d. 2p.):</w:t>
            </w:r>
          </w:p>
        </w:tc>
      </w:tr>
      <w:tr w:rsidR="009C0816" w:rsidRPr="009C0816" w14:paraId="358E6FCA" w14:textId="77777777" w:rsidTr="00C22B8E">
        <w:trPr>
          <w:gridBefore w:val="1"/>
          <w:wBefore w:w="108" w:type="dxa"/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F8EA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160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4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9D9D9"/>
            <w:noWrap/>
            <w:vAlign w:val="bottom"/>
            <w:hideMark/>
          </w:tcPr>
          <w:p w14:paraId="715FEF78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C223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1724A5E1" w14:textId="77777777" w:rsidTr="00C22B8E">
        <w:trPr>
          <w:gridBefore w:val="1"/>
          <w:wBefore w:w="108" w:type="dxa"/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5F4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8719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4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FFFF" w:fill="D9D9D9"/>
            <w:noWrap/>
            <w:vAlign w:val="bottom"/>
            <w:hideMark/>
          </w:tcPr>
          <w:p w14:paraId="3D2DAA4A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BB6B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2278DE3B" w14:textId="77777777" w:rsidTr="00C22B8E">
        <w:trPr>
          <w:gridBefore w:val="1"/>
          <w:wBefore w:w="108" w:type="dxa"/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707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98BC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Vardas, pavardė, pareigos</w:t>
            </w:r>
          </w:p>
        </w:tc>
        <w:tc>
          <w:tcPr>
            <w:tcW w:w="64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5A3D89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976C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D9D9"/>
                <w:kern w:val="0"/>
                <w:lang w:eastAsia="lt-LT"/>
                <w14:ligatures w14:val="none"/>
              </w:rPr>
            </w:pPr>
          </w:p>
        </w:tc>
      </w:tr>
      <w:tr w:rsidR="003F1194" w:rsidRPr="009C0816" w14:paraId="4F59C126" w14:textId="77777777" w:rsidTr="00C22B8E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48AA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635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182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8886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6ABE4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D320D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60FF7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F3825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ACD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7643410E" w14:textId="77777777" w:rsidTr="00C22B8E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BC6D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86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4707179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Tiekėjo patvirtinimai: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8BDFA9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245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979D2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561FE6B1" w14:textId="77777777" w:rsidTr="00C22B8E">
        <w:trPr>
          <w:gridBefore w:val="1"/>
          <w:gridAfter w:val="1"/>
          <w:wBefore w:w="108" w:type="dxa"/>
          <w:wAfter w:w="352" w:type="dxa"/>
          <w:trHeight w:val="6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B92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0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241B7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 Šiuo pasiūlymu pažymime, kad sutinkame su visomis pirkimo sąlygomis, nustatytomis CVP IS skelbime, kituose pirkimo dokumentuose (jų paaiškinimuose, papildymuose).</w:t>
            </w:r>
          </w:p>
        </w:tc>
      </w:tr>
      <w:tr w:rsidR="009C0816" w:rsidRPr="009C0816" w14:paraId="11E2A235" w14:textId="77777777" w:rsidTr="00C22B8E">
        <w:trPr>
          <w:gridBefore w:val="1"/>
          <w:gridAfter w:val="1"/>
          <w:wBefore w:w="108" w:type="dxa"/>
          <w:wAfter w:w="352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ECA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8868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6402F57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 Pasiūlymas galioja iki termino, nustatyto pirkimo dokumentuose.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64D55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BE4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62B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7C51F51B" w14:textId="77777777" w:rsidTr="00C22B8E">
        <w:trPr>
          <w:gridBefore w:val="1"/>
          <w:gridAfter w:val="1"/>
          <w:wBefore w:w="108" w:type="dxa"/>
          <w:wAfter w:w="352" w:type="dxa"/>
          <w:trHeight w:val="5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86AC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0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C4FE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 Jeigu kvalifikacija dėl teisės verstis atitinkama veikla nebuvo tikrinama arba tikrinama ne visa apimtimi, įsipareigojame perkančiajai organizacijai, kad pirkimo sutartį vykdys tik tokią teisę turintys asmenys.</w:t>
            </w:r>
          </w:p>
        </w:tc>
      </w:tr>
      <w:tr w:rsidR="003F1194" w:rsidRPr="009C0816" w14:paraId="42499988" w14:textId="77777777" w:rsidTr="00C22B8E">
        <w:trPr>
          <w:gridBefore w:val="1"/>
          <w:gridAfter w:val="1"/>
          <w:wBefore w:w="108" w:type="dxa"/>
          <w:wAfter w:w="352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02BE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2FA1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1007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9C8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EBE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658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459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646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A9B04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6D83743D" w14:textId="77777777" w:rsidTr="00C22B8E">
        <w:trPr>
          <w:gridBefore w:val="1"/>
          <w:gridAfter w:val="1"/>
          <w:wBefore w:w="108" w:type="dxa"/>
          <w:wAfter w:w="352" w:type="dxa"/>
          <w:trHeight w:val="300"/>
        </w:trPr>
        <w:tc>
          <w:tcPr>
            <w:tcW w:w="15026" w:type="dxa"/>
            <w:gridSpan w:val="19"/>
            <w:tcBorders>
              <w:top w:val="nil"/>
              <w:left w:val="nil"/>
              <w:right w:val="nil"/>
            </w:tcBorders>
            <w:vAlign w:val="bottom"/>
            <w:hideMark/>
          </w:tcPr>
          <w:p w14:paraId="1C93CF46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1. Bendrieji reikalavimai:</w:t>
            </w:r>
          </w:p>
        </w:tc>
      </w:tr>
      <w:tr w:rsidR="009C0816" w:rsidRPr="009C0816" w14:paraId="4CCE7232" w14:textId="77777777" w:rsidTr="00C22B8E">
        <w:trPr>
          <w:gridBefore w:val="1"/>
          <w:gridAfter w:val="1"/>
          <w:wBefore w:w="108" w:type="dxa"/>
          <w:wAfter w:w="352" w:type="dxa"/>
          <w:trHeight w:val="840"/>
        </w:trPr>
        <w:tc>
          <w:tcPr>
            <w:tcW w:w="15026" w:type="dxa"/>
            <w:gridSpan w:val="19"/>
            <w:tcBorders>
              <w:top w:val="nil"/>
              <w:left w:val="nil"/>
              <w:right w:val="nil"/>
            </w:tcBorders>
            <w:vAlign w:val="center"/>
            <w:hideMark/>
          </w:tcPr>
          <w:p w14:paraId="670F30C2" w14:textId="13D1E690" w:rsidR="009C0816" w:rsidRPr="009C0816" w:rsidRDefault="009C0816" w:rsidP="00C22B8E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1.1. Perkanči</w:t>
            </w:r>
            <w:r w:rsidR="000409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jai organiz</w:t>
            </w:r>
            <w:r w:rsidR="000409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cijai paprašius, tiekėjas neatlygintinai turi pristatyti prekių pavyzdžius įvertinimui: po </w:t>
            </w:r>
            <w:r w:rsidR="000305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  <w:r w:rsidR="000305FC"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vnt. ,prašydama pateikti pavyzdžius, perkančioji organizacija nurodys pavyzdžių laužiamąją galią. Pavyzdžius pristatyti ne vėliau kaip per 5 darbo dienas nuo prašymo pateikimo dienos. Nepr</w:t>
            </w:r>
            <w:r w:rsidR="0004099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</w:t>
            </w: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stačius nurodyto kiekio prekių pavyzdžių nustatytu terminu pasiūlymas bus atmetamas kaip neatitinkantis pirkimo sąlygų.</w:t>
            </w:r>
          </w:p>
        </w:tc>
      </w:tr>
      <w:tr w:rsidR="009C0816" w:rsidRPr="009C0816" w14:paraId="3BC29D8C" w14:textId="77777777" w:rsidTr="00C22B8E">
        <w:trPr>
          <w:gridBefore w:val="1"/>
          <w:gridAfter w:val="1"/>
          <w:wBefore w:w="108" w:type="dxa"/>
          <w:wAfter w:w="352" w:type="dxa"/>
          <w:trHeight w:val="630"/>
        </w:trPr>
        <w:tc>
          <w:tcPr>
            <w:tcW w:w="15026" w:type="dxa"/>
            <w:gridSpan w:val="19"/>
            <w:vAlign w:val="center"/>
            <w:hideMark/>
          </w:tcPr>
          <w:p w14:paraId="26FFBB56" w14:textId="77777777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1.2. Tiekėjai privalo siūlyti tik gamintojo originalioje techninėje dokumentacijoje nurodytą produkciją. Tiekėjų pasiūlymai su gamintojo įsipareigojimu pagaminti priemones pagal poreikį bus atmetami kaip neatitinkantys pirkimo sąlygų.</w:t>
            </w:r>
          </w:p>
        </w:tc>
      </w:tr>
      <w:tr w:rsidR="009C0816" w:rsidRPr="009C0816" w14:paraId="3607EB93" w14:textId="77777777" w:rsidTr="00C22B8E">
        <w:trPr>
          <w:gridBefore w:val="1"/>
          <w:gridAfter w:val="1"/>
          <w:wBefore w:w="108" w:type="dxa"/>
          <w:wAfter w:w="352" w:type="dxa"/>
          <w:trHeight w:val="630"/>
        </w:trPr>
        <w:tc>
          <w:tcPr>
            <w:tcW w:w="15026" w:type="dxa"/>
            <w:gridSpan w:val="19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3422CC64" w14:textId="77777777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lastRenderedPageBreak/>
              <w:t xml:space="preserve">1.3.Nepriklausomai nuo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intraokulinių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lęšių dydžių, vienai pirkimo daliai siūlomų lęšių 1 vnt. kaina turi būti vienoda. Lęšių dydžiai bei jų kiekiai bus nurodomi darant užsakymą.</w:t>
            </w:r>
          </w:p>
        </w:tc>
      </w:tr>
      <w:tr w:rsidR="009C0816" w:rsidRPr="009C0816" w14:paraId="3CBC0942" w14:textId="77777777" w:rsidTr="00C22B8E">
        <w:trPr>
          <w:gridBefore w:val="1"/>
          <w:gridAfter w:val="1"/>
          <w:wBefore w:w="108" w:type="dxa"/>
          <w:wAfter w:w="352" w:type="dxa"/>
          <w:trHeight w:val="630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538AC" w14:textId="092495B6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1.4. Prekės turi atitikti Europos Parlamento ir Tarybos Reglamento (ES) 2017/745 dėl medicinos priemonių reikalavimus. Visos prekės turi būti pažymėtos CE ženklu, 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kartu su pasiūlymu tiekėjas turi pateikti tai įrodantį sertifikatą arba lygiavertį dokumentą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. </w:t>
            </w:r>
          </w:p>
        </w:tc>
      </w:tr>
      <w:tr w:rsidR="009C0816" w:rsidRPr="009C0816" w14:paraId="0AD64856" w14:textId="77777777" w:rsidTr="00C22B8E">
        <w:trPr>
          <w:gridBefore w:val="1"/>
          <w:gridAfter w:val="1"/>
          <w:wBefore w:w="108" w:type="dxa"/>
          <w:wAfter w:w="352" w:type="dxa"/>
          <w:trHeight w:val="375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BFC99" w14:textId="77777777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1.4.</w:t>
            </w: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Kartu su pasiūlymu turi būti pateikta pasiūlymo technines charakteristikas pagrindžianti gamintojo techninė dokumentacija (katalogai ir pan.). </w:t>
            </w:r>
          </w:p>
        </w:tc>
      </w:tr>
      <w:tr w:rsidR="009C0816" w:rsidRPr="009C0816" w14:paraId="2C9190DB" w14:textId="77777777" w:rsidTr="00C22B8E">
        <w:trPr>
          <w:gridBefore w:val="1"/>
          <w:gridAfter w:val="1"/>
          <w:wBefore w:w="108" w:type="dxa"/>
          <w:wAfter w:w="352" w:type="dxa"/>
          <w:trHeight w:val="435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1BB0C" w14:textId="5E44FF3A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1.5.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Intraokulinių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lęšių galiojimo laikas turi būti ne trumpesnis kaip 2 metai nuo prekių pateikimo perkančiajai organizacijai datos.</w:t>
            </w:r>
          </w:p>
        </w:tc>
      </w:tr>
      <w:tr w:rsidR="009C0816" w:rsidRPr="009C0816" w14:paraId="23625B43" w14:textId="77777777" w:rsidTr="00C22B8E">
        <w:trPr>
          <w:gridBefore w:val="1"/>
          <w:gridAfter w:val="1"/>
          <w:wBefore w:w="108" w:type="dxa"/>
          <w:wAfter w:w="352" w:type="dxa"/>
          <w:trHeight w:val="300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EDEB3" w14:textId="77777777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1.6. Tiekėjo siūlomos ir pristatomos prekės turi būti kokybiškos ir tinkamos naudoti pagal paskirtį. </w:t>
            </w:r>
          </w:p>
        </w:tc>
      </w:tr>
      <w:tr w:rsidR="009C0816" w:rsidRPr="009C0816" w14:paraId="1DA5D6EF" w14:textId="77777777" w:rsidTr="00C22B8E">
        <w:trPr>
          <w:gridBefore w:val="1"/>
          <w:gridAfter w:val="1"/>
          <w:wBefore w:w="108" w:type="dxa"/>
          <w:wAfter w:w="352" w:type="dxa"/>
          <w:trHeight w:val="315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D1D7" w14:textId="29DB4A0D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1.7. Laikoma, kad pasiūlymas teikiamas toms pirkimo dalims, kurioms nurodyti įkainiai. (Pirkimo dalis, kurioms pasiūlym</w:t>
            </w:r>
            <w:r w:rsidR="0034626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 neteikiamas, galima pašalinti iš lentelės).</w:t>
            </w:r>
          </w:p>
        </w:tc>
      </w:tr>
      <w:tr w:rsidR="009C0816" w:rsidRPr="009C0816" w14:paraId="140F8145" w14:textId="77777777" w:rsidTr="00C22B8E">
        <w:trPr>
          <w:gridBefore w:val="1"/>
          <w:gridAfter w:val="1"/>
          <w:wBefore w:w="108" w:type="dxa"/>
          <w:wAfter w:w="352" w:type="dxa"/>
          <w:trHeight w:val="315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60A4" w14:textId="77777777" w:rsidR="009C0816" w:rsidRPr="009C0816" w:rsidRDefault="009C0816" w:rsidP="00BA2C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1.8. Pasiūlymų vertinimas atliekamas vertinant pateiktus techninius dokumentus bei prekių pavyzdžius (jeigu jų paprašoma). </w:t>
            </w:r>
          </w:p>
        </w:tc>
      </w:tr>
      <w:tr w:rsidR="009C0816" w:rsidRPr="009C0816" w14:paraId="522E7118" w14:textId="77777777" w:rsidTr="00C22B8E">
        <w:trPr>
          <w:gridBefore w:val="1"/>
          <w:gridAfter w:val="1"/>
          <w:wBefore w:w="108" w:type="dxa"/>
          <w:wAfter w:w="352" w:type="dxa"/>
          <w:trHeight w:val="1515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EFA20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 Specialieji perkančiosios organizacijos reikalavimai: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 xml:space="preserve">1. Vieneto įkainis nurodomas su ne daugiau kaip keturiais skaičiais po kablelio. 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 xml:space="preserve">2. Suma ir maksimalaus kiekio kaina nurodoma su ne daugiau kaip dviem skaičiais po kablelio. (Jei trečias skaičius po kablelio yra nuo 0 iki 4, antrasis skaičius po kablelio paliekamas koks yra, jei trečias skaičius po kablelio yra nuo 5 iki 9, antrąjį skaičių po kablelio padidiname vienu vienetu, pvz., 3,14159 suapvalinus iki šimtųjų bus 3,14. Suapvalinus 3,1153 iki šimtųjų bus 3,12). </w:t>
            </w:r>
          </w:p>
        </w:tc>
      </w:tr>
      <w:tr w:rsidR="009C0816" w:rsidRPr="009C0816" w14:paraId="01EB0B9B" w14:textId="77777777" w:rsidTr="00C22B8E">
        <w:trPr>
          <w:gridBefore w:val="1"/>
          <w:wBefore w:w="108" w:type="dxa"/>
          <w:trHeight w:val="300"/>
        </w:trPr>
        <w:tc>
          <w:tcPr>
            <w:tcW w:w="15378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8CE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3. Perkančiosios organizacijos reikalaujami prekių techniniai parametrai bei tiekėjo siūlomos prekės ir įkainiai:</w:t>
            </w:r>
          </w:p>
        </w:tc>
      </w:tr>
      <w:tr w:rsidR="009C0816" w:rsidRPr="009C0816" w14:paraId="4C857429" w14:textId="77777777" w:rsidTr="00C22B8E">
        <w:trPr>
          <w:gridBefore w:val="1"/>
          <w:wBefore w:w="108" w:type="dxa"/>
          <w:trHeight w:val="199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28E7B1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P.D. Nr.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4D357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Prekės pavadinimas</w:t>
            </w:r>
          </w:p>
        </w:tc>
        <w:tc>
          <w:tcPr>
            <w:tcW w:w="355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209D220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Techniniai reikalavimai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DCF0E08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Mato vnt.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61B893" w14:textId="77777777" w:rsidR="009C0816" w:rsidRDefault="0006032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Maksimalus</w:t>
            </w:r>
          </w:p>
          <w:p w14:paraId="3C2734CD" w14:textId="68CD7EB0" w:rsidR="00060326" w:rsidRDefault="00295F5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</w:t>
            </w:r>
            <w:r w:rsidR="0006032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iekis</w:t>
            </w:r>
          </w:p>
          <w:p w14:paraId="0B5A4537" w14:textId="7499B9E9" w:rsidR="00060326" w:rsidRPr="009C0816" w:rsidRDefault="0006032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36 mėn.</w:t>
            </w:r>
          </w:p>
        </w:tc>
        <w:tc>
          <w:tcPr>
            <w:tcW w:w="1139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1E0FA5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Vieneto įkainis EUR, be PVM</w:t>
            </w:r>
          </w:p>
        </w:tc>
        <w:tc>
          <w:tcPr>
            <w:tcW w:w="107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4AFD6B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Suma EUR, be PVM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A87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Atitikimas techniniams reikalavimams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D393" w14:textId="7B58706F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 xml:space="preserve">Siūlomos priemonės gamintojo pavadinimas, šalis, prekės kodas ir nuoroda į gaminio kodą gamintojo parengtoje techninėje dokumentacijoje, kurioje būtina nurodyti </w:t>
            </w:r>
            <w:proofErr w:type="spellStart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dok</w:t>
            </w:r>
            <w:proofErr w:type="spellEnd"/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lt-LT"/>
                <w14:ligatures w14:val="none"/>
              </w:rPr>
              <w:t>. psl. Nr., pažymėti pozicijos numerį prie reikalaujamų parametrų reikšmės.</w:t>
            </w:r>
          </w:p>
        </w:tc>
      </w:tr>
      <w:tr w:rsidR="00992331" w:rsidRPr="009C0816" w14:paraId="3ED844F9" w14:textId="77777777" w:rsidTr="00C22B8E">
        <w:trPr>
          <w:gridBefore w:val="1"/>
          <w:wBefore w:w="108" w:type="dxa"/>
          <w:trHeight w:val="407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5E78" w14:textId="0F1FFCE4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27B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046C" w14:textId="67D5379E" w:rsidR="00992331" w:rsidRPr="009C0816" w:rsidRDefault="004C63F8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C63F8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sulankstomi vienos dalies toriniai </w:t>
            </w:r>
            <w:proofErr w:type="spellStart"/>
            <w:r w:rsidRPr="004C63F8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intraokuliniai</w:t>
            </w:r>
            <w:proofErr w:type="spellEnd"/>
            <w:r w:rsidRPr="004C63F8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 xml:space="preserve"> lęšiai tiekiami su gamintojo suderinta injekcine sistema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937A" w14:textId="72A6CCD4" w:rsidR="00992331" w:rsidRPr="00881A69" w:rsidRDefault="00992331" w:rsidP="00881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Medžiaga:</w:t>
            </w:r>
            <w:r>
              <w:t xml:space="preserve">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Minkštas </w:t>
            </w:r>
            <w:r w:rsidR="008A13A2" w:rsidRP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sulankstomas hidrofobinis akrilatas su UV spindulių apsauga, </w:t>
            </w:r>
            <w:r w:rsidR="00F15DC6" w:rsidRPr="00F15D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 / be mėlynos šviesos filtru</w:t>
            </w:r>
            <w:r w:rsidR="008A13A2" w:rsidRP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 Vandens kiekis medžiagoje ne daugiau 1 %, arba lygiavertė medžiaga</w:t>
            </w:r>
            <w:r w:rsid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C8CE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867519" w14:textId="3C37F3BC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1747319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1469B8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2CC9D89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  <w:hideMark/>
          </w:tcPr>
          <w:p w14:paraId="56881D4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992331" w:rsidRPr="009C0816" w14:paraId="7E9D2112" w14:textId="77777777" w:rsidTr="00C22B8E">
        <w:trPr>
          <w:gridBefore w:val="1"/>
          <w:wBefore w:w="108" w:type="dxa"/>
          <w:trHeight w:val="369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C6C9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F08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40B8" w14:textId="09F42FF1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 Bendras ilgis: 13,00mm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EFB26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9AFD6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CF8C4F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EA9226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9AA29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C5D33E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46643553" w14:textId="77777777" w:rsidTr="00C22B8E">
        <w:trPr>
          <w:gridBefore w:val="1"/>
          <w:wBefore w:w="108" w:type="dxa"/>
          <w:trHeight w:val="32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AEEA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F1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4254" w14:textId="6D8E282E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 Optikos diametras: 6 mm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0487F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E063C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1615FF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FAADB1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8A5190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0BE7A3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26FD0173" w14:textId="77777777" w:rsidTr="00C22B8E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5E8FB7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1BCB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36A" w14:textId="0DE6467A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4. Optikos kraštas: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Užpakalinis kraštas stataus kampo, pašiurkštintas.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BE1F5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C4FA62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3C6812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154AEA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8BDD4A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594C2A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47622094" w14:textId="77777777" w:rsidTr="00C22B8E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2D5EC2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92B58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93E8" w14:textId="3FF5FBCD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>
              <w:t xml:space="preserve">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Optinės dalies </w:t>
            </w:r>
            <w:r w:rsid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</w:t>
            </w:r>
            <w:r w:rsid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ė</w:t>
            </w:r>
            <w:proofErr w:type="spellEnd"/>
            <w:r w:rsid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</w:t>
            </w:r>
            <w:r w:rsidR="008A13A2" w:rsidRPr="008A13A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torinė, abipus išgaubta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D6E2F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CD82E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223D73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404707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95C298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FB1E9C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37308BF4" w14:textId="77777777" w:rsidTr="00C22B8E">
        <w:trPr>
          <w:gridBefore w:val="1"/>
          <w:wBefore w:w="108" w:type="dxa"/>
          <w:trHeight w:val="23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88AAD4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E516C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5DE0" w14:textId="2C2B9ADA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6.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Refrakcijos indeksas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="00F15DC6" w:rsidRPr="00F15D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 mažesnis kaip 1,47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5C125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38AE1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87C307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F5C9D0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F00CDD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CE48E3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509FC531" w14:textId="77777777" w:rsidTr="00C22B8E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75DD6A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1A2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150D" w14:textId="4D17C3A3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7.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</w:t>
            </w:r>
            <w:r w:rsidR="00BC11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10,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 iki +30 dioptrijų. Žingsnis kas 0,5</w:t>
            </w:r>
            <w:r w:rsidR="00BC112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45725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40F6B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2455BF0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9E4EC6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E4D88E1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F88DD5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75FF0" w:rsidRPr="009C0816" w14:paraId="3B4040FB" w14:textId="77777777" w:rsidTr="00C22B8E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DF8271" w14:textId="77777777" w:rsidR="00F75FF0" w:rsidRPr="009C0816" w:rsidRDefault="00F75FF0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29DA" w14:textId="77777777" w:rsidR="00F75FF0" w:rsidRPr="009C0816" w:rsidRDefault="00F75FF0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354" w14:textId="63CE53D5" w:rsidR="00F75FF0" w:rsidRDefault="00F75FF0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  <w:r>
              <w:t xml:space="preserve"> </w:t>
            </w:r>
            <w:r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IOL cilindro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1.0D, 1.5D, 2.25D, 3.0D, 3.75D, 4.5D, 5.25D, 6.0D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9B1CE7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B0BD63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A5E2EFE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A3DB0AB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BAF8DA0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8D9167A" w14:textId="77777777" w:rsidR="00F75FF0" w:rsidRPr="009C0816" w:rsidRDefault="00F75FF0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57D0A121" w14:textId="77777777" w:rsidTr="00C22B8E">
        <w:trPr>
          <w:gridBefore w:val="1"/>
          <w:wBefore w:w="108" w:type="dxa"/>
          <w:trHeight w:val="36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5CD54D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F9F0D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726A" w14:textId="35CDBC2E" w:rsidR="00992331" w:rsidRPr="009C0816" w:rsidRDefault="00F75FF0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  <w:r w:rsidR="009923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992331">
              <w:t xml:space="preserve"> </w:t>
            </w:r>
            <w:r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Konstrukcija: Vienos dalies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732B4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50AD7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1BAA8A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56A30B8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5DBF2B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1FB1139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7F3EDF75" w14:textId="77777777" w:rsidTr="00C22B8E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C25EA1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5390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D96" w14:textId="086AD577" w:rsidR="00992331" w:rsidRPr="009C0816" w:rsidRDefault="00F75FF0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  <w:r w:rsidR="0099233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 w:rsidR="00992331"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Atraminių elementų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forma:</w:t>
            </w:r>
            <w:r>
              <w:t xml:space="preserve"> </w:t>
            </w:r>
            <w:r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C, atraminių elementų paviršius pašiurkštintas</w:t>
            </w:r>
            <w:r w:rsidR="00992331"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5C529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DA4A0C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7576F3F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2053A94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491665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90F691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456F1A1A" w14:textId="77777777" w:rsidTr="00C22B8E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0F7860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9D1DE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0710" w14:textId="329A10DB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  <w:r w:rsidR="00F75FF0"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</w:t>
            </w:r>
            <w:r w:rsid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0</w:t>
            </w:r>
            <w:r w:rsidR="00F75FF0"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°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2CF3B7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8E738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1F380F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65A6C1D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968487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0B045B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73CE8044" w14:textId="77777777" w:rsidTr="00C22B8E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49401F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B595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0A8A" w14:textId="69995081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>
              <w:t xml:space="preserve">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881A6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Lęšis </w:t>
            </w:r>
            <w:r w:rsidR="00F75FF0" w:rsidRPr="00F75F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tiekiamas </w:t>
            </w:r>
            <w:r w:rsidR="0033111B" w:rsidRPr="0033111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sterilioje pakuotėje, sausas, su gamintojo suderinta injekcine sistema.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4D422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F07D83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30BB0CD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028A9AB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A5F1E94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4E24C60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251E14" w:rsidRPr="009C0816" w14:paraId="60D404E5" w14:textId="77777777" w:rsidTr="00C22B8E">
        <w:trPr>
          <w:gridBefore w:val="1"/>
          <w:wBefore w:w="108" w:type="dxa"/>
          <w:trHeight w:val="116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85563A" w14:textId="77777777" w:rsidR="00251E14" w:rsidRPr="009C0816" w:rsidRDefault="00251E14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9B9FF" w14:textId="77777777" w:rsidR="00251E14" w:rsidRPr="009C0816" w:rsidRDefault="00251E14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5E0D" w14:textId="45FFF51D" w:rsidR="00251E14" w:rsidRDefault="00251E14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13.</w:t>
            </w:r>
            <w:r>
              <w:t xml:space="preserve">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Injektoriaus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lęšis implantuojamas sukant arba stumiant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injektoriaus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rankenėlę pagal chirurgo pasirinktą operacinę techniką ar klinikinę situaciją.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Injektoriaus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galiukas turi apsaugą leidžiančią kontroliuoti ir pasirinkti įvedimo į priekinę kamerą gylį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320093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4CD7F3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305693B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31A2E21D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0C938BE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292B26E" w14:textId="77777777" w:rsidR="00251E14" w:rsidRPr="009C0816" w:rsidRDefault="00251E14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92331" w:rsidRPr="009C0816" w14:paraId="2AF8011F" w14:textId="77777777" w:rsidTr="00C22B8E">
        <w:trPr>
          <w:gridBefore w:val="1"/>
          <w:wBefore w:w="108" w:type="dxa"/>
          <w:trHeight w:val="50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B9C99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8900" w14:textId="77777777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A2AA" w14:textId="1D24511A" w:rsidR="00992331" w:rsidRPr="009C0816" w:rsidRDefault="00992331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 w:rsid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C092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D9171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12584825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5FD4650B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2353A46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center"/>
          </w:tcPr>
          <w:p w14:paraId="7F09831E" w14:textId="77777777" w:rsidR="00992331" w:rsidRPr="009C0816" w:rsidRDefault="00992331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3958D9F6" w14:textId="77777777" w:rsidTr="00C22B8E">
        <w:trPr>
          <w:gridBefore w:val="1"/>
          <w:wBefore w:w="108" w:type="dxa"/>
          <w:trHeight w:val="390"/>
        </w:trPr>
        <w:tc>
          <w:tcPr>
            <w:tcW w:w="10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DAEE" w14:textId="5CA80D58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Bendra pirkimo dalies kaina, EUR be PVM: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D811A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E9578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3F1194" w:rsidRPr="009C0816" w14:paraId="029D5B73" w14:textId="77777777" w:rsidTr="00C22B8E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8324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E9CE9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7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A6B6B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PVM tarifas (%)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3BC781A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4D53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B0E64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3F6BD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36442" w:rsidRPr="009C0816" w14:paraId="418008B2" w14:textId="77777777" w:rsidTr="00C22B8E">
        <w:trPr>
          <w:gridBefore w:val="1"/>
          <w:wBefore w:w="108" w:type="dxa"/>
          <w:trHeight w:val="315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9F363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3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080B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C047C5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E05C3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C655DC" w:rsidRPr="009C0816" w14:paraId="21F34D27" w14:textId="77777777" w:rsidTr="00C22B8E">
        <w:trPr>
          <w:gridBefore w:val="1"/>
          <w:wBefore w:w="108" w:type="dxa"/>
          <w:trHeight w:val="621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41A3C" w14:textId="2B203F0F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F783F" w14:textId="06EA027B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51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sulankstomas monolitinis padidinto regos atstumo (EDOF) torinis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asferinis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IOL su kasete implantavimui. 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B386" w14:textId="6B9A5BD0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  <w:r>
              <w:t xml:space="preserve"> </w:t>
            </w:r>
            <w:r w:rsidRPr="0093644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hidrofobinis akrilato/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metakrilato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kopolimeras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arba lygiavertė medžiaga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DCB8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4BCB" w14:textId="1905E91A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7997E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83C3C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B8BE2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23EE2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C2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C655DC" w:rsidRPr="009C0816" w14:paraId="5D681F6B" w14:textId="77777777" w:rsidTr="00C22B8E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FE3CE9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37B5B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B31" w14:textId="4980BB10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2.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UV spindulių filtravimas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20,0D IOL pralaidumas ne daugiau 10% esant 403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bangoms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FE511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394D8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21E9E1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161430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1138CC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BCCF43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310BCC32" w14:textId="77777777" w:rsidTr="00C22B8E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8A4327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F35F7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5E1" w14:textId="637518B6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Mėlynos šviesos pralaidumas (filtras)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filtravimas 400 – 475 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bangų spektre.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227B6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A5C31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EF8CEE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FE6B17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15F2918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B87276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1B4AF0EC" w14:textId="77777777" w:rsidTr="00C22B8E">
        <w:trPr>
          <w:gridBefore w:val="1"/>
          <w:wBefore w:w="108" w:type="dxa"/>
          <w:trHeight w:val="362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A55DE7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222F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58EB" w14:textId="28EBD80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Bendras ilgis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13,00mm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BDBCD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C3CAA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F8FFC87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D7BEC8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BEBC2C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45C2B1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3959B948" w14:textId="77777777" w:rsidTr="00C22B8E">
        <w:trPr>
          <w:gridBefore w:val="1"/>
          <w:wBefore w:w="108" w:type="dxa"/>
          <w:trHeight w:val="409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094183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305C5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45D6" w14:textId="0B3F3C5D" w:rsidR="00C655DC" w:rsidRPr="009C0816" w:rsidRDefault="00C655DC" w:rsidP="00251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diametras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D33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6,0 mm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0F28B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8322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647184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7639758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B1D2E4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AF44DCE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3071F5A2" w14:textId="77777777" w:rsidTr="00C22B8E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25CE81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0126A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4765" w14:textId="4928E34E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6.</w:t>
            </w:r>
            <w:r>
              <w:t xml:space="preserve"> </w:t>
            </w:r>
            <w:r w:rsidRPr="00D33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Optinės dalies 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proofErr w:type="spellStart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asferinė</w:t>
            </w:r>
            <w:proofErr w:type="spellEnd"/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torinė, abipus išgaubta.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251E1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Optinės dalies paviršiuje suformuotas 2,2 mm skersmens ir ~ 1,0 µm storio priedas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E2D432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F34839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26862E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F65387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EF1A17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C8B919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01269686" w14:textId="77777777" w:rsidTr="00C22B8E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E923F1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49117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1691" w14:textId="200D1634" w:rsidR="00C655DC" w:rsidRPr="009C0816" w:rsidRDefault="00C655DC" w:rsidP="00D72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7.</w:t>
            </w:r>
            <w:r>
              <w:t xml:space="preserve">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Padidinto regos atstumo technologija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bangos fronto formavimo, išlaiko </w:t>
            </w:r>
            <w:proofErr w:type="spellStart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monofokaliniams</w:t>
            </w:r>
            <w:proofErr w:type="spellEnd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lęšiams būdingą  regos trikdžių dažnį ir gerina regos aštrumą matymo diapazone nuo matymo iš toli iki 40 cm židinio nuotolio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Išlaiko jautrumą kontrastui </w:t>
            </w:r>
            <w:proofErr w:type="spellStart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mezopijos</w:t>
            </w:r>
            <w:proofErr w:type="spellEnd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sąlygomis, lyginant su </w:t>
            </w:r>
            <w:proofErr w:type="spellStart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monofokaliniu</w:t>
            </w:r>
            <w:proofErr w:type="spellEnd"/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lęšiu.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E19238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B32425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17E62F3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A6F75F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86CAAFC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E87D95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63FB67A4" w14:textId="77777777" w:rsidTr="00C22B8E">
        <w:trPr>
          <w:gridBefore w:val="1"/>
          <w:wBefore w:w="108" w:type="dxa"/>
          <w:trHeight w:val="32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693A8B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7B241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18B0" w14:textId="6C11867E" w:rsidR="00C655DC" w:rsidRPr="009C0816" w:rsidRDefault="00C655DC" w:rsidP="00DF7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  <w:r>
              <w:t xml:space="preserve">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Refrakcijos indeksas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 mažiau nei 1.55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86172B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339096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3E744D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009573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47230B2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C30749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08B6C871" w14:textId="77777777" w:rsidTr="00C22B8E">
        <w:trPr>
          <w:gridBefore w:val="1"/>
          <w:wBefore w:w="108" w:type="dxa"/>
          <w:trHeight w:val="42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C3DC8A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06B6D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37DF" w14:textId="2A7BC498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</w:t>
            </w:r>
            <w:r>
              <w:t xml:space="preserve">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+6.0 iki +34.0 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AA48D8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B9506C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D4F23CA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01CCD16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F46A27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995DF9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4B03597F" w14:textId="77777777" w:rsidTr="00C22B8E">
        <w:trPr>
          <w:gridBefore w:val="1"/>
          <w:wBefore w:w="108" w:type="dxa"/>
          <w:trHeight w:val="35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344641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81616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281B" w14:textId="57EA8B8F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10.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IOL cilindro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D72FD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+1.0 D iki +3.75 D (ne mažiau 5 modelių)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B34CAE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9183E2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7D3252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0036A1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3C72DE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0F60DA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278D3BE5" w14:textId="77777777" w:rsidTr="00C22B8E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8D2FDB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D2C6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FD8D" w14:textId="3DA860BA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11.</w:t>
            </w:r>
            <w:r>
              <w:t xml:space="preserve"> </w:t>
            </w:r>
            <w:r w:rsidRPr="009B42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Konstrukcija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9B42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monolitiniai, IOL priekinis paviršius suformuotas su neigiama sferine </w:t>
            </w:r>
            <w:proofErr w:type="spellStart"/>
            <w:r w:rsidRPr="009B42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aberacija</w:t>
            </w:r>
            <w:proofErr w:type="spellEnd"/>
            <w:r w:rsidRPr="009B42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kompensuojančia ragenos teigiamą sferinę </w:t>
            </w:r>
            <w:proofErr w:type="spellStart"/>
            <w:r w:rsidRPr="009B42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9EDB5F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529A7D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FD721F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0FD864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ED58F6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07A86AB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05BD8FDA" w14:textId="77777777" w:rsidTr="00C22B8E">
        <w:trPr>
          <w:gridBefore w:val="1"/>
          <w:wBefore w:w="108" w:type="dxa"/>
          <w:trHeight w:val="42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3F77B6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071CF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A87" w14:textId="113B1950" w:rsidR="00C655DC" w:rsidRPr="001425E9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425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 w:rsidRPr="001425E9">
              <w:rPr>
                <w:rFonts w:ascii="Times New Roman" w:hAnsi="Times New Roman" w:cs="Times New Roman"/>
              </w:rPr>
              <w:t xml:space="preserve"> </w:t>
            </w:r>
            <w:r w:rsidRPr="00C655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forma</w:t>
            </w:r>
            <w:r w:rsidRPr="001425E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</w:p>
          <w:p w14:paraId="367AF33B" w14:textId="4715A29E" w:rsidR="00C655DC" w:rsidRPr="00813CF8" w:rsidRDefault="00C655DC" w:rsidP="00813CF8">
            <w:pPr>
              <w:pStyle w:val="Body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  <w:r w:rsidRPr="00C655DC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modifikuota „L“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D200E4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78F83C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D7BB43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37CC4A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A4E948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E96440E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1E1CF36F" w14:textId="77777777" w:rsidTr="00C22B8E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444B9A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52FA1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27C7" w14:textId="2CD204FA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13. </w:t>
            </w:r>
            <w:r w:rsidRPr="00C655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C655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0°</w:t>
            </w:r>
            <w:r w:rsidRPr="00B73719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FD389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0B3A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22B5D1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A5F59A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CC1D9C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398F5DE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655DC" w:rsidRPr="009C0816" w14:paraId="2562FE29" w14:textId="77777777" w:rsidTr="00C22B8E">
        <w:trPr>
          <w:gridBefore w:val="1"/>
          <w:wBefore w:w="108" w:type="dxa"/>
          <w:trHeight w:val="61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862B0" w14:textId="77777777" w:rsidR="00C655DC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0083" w14:textId="77777777" w:rsidR="00C655DC" w:rsidRPr="00F27B31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5DC2" w14:textId="35FAA58B" w:rsidR="00C655DC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14.</w:t>
            </w:r>
            <w:r>
              <w:t xml:space="preserve"> </w:t>
            </w:r>
            <w:r w:rsidRPr="00C655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C655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lęšis pateikiamas sausas, sterilioje pakuotėje.</w:t>
            </w:r>
          </w:p>
        </w:tc>
        <w:tc>
          <w:tcPr>
            <w:tcW w:w="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AFDA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6F68B" w14:textId="77777777" w:rsidR="00C655DC" w:rsidRPr="009C0816" w:rsidRDefault="00C655DC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96CFCC1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5292BD1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782B124" w14:textId="77777777" w:rsidR="00C655DC" w:rsidRPr="009C0816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D27F1C" w14:textId="77777777" w:rsidR="00C655DC" w:rsidRPr="001C205D" w:rsidRDefault="00C655DC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46009F6F" w14:textId="77777777" w:rsidTr="00C22B8E">
        <w:trPr>
          <w:gridBefore w:val="1"/>
          <w:wBefore w:w="108" w:type="dxa"/>
          <w:trHeight w:val="330"/>
        </w:trPr>
        <w:tc>
          <w:tcPr>
            <w:tcW w:w="10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E39DF9" w14:textId="4381E6E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Bendra pirkimo dalies kaina, EUR be PVM: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013E6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85277" w14:textId="77777777" w:rsidR="009C0816" w:rsidRPr="001C205D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C205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 </w:t>
            </w:r>
          </w:p>
        </w:tc>
      </w:tr>
      <w:tr w:rsidR="003F1194" w:rsidRPr="009C0816" w14:paraId="249B5E28" w14:textId="77777777" w:rsidTr="00C22B8E">
        <w:trPr>
          <w:gridBefore w:val="1"/>
          <w:wBefore w:w="108" w:type="dxa"/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3713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A8DE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7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827AA9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PVM tarifas (%)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A87186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EA23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7E0CFF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42AA" w14:textId="77777777" w:rsidR="009C0816" w:rsidRPr="001C205D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BA2C6B" w:rsidRPr="009C0816" w14:paraId="41F1BDC1" w14:textId="77777777" w:rsidTr="00C22B8E">
        <w:trPr>
          <w:gridBefore w:val="1"/>
          <w:wBefore w:w="108" w:type="dxa"/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FBAB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3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D8D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1848C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6E3E7" w14:textId="77777777" w:rsidR="009C0816" w:rsidRPr="001C205D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CB65EE" w:rsidRPr="009C0816" w14:paraId="57B2F159" w14:textId="77777777" w:rsidTr="00C22B8E">
        <w:trPr>
          <w:gridBefore w:val="1"/>
          <w:wBefore w:w="108" w:type="dxa"/>
          <w:trHeight w:val="5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F5B4" w14:textId="0F8341E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892D38F" w14:textId="41F4B5F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F2D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sulankstomas </w:t>
            </w:r>
            <w:r w:rsidRPr="002F2D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 xml:space="preserve">monolitinis torinis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asferinis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IOL su kasete implantavimui. 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ACE45" w14:textId="736C99C3" w:rsidR="00CB65EE" w:rsidRPr="009C0816" w:rsidRDefault="00CB65EE" w:rsidP="00FF1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1.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hidrofobinis akrilato/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metakrilato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kopolimeras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arba lygiavertė medžiaga.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8052F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9CBA6EE" w14:textId="7730E303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CFBD8C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A76978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5F09E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6CB6F1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C205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CB65EE" w:rsidRPr="009C0816" w14:paraId="2845FBCB" w14:textId="77777777" w:rsidTr="00C22B8E">
        <w:trPr>
          <w:gridBefore w:val="1"/>
          <w:wBefore w:w="108" w:type="dxa"/>
          <w:trHeight w:val="46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A645AD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CBE5D9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942A" w14:textId="4E5796B5" w:rsidR="00CB65EE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UV spindulių filtravimas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20,0D IOL pralaidumas ne daugiau 10% esant 403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bangoms.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6A0367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911285D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46361F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A974843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BBF5B3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DCDB92F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7B1E6694" w14:textId="77777777" w:rsidTr="00C22B8E">
        <w:trPr>
          <w:gridBefore w:val="1"/>
          <w:wBefore w:w="108" w:type="dxa"/>
          <w:trHeight w:val="46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387CEA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1D0741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382F" w14:textId="40F6958D" w:rsidR="00CB65EE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Mėlynos šviesos pralaidumas(filtras)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filtravimas 400 – 475 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bangų spektre.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F42850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BB323F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58362AB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C6D1FE9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6E1187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A32064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1C8AEF00" w14:textId="77777777" w:rsidTr="00C22B8E">
        <w:trPr>
          <w:gridBefore w:val="1"/>
          <w:wBefore w:w="108" w:type="dxa"/>
          <w:trHeight w:val="46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DE9321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BF511A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0C83" w14:textId="456B3CC5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Bendras ilgis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13,00 mm.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C7F507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70FD58C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804B0E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5CC20D8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314C041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E2069E2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2D05E10E" w14:textId="77777777" w:rsidTr="00C22B8E">
        <w:trPr>
          <w:gridBefore w:val="1"/>
          <w:wBefore w:w="108" w:type="dxa"/>
          <w:trHeight w:val="42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FF9C0F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12A2C0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A552C" w14:textId="34F65C7F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diametras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6,00 mm.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A26661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93E7892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A45100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6C476A5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A086557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24ACCC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460F19F0" w14:textId="77777777" w:rsidTr="00C22B8E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97B2D9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7B503BA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CC8B1" w14:textId="3D51A415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6.</w:t>
            </w:r>
            <w:r>
              <w:t xml:space="preserve"> 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nės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dalies 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priekinis paviršius suformuotas su sferine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aberacija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skirta kompensuoti teigiamoms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rageninėms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sferinėms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aberacijoms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8C0B24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7941994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7A610C4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8DE0C6A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8F16DA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16C6297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29321447" w14:textId="77777777" w:rsidTr="00C22B8E">
        <w:trPr>
          <w:gridBefore w:val="1"/>
          <w:wBefore w:w="108" w:type="dxa"/>
          <w:trHeight w:val="379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62F948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022AFB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A145" w14:textId="0A0F4824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krašto 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mažinantis atspindžius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32B5D9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B77213E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433872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21D916A0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045CE38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0508DF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2222EC57" w14:textId="77777777" w:rsidTr="00C22B8E">
        <w:trPr>
          <w:gridBefore w:val="1"/>
          <w:wBefore w:w="108" w:type="dxa"/>
          <w:trHeight w:val="261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40A34A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7C509E7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A95A" w14:textId="2742F648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Refrakcijos indeksas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1,54-1,55</w:t>
            </w:r>
            <w:r w:rsidRPr="001010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82BD25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9F15B2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10452C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533A9E65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ADB7ABC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100434F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225EEB5E" w14:textId="77777777" w:rsidTr="00C22B8E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D199C0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0433E9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77B1" w14:textId="2ED0A485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+10,0 D iki +30,0 D.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24997E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2214899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EAD68C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69357ED7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44FF0F8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DC4564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536E119D" w14:textId="77777777" w:rsidTr="00C22B8E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78270D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7EF683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E2CB" w14:textId="58864A16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10.</w:t>
            </w:r>
            <w:r>
              <w:t xml:space="preserve"> </w:t>
            </w:r>
            <w:r w:rsidRPr="00E200BB">
              <w:t>IOL cilindro galia</w:t>
            </w:r>
            <w: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+1.0 D iki +6.0 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E07277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1942EA6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CCE73F6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743A684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958036D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882E8A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61149BEB" w14:textId="77777777" w:rsidTr="00C22B8E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A697B1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162B1B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816D" w14:textId="517E95BC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11.</w:t>
            </w:r>
            <w:r>
              <w:t xml:space="preserve"> </w:t>
            </w:r>
            <w:r w:rsidRPr="009726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Konstrukcija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monolitinis, IOL priekinis paviršius suformuotas su neigiama sferine </w:t>
            </w:r>
            <w:proofErr w:type="spellStart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aberacija</w:t>
            </w:r>
            <w:proofErr w:type="spellEnd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kompensuojančia ragenos teigiamą sferinę </w:t>
            </w:r>
            <w:proofErr w:type="spellStart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aberaciją</w:t>
            </w:r>
            <w:proofErr w:type="spellEnd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 Torinis elementas suformuotas užpakaliniame lęšio paviršiuje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F20B89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BB177E8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520A1F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05B376F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66A4D94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72EFFB4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5E049EEC" w14:textId="77777777" w:rsidTr="00C22B8E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AE6634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93BEF2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10CAD" w14:textId="7B854A7F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forma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modifikuota „L“</w:t>
            </w:r>
            <w:r w:rsidRPr="009726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201C9F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5F6B616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B437EB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30D2089D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A14B80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ADA2685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0763E0D0" w14:textId="77777777" w:rsidTr="00C22B8E">
        <w:trPr>
          <w:gridBefore w:val="1"/>
          <w:wBefore w:w="108" w:type="dxa"/>
          <w:trHeight w:val="356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519F12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0505F7D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1241" w14:textId="10C82C3E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13.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0°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052B44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59BFDE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E22A4A1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52128D6D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C87FBE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2D95A24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06FB8E96" w14:textId="77777777" w:rsidTr="00C22B8E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058D37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F076426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9F898" w14:textId="5C94F525" w:rsidR="00CB65EE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14.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Rotacinis stabilumas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 daugiau kaip 1.4 °±2.00 ° (pateikti įrodantį straipsnį su ne mažiau kaip 100 akių tyrimų)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E2C38D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074B404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2AD559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E478449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8AAACE6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B7DF39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B65EE" w:rsidRPr="009C0816" w14:paraId="68512FD9" w14:textId="77777777" w:rsidTr="00C22B8E">
        <w:trPr>
          <w:gridBefore w:val="1"/>
          <w:wBefore w:w="108" w:type="dxa"/>
          <w:trHeight w:val="537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DCE9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B4E8" w14:textId="77777777" w:rsidR="00CB65EE" w:rsidRPr="00F33FDF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DEF17" w14:textId="3B448192" w:rsidR="00CB65EE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15.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tiekiamas sterilioje pakuotėje, sausas, </w:t>
            </w:r>
            <w:proofErr w:type="spellStart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preimplantuotas</w:t>
            </w:r>
            <w:proofErr w:type="spellEnd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į vienkartinį </w:t>
            </w:r>
            <w:proofErr w:type="spellStart"/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injektorių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A11C8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09FC" w14:textId="77777777" w:rsidR="00CB65EE" w:rsidRPr="009C0816" w:rsidRDefault="00CB65EE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CF0EAC8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316BB327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C4B75D" w14:textId="77777777" w:rsidR="00CB65EE" w:rsidRPr="009C0816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BB163F" w14:textId="77777777" w:rsidR="00CB65EE" w:rsidRPr="001C205D" w:rsidRDefault="00CB65EE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0816" w:rsidRPr="009C0816" w14:paraId="116F58DB" w14:textId="77777777" w:rsidTr="00C22B8E">
        <w:trPr>
          <w:gridBefore w:val="1"/>
          <w:wBefore w:w="108" w:type="dxa"/>
          <w:trHeight w:val="300"/>
        </w:trPr>
        <w:tc>
          <w:tcPr>
            <w:tcW w:w="10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CD36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 EUR be PVM: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A36FC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1507" w14:textId="77777777" w:rsidR="009C0816" w:rsidRPr="001C205D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3F1194" w:rsidRPr="009C0816" w14:paraId="4A0132E7" w14:textId="77777777" w:rsidTr="00C22B8E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7C95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854B8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57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C6E298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tarifas (%)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EFD38E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F5FC" w14:textId="77777777" w:rsidR="009C0816" w:rsidRPr="009C0816" w:rsidRDefault="009C0816" w:rsidP="009C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5080B7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C0D9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9C0816" w:rsidRPr="009C0816" w14:paraId="13AE3B0E" w14:textId="77777777" w:rsidTr="00C22B8E">
        <w:trPr>
          <w:gridBefore w:val="1"/>
          <w:wBefore w:w="108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9B3D" w14:textId="77777777" w:rsidR="009C0816" w:rsidRPr="009C0816" w:rsidRDefault="009C0816" w:rsidP="009C08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39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24C66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9CBB4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B2C0" w14:textId="77777777" w:rsidR="009C0816" w:rsidRPr="009C0816" w:rsidRDefault="009C0816" w:rsidP="009C08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A8104A" w:rsidRPr="009C0816" w14:paraId="0DB63884" w14:textId="77777777" w:rsidTr="00C22B8E">
        <w:trPr>
          <w:trHeight w:val="540"/>
        </w:trPr>
        <w:tc>
          <w:tcPr>
            <w:tcW w:w="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02E75" w14:textId="238EA501" w:rsidR="00A8104A" w:rsidRPr="009C0816" w:rsidRDefault="00D95758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="00A8104A"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19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1F2E5FF" w14:textId="412105D5" w:rsidR="00A8104A" w:rsidRPr="009C0816" w:rsidRDefault="00244352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435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Užpakalinės kameros sulankstomi monolitiniai padidinto regos atstumo (EDOF) </w:t>
            </w:r>
            <w:proofErr w:type="spellStart"/>
            <w:r w:rsidRPr="0024435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asferiniai</w:t>
            </w:r>
            <w:proofErr w:type="spellEnd"/>
            <w:r w:rsidRPr="0024435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IOL su kasetėmis implantavimui. 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E108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hidrofobinis akrilato/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metakrilato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kopolimeras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arba lygiavertė medžiaga.</w:t>
            </w:r>
          </w:p>
        </w:tc>
        <w:tc>
          <w:tcPr>
            <w:tcW w:w="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B6F1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vnt. 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4E0123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200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28B46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9ECCF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A9E09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FDABD7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22B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8104A" w:rsidRPr="009C0816" w14:paraId="71C531B6" w14:textId="77777777" w:rsidTr="00C22B8E">
        <w:trPr>
          <w:trHeight w:val="463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A2D887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596BD6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AE4CE" w14:textId="77777777" w:rsidR="00A8104A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2.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UV spindulių filtravimas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20,0D IOL pralaidumas ne daugiau 10% esant 403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bangoms.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789A8A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1CD629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F4C3F7A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B2C187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5B46634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4C196DB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11FC7878" w14:textId="77777777" w:rsidTr="00C22B8E">
        <w:trPr>
          <w:trHeight w:val="463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11115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AD445E5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A60F8" w14:textId="77777777" w:rsidR="00A8104A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3.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Mėlynos šviesos pralaidumas(filtras)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filtravimas 400 – 475  </w:t>
            </w:r>
            <w:proofErr w:type="spellStart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nm</w:t>
            </w:r>
            <w:proofErr w:type="spellEnd"/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ilgio bangų spektre.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B6F0D3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C418353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857FB98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525BB42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31C513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0651C54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090B4AE2" w14:textId="77777777" w:rsidTr="00C22B8E">
        <w:trPr>
          <w:trHeight w:val="361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A63EA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BF5DB3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5042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Bendras ilgis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13,00 mm.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65983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08E591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FFBBE9D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7CC53F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BF11A4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14764E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14933217" w14:textId="77777777" w:rsidTr="00C22B8E">
        <w:trPr>
          <w:trHeight w:val="42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446A97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B9E176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2958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5.</w:t>
            </w:r>
            <w:r>
              <w:t xml:space="preserve"> </w:t>
            </w:r>
            <w:r w:rsidRPr="00FF15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Optikos diametras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 6,00 mm.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3E036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F145955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B3FB9A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75C8282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ABA0909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DF96B38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597E3A2F" w14:textId="77777777" w:rsidTr="00C22B8E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F561D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B65102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059D" w14:textId="77777777" w:rsidR="00244352" w:rsidRPr="00244352" w:rsidRDefault="00A8104A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6.</w:t>
            </w:r>
            <w:r>
              <w:t xml:space="preserve"> 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Opti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nės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2F2D9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dalies </w:t>
            </w:r>
            <w:r w:rsidRPr="00717B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savybės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proofErr w:type="spellStart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asferinė</w:t>
            </w:r>
            <w:proofErr w:type="spellEnd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 torinė, abipus išgaubta.</w:t>
            </w:r>
          </w:p>
          <w:p w14:paraId="624EC205" w14:textId="32934115" w:rsidR="00A8104A" w:rsidRPr="009C0816" w:rsidRDefault="00244352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Optinės dalies paviršiuje suformuotas 2,2 mm skersmens ir </w:t>
            </w:r>
            <w:r w:rsidR="000305F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ne mažiau </w:t>
            </w:r>
            <w:r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1,0 µm storio priedas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6233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932CAC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C9B0D09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63501F0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3C40BF8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0BDF31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2F99286E" w14:textId="77777777" w:rsidTr="00C22B8E">
        <w:trPr>
          <w:trHeight w:val="379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8AFFA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7F918D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F91CF" w14:textId="5634914D" w:rsidR="00A8104A" w:rsidRPr="009C0816" w:rsidRDefault="00A8104A" w:rsidP="00244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7.</w:t>
            </w:r>
            <w:r>
              <w:t xml:space="preserve"> </w:t>
            </w:r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Padidinto regos atstumo technologija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bangos fronto formavimo, išlaiko </w:t>
            </w:r>
            <w:proofErr w:type="spellStart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monofokaliniams</w:t>
            </w:r>
            <w:proofErr w:type="spellEnd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lęšiams būdingą  regos trikdžių dažnį ir gerina regos aštrumą matymo diapazone nuo matymo iš toli iki 40 cm židinio nuotolio</w:t>
            </w:r>
            <w:r w:rsid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. </w:t>
            </w:r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Išlaiko jautrumą kontrastui </w:t>
            </w:r>
            <w:proofErr w:type="spellStart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mezopijos</w:t>
            </w:r>
            <w:proofErr w:type="spellEnd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sąlygomis, lyginant su </w:t>
            </w:r>
            <w:proofErr w:type="spellStart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monofokaliniu</w:t>
            </w:r>
            <w:proofErr w:type="spellEnd"/>
            <w:r w:rsidR="00244352" w:rsidRPr="0024435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lęšiu.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8985E5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EE277E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1EF7B2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6C11172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6B2AC9A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F948402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7B4C9DE4" w14:textId="77777777" w:rsidTr="00C22B8E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B0C66D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B8FB7F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FDF1" w14:textId="148332BB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Refrakcijos indeksas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>
              <w:t xml:space="preserve"> </w:t>
            </w:r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ne mažiau nei 1.55</w:t>
            </w:r>
            <w:r w:rsidRPr="0010106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DEF958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1062F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2B04CF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40861113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49E237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778406F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4E832B7C" w14:textId="77777777" w:rsidTr="00C22B8E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521D2D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A36302B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E63F" w14:textId="2A878B62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9.</w:t>
            </w:r>
            <w:r>
              <w:t xml:space="preserve">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Laužiamoji galia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+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,0 D iki +3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,0 D.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A7C5D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5DC9D5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14CC76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6F4D423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97B1390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1AA54C8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7AE2C066" w14:textId="77777777" w:rsidTr="00C22B8E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28220B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AECC59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24FB1" w14:textId="341C5BE4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10.</w:t>
            </w:r>
            <w:r>
              <w:t xml:space="preserve"> </w:t>
            </w:r>
            <w:r w:rsidR="00BF2193" w:rsidRPr="009726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Konstrukcija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monolitiniai, IOL priekinis paviršius suformuotas su neigiama sferine </w:t>
            </w:r>
            <w:proofErr w:type="spellStart"/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aberacija</w:t>
            </w:r>
            <w:proofErr w:type="spellEnd"/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, kompensuojančia ragenos teigiamą sferinę </w:t>
            </w:r>
            <w:proofErr w:type="spellStart"/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aberaciją</w:t>
            </w:r>
            <w:proofErr w:type="spellEnd"/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181F94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4804848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861D1FE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1BC1BCF7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27B1257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67B7FCD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3322BFD5" w14:textId="77777777" w:rsidTr="00C22B8E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FBFCAB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191073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EDEF" w14:textId="432C121C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11.</w:t>
            </w:r>
            <w:r>
              <w:t xml:space="preserve"> </w:t>
            </w:r>
            <w:r w:rsidR="00BF2193"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forma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 w:rsidR="00BF2193">
              <w:t xml:space="preserve"> </w:t>
            </w:r>
            <w:r w:rsidR="00BF2193"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modifikuota „L“</w:t>
            </w:r>
            <w:r w:rsidR="00BF2193" w:rsidRPr="009726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ECC1B7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FD065CC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DDEE31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0507B8A7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44392E5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F6725D1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29D2E6BC" w14:textId="77777777" w:rsidTr="00C22B8E">
        <w:trPr>
          <w:trHeight w:val="537"/>
        </w:trPr>
        <w:tc>
          <w:tcPr>
            <w:tcW w:w="7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26206D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B6CB77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87437" w14:textId="057E5964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12.</w:t>
            </w:r>
            <w:r>
              <w:t xml:space="preserve"> </w:t>
            </w:r>
            <w:r w:rsidR="00BF2193"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Atraminių elementų jungimosi su optine dalimi kampas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: </w:t>
            </w:r>
            <w:r w:rsidR="00BF2193" w:rsidRPr="00F622D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0°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7F2FA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2550DE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038C79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right w:val="nil"/>
            </w:tcBorders>
            <w:shd w:val="clear" w:color="000000" w:fill="D9D9D9"/>
            <w:noWrap/>
            <w:vAlign w:val="center"/>
          </w:tcPr>
          <w:p w14:paraId="3730B5D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2BD595D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51A3794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355F7754" w14:textId="77777777" w:rsidTr="00C22B8E">
        <w:trPr>
          <w:trHeight w:val="356"/>
        </w:trPr>
        <w:tc>
          <w:tcPr>
            <w:tcW w:w="7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A7618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283F" w14:textId="77777777" w:rsidR="00A8104A" w:rsidRPr="00F33FDF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1D533" w14:textId="66C4F7EB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13. </w:t>
            </w:r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Lęšio pateikimo sąlygos</w:t>
            </w:r>
            <w:r w:rsid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  <w:r w:rsidR="00BF2193">
              <w:t xml:space="preserve"> </w:t>
            </w:r>
            <w:r w:rsidR="00BF2193" w:rsidRPr="00BF219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lęšis pateikiamas sausas, sterilioje pakuotėje.</w:t>
            </w:r>
          </w:p>
        </w:tc>
        <w:tc>
          <w:tcPr>
            <w:tcW w:w="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CD6FA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FF94D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7EBFFED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14:paraId="73C5F1C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DA22FD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7CEB66" w14:textId="77777777" w:rsidR="00A8104A" w:rsidRPr="00C22B8E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60FCE18E" w14:textId="77777777" w:rsidTr="00C22B8E">
        <w:trPr>
          <w:gridAfter w:val="3"/>
          <w:wAfter w:w="2835" w:type="dxa"/>
          <w:trHeight w:val="300"/>
        </w:trPr>
        <w:tc>
          <w:tcPr>
            <w:tcW w:w="106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9E40" w14:textId="77777777" w:rsidR="00A8104A" w:rsidRPr="009C0816" w:rsidRDefault="00A8104A" w:rsidP="009F3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 EUR be PVM: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44C315" w14:textId="77777777" w:rsidR="00A8104A" w:rsidRPr="009C0816" w:rsidRDefault="00A8104A" w:rsidP="00A8104A">
            <w:pPr>
              <w:spacing w:after="0" w:line="240" w:lineRule="auto"/>
              <w:ind w:right="-2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A8104A" w:rsidRPr="009C0816" w14:paraId="6D9D5040" w14:textId="77777777" w:rsidTr="00C22B8E">
        <w:trPr>
          <w:gridAfter w:val="3"/>
          <w:wAfter w:w="2835" w:type="dxa"/>
          <w:trHeight w:val="300"/>
        </w:trPr>
        <w:tc>
          <w:tcPr>
            <w:tcW w:w="8599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65F820" w14:textId="77777777" w:rsidR="00A8104A" w:rsidRPr="009C0816" w:rsidRDefault="00A8104A" w:rsidP="009F3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tarifas (%)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ECC0E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89F5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PVM suma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063148" w14:textId="77777777" w:rsidR="00A8104A" w:rsidRPr="009C0816" w:rsidRDefault="00A8104A" w:rsidP="009F3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A8104A" w:rsidRPr="009C0816" w14:paraId="6F729FD7" w14:textId="77777777" w:rsidTr="00C22B8E">
        <w:trPr>
          <w:gridAfter w:val="3"/>
          <w:wAfter w:w="2835" w:type="dxa"/>
          <w:trHeight w:val="104"/>
        </w:trPr>
        <w:tc>
          <w:tcPr>
            <w:tcW w:w="10667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C90D3" w14:textId="77777777" w:rsidR="00A8104A" w:rsidRPr="009C0816" w:rsidRDefault="00A8104A" w:rsidP="009F3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Bendra pirkimo dalies kaina, EUR su PVM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ECC5F2" w14:textId="77777777" w:rsidR="00A8104A" w:rsidRPr="009C0816" w:rsidRDefault="00A8104A" w:rsidP="009F3C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 </w:t>
            </w:r>
          </w:p>
        </w:tc>
      </w:tr>
      <w:tr w:rsidR="00A8104A" w:rsidRPr="009C0816" w14:paraId="7B2FC3CC" w14:textId="77777777" w:rsidTr="00C22B8E">
        <w:trPr>
          <w:trHeight w:val="212"/>
        </w:trPr>
        <w:tc>
          <w:tcPr>
            <w:tcW w:w="1548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8973E3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*Tais atvejais, kai pagal galiojančius teisės aktus tiekėjui nereikia mokėti PVM, tiekėjas privalo su pasiūlymu pateikti laisvos formos raštą dėl PVM netaikymo pagrindo. </w:t>
            </w:r>
          </w:p>
        </w:tc>
      </w:tr>
      <w:tr w:rsidR="00A8104A" w:rsidRPr="009C0816" w14:paraId="796D9C60" w14:textId="77777777" w:rsidTr="00C22B8E">
        <w:trPr>
          <w:gridAfter w:val="2"/>
          <w:wAfter w:w="1011" w:type="dxa"/>
          <w:trHeight w:val="68"/>
        </w:trPr>
        <w:tc>
          <w:tcPr>
            <w:tcW w:w="12150" w:type="dxa"/>
            <w:gridSpan w:val="17"/>
            <w:tcBorders>
              <w:top w:val="nil"/>
              <w:left w:val="single" w:sz="4" w:space="0" w:color="00FF00"/>
              <w:bottom w:val="single" w:sz="4" w:space="0" w:color="auto"/>
              <w:right w:val="nil"/>
            </w:tcBorders>
            <w:vAlign w:val="center"/>
            <w:hideMark/>
          </w:tcPr>
          <w:p w14:paraId="72775E85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Pasiūlymo priedai: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066E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A8104A" w:rsidRPr="009C0816" w14:paraId="0EC44967" w14:textId="77777777" w:rsidTr="00C22B8E">
        <w:trPr>
          <w:gridAfter w:val="2"/>
          <w:wAfter w:w="1011" w:type="dxa"/>
          <w:trHeight w:val="51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14F6B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Dokumento pavadinimas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0E1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Lapų skaičius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C78E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Dokumentas yra konfidencialus?</w:t>
            </w: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br/>
              <w:t>Taip / Ne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808B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Konfidencialios informacijos pagrindimas</w:t>
            </w:r>
          </w:p>
        </w:tc>
      </w:tr>
      <w:tr w:rsidR="00A8104A" w:rsidRPr="009C0816" w14:paraId="20F57374" w14:textId="77777777" w:rsidTr="00C22B8E">
        <w:trPr>
          <w:gridAfter w:val="2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40A8D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9B2C2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FAD141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A3A7DB6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8104A" w:rsidRPr="009C0816" w14:paraId="5220A9AC" w14:textId="77777777" w:rsidTr="00C22B8E">
        <w:trPr>
          <w:gridAfter w:val="2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35AF5C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43F9E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959663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5B23ED0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8104A" w:rsidRPr="009C0816" w14:paraId="7AE114EE" w14:textId="77777777" w:rsidTr="00C22B8E">
        <w:trPr>
          <w:gridAfter w:val="2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A1A0BE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80771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A52686C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7CC012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8104A" w:rsidRPr="009C0816" w14:paraId="0C2F41D4" w14:textId="77777777" w:rsidTr="00C22B8E">
        <w:trPr>
          <w:gridAfter w:val="2"/>
          <w:wAfter w:w="1011" w:type="dxa"/>
          <w:trHeight w:val="300"/>
        </w:trPr>
        <w:tc>
          <w:tcPr>
            <w:tcW w:w="1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CD69D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20B18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06B31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CF79E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42071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D8A28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A0B14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7E37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104A" w:rsidRPr="009C0816" w14:paraId="053A2AF4" w14:textId="77777777" w:rsidTr="00C22B8E">
        <w:trPr>
          <w:gridAfter w:val="2"/>
          <w:wAfter w:w="1011" w:type="dxa"/>
          <w:trHeight w:val="600"/>
        </w:trPr>
        <w:tc>
          <w:tcPr>
            <w:tcW w:w="1447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D0875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Tiekėjas privalo nurodyti, ar jo pasiūlyme yra konfidencialios informacijos, ir kuri pasiūlyme nurodyta informacija yra konfidenciali. Visas tiekėjo pasiūlymas negali būti laikomas konfidencialia informacija.</w:t>
            </w:r>
          </w:p>
        </w:tc>
      </w:tr>
      <w:tr w:rsidR="00A8104A" w:rsidRPr="009C0816" w14:paraId="2BE493C8" w14:textId="77777777" w:rsidTr="00C22B8E">
        <w:trPr>
          <w:gridAfter w:val="2"/>
          <w:wAfter w:w="1011" w:type="dxa"/>
          <w:trHeight w:val="630"/>
        </w:trPr>
        <w:tc>
          <w:tcPr>
            <w:tcW w:w="1447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E79D5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Tiekėjui nenurodžius, kokia informacija yra konfidenciali, laikoma, kad konfidencialios informacijos pasiūlyme nėra. Tiekėjas sprendimus dėl jo pasiūlyme esančios konfidencialios informacijos turi priimti  vadovaujantis Viešųjų pirkimų įstatymo 20 str. 2 d.</w:t>
            </w:r>
          </w:p>
        </w:tc>
      </w:tr>
      <w:tr w:rsidR="00A8104A" w:rsidRPr="009C0816" w14:paraId="635BE6AC" w14:textId="77777777" w:rsidTr="00C22B8E">
        <w:trPr>
          <w:gridAfter w:val="2"/>
          <w:wAfter w:w="1011" w:type="dxa"/>
          <w:trHeight w:val="300"/>
        </w:trPr>
        <w:tc>
          <w:tcPr>
            <w:tcW w:w="12150" w:type="dxa"/>
            <w:gridSpan w:val="17"/>
            <w:tcBorders>
              <w:top w:val="nil"/>
              <w:left w:val="single" w:sz="4" w:space="0" w:color="00FF00"/>
              <w:bottom w:val="single" w:sz="4" w:space="0" w:color="auto"/>
              <w:right w:val="nil"/>
            </w:tcBorders>
            <w:vAlign w:val="center"/>
            <w:hideMark/>
          </w:tcPr>
          <w:p w14:paraId="7B062A5B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Numatomi pasitekti subtiekėjai (jei numatoma):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E8E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</w:tr>
      <w:tr w:rsidR="00A8104A" w:rsidRPr="009C0816" w14:paraId="32C13673" w14:textId="77777777" w:rsidTr="00C22B8E">
        <w:trPr>
          <w:gridAfter w:val="2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AD4A1F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Subtiekėjo pavadinimas</w:t>
            </w:r>
          </w:p>
        </w:tc>
        <w:tc>
          <w:tcPr>
            <w:tcW w:w="33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0167D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Subtiekėjo kodas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F9A87B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Perduodama veikla</w:t>
            </w:r>
          </w:p>
        </w:tc>
      </w:tr>
      <w:tr w:rsidR="00A8104A" w:rsidRPr="009C0816" w14:paraId="38A831B0" w14:textId="77777777" w:rsidTr="00C22B8E">
        <w:trPr>
          <w:gridAfter w:val="2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52A35C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33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1C223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177A9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  <w:tr w:rsidR="00A8104A" w:rsidRPr="009C0816" w14:paraId="0FDD170E" w14:textId="77777777" w:rsidTr="00C22B8E">
        <w:trPr>
          <w:gridAfter w:val="2"/>
          <w:wAfter w:w="1011" w:type="dxa"/>
          <w:trHeight w:val="300"/>
        </w:trPr>
        <w:tc>
          <w:tcPr>
            <w:tcW w:w="5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86F59F" w14:textId="77777777" w:rsidR="00A8104A" w:rsidRPr="009C0816" w:rsidRDefault="00A8104A" w:rsidP="009F3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33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98F94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56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61128" w14:textId="77777777" w:rsidR="00A8104A" w:rsidRPr="009C0816" w:rsidRDefault="00A8104A" w:rsidP="009F3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C08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</w:tr>
    </w:tbl>
    <w:p w14:paraId="0DBB0479" w14:textId="77777777" w:rsidR="00A8104A" w:rsidRDefault="00A8104A"/>
    <w:sectPr w:rsidR="00A8104A" w:rsidSect="00CB65EE">
      <w:pgSz w:w="16838" w:h="11906" w:orient="landscape"/>
      <w:pgMar w:top="1276" w:right="1701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C3C30"/>
    <w:multiLevelType w:val="hybridMultilevel"/>
    <w:tmpl w:val="685C1E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0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16"/>
    <w:rsid w:val="000305FC"/>
    <w:rsid w:val="00040990"/>
    <w:rsid w:val="00060326"/>
    <w:rsid w:val="00064DE7"/>
    <w:rsid w:val="00071928"/>
    <w:rsid w:val="000B3BCA"/>
    <w:rsid w:val="00101061"/>
    <w:rsid w:val="00134437"/>
    <w:rsid w:val="001425E9"/>
    <w:rsid w:val="001706D1"/>
    <w:rsid w:val="00194FED"/>
    <w:rsid w:val="001C205D"/>
    <w:rsid w:val="001F6F3D"/>
    <w:rsid w:val="00210A43"/>
    <w:rsid w:val="00223557"/>
    <w:rsid w:val="00244352"/>
    <w:rsid w:val="00251E14"/>
    <w:rsid w:val="00295F5E"/>
    <w:rsid w:val="002D040A"/>
    <w:rsid w:val="002F2D94"/>
    <w:rsid w:val="0033111B"/>
    <w:rsid w:val="00346266"/>
    <w:rsid w:val="00381D92"/>
    <w:rsid w:val="003E446C"/>
    <w:rsid w:val="003F1194"/>
    <w:rsid w:val="00450282"/>
    <w:rsid w:val="004679AA"/>
    <w:rsid w:val="004754C0"/>
    <w:rsid w:val="004933C2"/>
    <w:rsid w:val="004A52BA"/>
    <w:rsid w:val="004C63F8"/>
    <w:rsid w:val="004F5573"/>
    <w:rsid w:val="0052070B"/>
    <w:rsid w:val="00525D63"/>
    <w:rsid w:val="00531C25"/>
    <w:rsid w:val="005343D4"/>
    <w:rsid w:val="00575621"/>
    <w:rsid w:val="00595D4C"/>
    <w:rsid w:val="005C3F71"/>
    <w:rsid w:val="005C541E"/>
    <w:rsid w:val="006115F7"/>
    <w:rsid w:val="00625065"/>
    <w:rsid w:val="00717B9C"/>
    <w:rsid w:val="007B3EC4"/>
    <w:rsid w:val="00813CF8"/>
    <w:rsid w:val="00826529"/>
    <w:rsid w:val="00864D59"/>
    <w:rsid w:val="00881A69"/>
    <w:rsid w:val="008915B6"/>
    <w:rsid w:val="008A13A2"/>
    <w:rsid w:val="00935747"/>
    <w:rsid w:val="00936442"/>
    <w:rsid w:val="00961508"/>
    <w:rsid w:val="0097265F"/>
    <w:rsid w:val="009856F4"/>
    <w:rsid w:val="00992331"/>
    <w:rsid w:val="009B4219"/>
    <w:rsid w:val="009C0816"/>
    <w:rsid w:val="00A405DA"/>
    <w:rsid w:val="00A8104A"/>
    <w:rsid w:val="00A964D6"/>
    <w:rsid w:val="00B01535"/>
    <w:rsid w:val="00B73719"/>
    <w:rsid w:val="00BA2C6B"/>
    <w:rsid w:val="00BC1129"/>
    <w:rsid w:val="00BD1F88"/>
    <w:rsid w:val="00BE4FD2"/>
    <w:rsid w:val="00BF2193"/>
    <w:rsid w:val="00C14ED0"/>
    <w:rsid w:val="00C22B8E"/>
    <w:rsid w:val="00C655DC"/>
    <w:rsid w:val="00C857E5"/>
    <w:rsid w:val="00C903CA"/>
    <w:rsid w:val="00CA71F0"/>
    <w:rsid w:val="00CB65EE"/>
    <w:rsid w:val="00CE0750"/>
    <w:rsid w:val="00D338C1"/>
    <w:rsid w:val="00D55B07"/>
    <w:rsid w:val="00D72FD8"/>
    <w:rsid w:val="00D95758"/>
    <w:rsid w:val="00DA149C"/>
    <w:rsid w:val="00DF7427"/>
    <w:rsid w:val="00E200BB"/>
    <w:rsid w:val="00E411A2"/>
    <w:rsid w:val="00E946EE"/>
    <w:rsid w:val="00EF0A86"/>
    <w:rsid w:val="00F10310"/>
    <w:rsid w:val="00F15DC6"/>
    <w:rsid w:val="00F16CA1"/>
    <w:rsid w:val="00F27B31"/>
    <w:rsid w:val="00F32227"/>
    <w:rsid w:val="00F33FDF"/>
    <w:rsid w:val="00F622DA"/>
    <w:rsid w:val="00F75FF0"/>
    <w:rsid w:val="00F954B1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8C01"/>
  <w15:chartTrackingRefBased/>
  <w15:docId w15:val="{79B9EEA9-DB6D-4E17-B7EF-3917E9A5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A69"/>
    <w:pPr>
      <w:ind w:left="720"/>
      <w:contextualSpacing/>
    </w:pPr>
  </w:style>
  <w:style w:type="paragraph" w:customStyle="1" w:styleId="Body">
    <w:name w:val="Body"/>
    <w:rsid w:val="001425E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5756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5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6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6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B968-BB42-4414-8707-7F9B96D7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7</Pages>
  <Words>7194</Words>
  <Characters>4101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39</cp:revision>
  <dcterms:created xsi:type="dcterms:W3CDTF">2026-01-26T12:44:00Z</dcterms:created>
  <dcterms:modified xsi:type="dcterms:W3CDTF">2026-03-04T16:29:00Z</dcterms:modified>
</cp:coreProperties>
</file>