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E11C74" w:rsidRDefault="00C64EEE" w:rsidP="006D57A9">
      <w:pPr>
        <w:spacing w:after="0" w:line="276" w:lineRule="auto"/>
        <w:jc w:val="both"/>
        <w:rPr>
          <w:rFonts w:ascii="Calibri" w:hAnsi="Calibri" w:cs="Calibri"/>
          <w:b/>
          <w:lang w:val="lt-LT"/>
        </w:rPr>
      </w:pPr>
      <w:r w:rsidRPr="00E11C74">
        <w:rPr>
          <w:rFonts w:ascii="Calibri" w:hAnsi="Calibri" w:cs="Calibri"/>
          <w:b/>
          <w:lang w:val="lt-LT"/>
        </w:rPr>
        <w:t>Viešojo pirkimo dokumentų paaiškinimas / Explanation of the Procurement Documents</w:t>
      </w:r>
    </w:p>
    <w:p w14:paraId="5D2771BF" w14:textId="77777777" w:rsidR="00C64EEE" w:rsidRPr="00E11C74" w:rsidRDefault="00C64EEE" w:rsidP="004B1153">
      <w:pPr>
        <w:spacing w:after="0" w:line="276" w:lineRule="auto"/>
        <w:ind w:firstLine="709"/>
        <w:jc w:val="both"/>
        <w:rPr>
          <w:rFonts w:ascii="Calibri" w:hAnsi="Calibri" w:cs="Calibri"/>
          <w:b/>
          <w:lang w:val="lt-LT"/>
        </w:rPr>
      </w:pPr>
    </w:p>
    <w:p w14:paraId="52CBEF9B" w14:textId="5E6DEE25" w:rsidR="004B1153" w:rsidRPr="00E11C74" w:rsidRDefault="004B1153" w:rsidP="004B1153">
      <w:pPr>
        <w:spacing w:after="0" w:line="276" w:lineRule="auto"/>
        <w:jc w:val="both"/>
        <w:rPr>
          <w:rFonts w:ascii="Calibri" w:hAnsi="Calibri" w:cs="Calibri"/>
          <w:b/>
          <w:lang w:val="lt-LT"/>
        </w:rPr>
      </w:pPr>
      <w:r w:rsidRPr="00E11C74">
        <w:rPr>
          <w:rFonts w:ascii="Calibri" w:hAnsi="Calibri" w:cs="Calibri"/>
          <w:shd w:val="clear" w:color="auto" w:fill="FFFFFF"/>
          <w:lang w:val="lt-LT"/>
        </w:rPr>
        <w:t>Viešojo pirkimo komisija išnagrinėjo tiekėjo pateikt</w:t>
      </w:r>
      <w:r w:rsidR="008E7AAC" w:rsidRPr="00E11C74">
        <w:rPr>
          <w:rFonts w:ascii="Calibri" w:hAnsi="Calibri" w:cs="Calibri"/>
          <w:shd w:val="clear" w:color="auto" w:fill="FFFFFF"/>
          <w:lang w:val="lt-LT"/>
        </w:rPr>
        <w:t>ą</w:t>
      </w:r>
      <w:r w:rsidRPr="00E11C74">
        <w:rPr>
          <w:rFonts w:ascii="Calibri" w:hAnsi="Calibri" w:cs="Calibri"/>
          <w:shd w:val="clear" w:color="auto" w:fill="FFFFFF"/>
          <w:lang w:val="lt-LT"/>
        </w:rPr>
        <w:t xml:space="preserve"> paklausim</w:t>
      </w:r>
      <w:r w:rsidR="008E7AAC" w:rsidRPr="00E11C74">
        <w:rPr>
          <w:rFonts w:ascii="Calibri" w:hAnsi="Calibri" w:cs="Calibri"/>
          <w:shd w:val="clear" w:color="auto" w:fill="FFFFFF"/>
          <w:lang w:val="lt-LT"/>
        </w:rPr>
        <w:t>ą</w:t>
      </w:r>
      <w:r w:rsidRPr="00E11C74">
        <w:rPr>
          <w:rFonts w:ascii="Calibri" w:hAnsi="Calibri" w:cs="Calibri"/>
          <w:shd w:val="clear" w:color="auto" w:fill="FFFFFF"/>
          <w:lang w:val="lt-LT"/>
        </w:rPr>
        <w:t xml:space="preserve"> / prašym</w:t>
      </w:r>
      <w:r w:rsidR="008E7AAC" w:rsidRPr="00E11C74">
        <w:rPr>
          <w:rFonts w:ascii="Calibri" w:hAnsi="Calibri" w:cs="Calibri"/>
          <w:shd w:val="clear" w:color="auto" w:fill="FFFFFF"/>
          <w:lang w:val="lt-LT"/>
        </w:rPr>
        <w:t>ą</w:t>
      </w:r>
      <w:r w:rsidRPr="00E11C74">
        <w:rPr>
          <w:rFonts w:ascii="Calibri" w:hAnsi="Calibri" w:cs="Calibri"/>
          <w:shd w:val="clear" w:color="auto" w:fill="FFFFFF"/>
          <w:lang w:val="lt-LT"/>
        </w:rPr>
        <w:t xml:space="preserve"> paaiškinti pirkimo sąlygas ir teikia atsakymu</w:t>
      </w:r>
      <w:r w:rsidRPr="00E11C74">
        <w:rPr>
          <w:rFonts w:ascii="Calibri" w:hAnsi="Calibri" w:cs="Calibri"/>
          <w:lang w:val="lt-LT"/>
        </w:rPr>
        <w:t>s /</w:t>
      </w:r>
      <w:r w:rsidRPr="00E11C74">
        <w:rPr>
          <w:rFonts w:ascii="Calibri" w:hAnsi="Calibri" w:cs="Calibri"/>
          <w:b/>
          <w:lang w:val="lt-LT"/>
        </w:rPr>
        <w:t xml:space="preserve"> </w:t>
      </w:r>
      <w:r w:rsidR="0084056F" w:rsidRPr="00E11C74">
        <w:rPr>
          <w:rFonts w:ascii="Calibri" w:hAnsi="Calibri" w:cs="Calibri"/>
          <w:b/>
          <w:lang w:val="lt-LT"/>
        </w:rPr>
        <w:t>The Public Procurement Commission has examined the supplier’s request for clarification of the Procurement Conditions and provides the following response:</w:t>
      </w:r>
    </w:p>
    <w:p w14:paraId="74B3FBD3" w14:textId="77777777" w:rsidR="004B1153" w:rsidRPr="00E11C74" w:rsidRDefault="004B1153" w:rsidP="004B1153">
      <w:pPr>
        <w:spacing w:after="0" w:line="276" w:lineRule="auto"/>
        <w:jc w:val="both"/>
        <w:rPr>
          <w:rFonts w:ascii="Calibri" w:hAnsi="Calibri" w:cs="Calibri"/>
          <w:b/>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E11C74"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E11C74" w:rsidRDefault="004B1153" w:rsidP="00A3552A">
            <w:pPr>
              <w:spacing w:before="60" w:after="60" w:line="240" w:lineRule="auto"/>
              <w:ind w:firstLine="40"/>
              <w:jc w:val="center"/>
              <w:rPr>
                <w:rFonts w:ascii="Calibri" w:hAnsi="Calibri" w:cs="Calibri"/>
                <w:b/>
                <w:shd w:val="clear" w:color="auto" w:fill="FFFFFF"/>
                <w:lang w:val="lt-LT"/>
              </w:rPr>
            </w:pPr>
            <w:r w:rsidRPr="00E11C74">
              <w:rPr>
                <w:rFonts w:ascii="Calibri" w:hAnsi="Calibri" w:cs="Calibri"/>
                <w:b/>
                <w:shd w:val="clear" w:color="auto" w:fill="FFFFFF"/>
                <w:lang w:val="lt-LT"/>
              </w:rPr>
              <w:t>Nr./</w:t>
            </w:r>
          </w:p>
          <w:p w14:paraId="600041AE" w14:textId="77777777" w:rsidR="004B1153" w:rsidRPr="00E11C74" w:rsidRDefault="004B1153" w:rsidP="00A3552A">
            <w:pPr>
              <w:spacing w:before="60" w:after="60" w:line="240" w:lineRule="auto"/>
              <w:ind w:firstLine="40"/>
              <w:jc w:val="center"/>
              <w:rPr>
                <w:rFonts w:ascii="Calibri" w:hAnsi="Calibri" w:cs="Calibri"/>
                <w:b/>
                <w:shd w:val="clear" w:color="auto" w:fill="FFFFFF"/>
                <w:lang w:val="lt-LT"/>
              </w:rPr>
            </w:pPr>
            <w:r w:rsidRPr="00E11C74">
              <w:rPr>
                <w:rFonts w:ascii="Calibri" w:hAnsi="Calibri" w:cs="Calibri"/>
                <w:b/>
                <w:shd w:val="clear" w:color="auto" w:fill="FFFFFF"/>
                <w:lang w:val="lt-LT"/>
              </w:rPr>
              <w:t>No</w:t>
            </w:r>
          </w:p>
          <w:p w14:paraId="04E4A70D" w14:textId="77777777" w:rsidR="004B1153" w:rsidRPr="00E11C74" w:rsidRDefault="004B1153" w:rsidP="00A3552A">
            <w:pPr>
              <w:spacing w:before="60" w:after="60" w:line="240" w:lineRule="auto"/>
              <w:ind w:firstLine="40"/>
              <w:jc w:val="center"/>
              <w:rPr>
                <w:rFonts w:ascii="Calibri" w:hAnsi="Calibri" w:cs="Calibri"/>
                <w:b/>
                <w:shd w:val="clear" w:color="auto" w:fill="FFFFFF"/>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E11C74" w:rsidRDefault="004B1153" w:rsidP="00A3552A">
            <w:pPr>
              <w:spacing w:before="60" w:after="60" w:line="240" w:lineRule="auto"/>
              <w:ind w:hanging="108"/>
              <w:jc w:val="center"/>
              <w:rPr>
                <w:rFonts w:ascii="Calibri" w:hAnsi="Calibri" w:cs="Calibri"/>
                <w:b/>
                <w:shd w:val="clear" w:color="auto" w:fill="FFFFFF"/>
                <w:lang w:val="lt-LT"/>
              </w:rPr>
            </w:pPr>
            <w:r w:rsidRPr="00E11C74">
              <w:rPr>
                <w:rFonts w:ascii="Calibri" w:hAnsi="Calibri" w:cs="Calibri"/>
                <w:b/>
                <w:shd w:val="clear" w:color="auto" w:fill="FFFFFF"/>
                <w:lang w:val="lt-LT"/>
              </w:rPr>
              <w:t xml:space="preserve">Klausimas/prašymas* / Question/request*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E11C74" w:rsidRDefault="004B1153" w:rsidP="00A3552A">
            <w:pPr>
              <w:spacing w:before="60" w:after="60" w:line="240" w:lineRule="auto"/>
              <w:jc w:val="center"/>
              <w:rPr>
                <w:rFonts w:ascii="Calibri" w:hAnsi="Calibri" w:cs="Calibri"/>
                <w:b/>
                <w:shd w:val="clear" w:color="auto" w:fill="FFFFFF"/>
                <w:lang w:val="lt-LT"/>
              </w:rPr>
            </w:pPr>
            <w:r w:rsidRPr="00E11C74">
              <w:rPr>
                <w:rFonts w:ascii="Calibri" w:hAnsi="Calibri" w:cs="Calibri"/>
                <w:b/>
                <w:shd w:val="clear" w:color="auto" w:fill="FFFFFF"/>
                <w:lang w:val="lt-LT"/>
              </w:rPr>
              <w:t xml:space="preserve">Paaiškinimas / patikslinimas / </w:t>
            </w:r>
          </w:p>
          <w:p w14:paraId="5B925453" w14:textId="77777777" w:rsidR="004B1153" w:rsidRPr="00E11C74" w:rsidRDefault="004B1153" w:rsidP="00A3552A">
            <w:pPr>
              <w:spacing w:before="60" w:after="60" w:line="240" w:lineRule="auto"/>
              <w:jc w:val="center"/>
              <w:rPr>
                <w:rFonts w:ascii="Calibri" w:hAnsi="Calibri" w:cs="Calibri"/>
                <w:b/>
                <w:shd w:val="clear" w:color="auto" w:fill="FFFFFF"/>
                <w:lang w:val="lt-LT"/>
              </w:rPr>
            </w:pPr>
            <w:r w:rsidRPr="00E11C74">
              <w:rPr>
                <w:rFonts w:ascii="Calibri" w:hAnsi="Calibri" w:cs="Calibri"/>
                <w:b/>
                <w:shd w:val="clear" w:color="auto" w:fill="FFFFFF"/>
                <w:lang w:val="lt-LT"/>
              </w:rPr>
              <w:t>Explanation / clarification</w:t>
            </w:r>
          </w:p>
        </w:tc>
      </w:tr>
      <w:tr w:rsidR="004B1153" w:rsidRPr="00E11C74" w14:paraId="5D8C2DA7" w14:textId="77777777" w:rsidTr="0098262F">
        <w:trPr>
          <w:trHeight w:val="70"/>
        </w:trPr>
        <w:tc>
          <w:tcPr>
            <w:tcW w:w="851" w:type="dxa"/>
          </w:tcPr>
          <w:p w14:paraId="4EBE73D5" w14:textId="1FF4A02D" w:rsidR="004B1153" w:rsidRPr="00E11C74" w:rsidRDefault="00A93D8D" w:rsidP="00A3552A">
            <w:pPr>
              <w:spacing w:before="60" w:after="60" w:line="240" w:lineRule="auto"/>
              <w:ind w:left="360"/>
              <w:jc w:val="both"/>
              <w:rPr>
                <w:rFonts w:ascii="Calibri" w:hAnsi="Calibri" w:cs="Calibri"/>
                <w:shd w:val="clear" w:color="auto" w:fill="FFFFFF"/>
              </w:rPr>
            </w:pPr>
            <w:r w:rsidRPr="00E11C74">
              <w:rPr>
                <w:rFonts w:ascii="Calibri" w:hAnsi="Calibri" w:cs="Calibri"/>
                <w:shd w:val="clear" w:color="auto" w:fill="FFFFFF"/>
              </w:rPr>
              <w:t>1.</w:t>
            </w:r>
          </w:p>
        </w:tc>
        <w:tc>
          <w:tcPr>
            <w:tcW w:w="4252" w:type="dxa"/>
          </w:tcPr>
          <w:p w14:paraId="4DE4F05E" w14:textId="7AF1F33D" w:rsidR="005D1273" w:rsidRPr="00E11C74" w:rsidRDefault="0068670A" w:rsidP="00A3552A">
            <w:pPr>
              <w:spacing w:before="60" w:after="60" w:line="240" w:lineRule="auto"/>
              <w:jc w:val="both"/>
              <w:rPr>
                <w:rFonts w:ascii="Calibri" w:hAnsi="Calibri" w:cs="Calibri"/>
                <w:b/>
                <w:bCs/>
                <w:shd w:val="clear" w:color="auto" w:fill="FFFFFF"/>
                <w:lang w:val="en-GB"/>
              </w:rPr>
            </w:pPr>
            <w:r w:rsidRPr="00E11C74">
              <w:rPr>
                <w:rFonts w:ascii="Calibri" w:hAnsi="Calibri" w:cs="Calibri"/>
                <w:b/>
                <w:bCs/>
                <w:shd w:val="clear" w:color="auto" w:fill="FFFFFF"/>
                <w:lang w:val="en-GB"/>
              </w:rPr>
              <w:t>In English:</w:t>
            </w:r>
          </w:p>
          <w:p w14:paraId="3E1A02DA" w14:textId="2DF0792A" w:rsidR="00EC3B20" w:rsidRPr="00E11C74" w:rsidRDefault="009B5B5F" w:rsidP="00A3552A">
            <w:pPr>
              <w:spacing w:before="60" w:after="60" w:line="240" w:lineRule="auto"/>
              <w:jc w:val="both"/>
              <w:rPr>
                <w:rFonts w:ascii="Calibri" w:hAnsi="Calibri" w:cs="Calibri"/>
              </w:rPr>
            </w:pPr>
            <w:r w:rsidRPr="009B5B5F">
              <w:rPr>
                <w:rFonts w:ascii="Calibri" w:hAnsi="Calibri" w:cs="Calibri"/>
              </w:rPr>
              <w:t>there is no Modulinės konstrukcijos in estimate of works provided for tender but only installation.</w:t>
            </w:r>
            <w:r w:rsidRPr="009B5B5F">
              <w:rPr>
                <w:rFonts w:ascii="Calibri" w:hAnsi="Calibri" w:cs="Calibri"/>
              </w:rPr>
              <w:br/>
            </w:r>
            <w:r w:rsidRPr="009B5B5F">
              <w:rPr>
                <w:rFonts w:ascii="Calibri" w:hAnsi="Calibri" w:cs="Calibri"/>
              </w:rPr>
              <w:br/>
              <w:t>Does the supply goes separately or should we include the cost of modular constructions in the offer? As the price will change a lot depending on this.</w:t>
            </w:r>
          </w:p>
          <w:p w14:paraId="43CFE791" w14:textId="77777777" w:rsidR="005F7977" w:rsidRPr="00E11C74" w:rsidRDefault="005F7977" w:rsidP="00A3552A">
            <w:pPr>
              <w:spacing w:before="60" w:after="60" w:line="240" w:lineRule="auto"/>
              <w:jc w:val="both"/>
              <w:rPr>
                <w:rFonts w:ascii="Calibri" w:eastAsia="Times New Roman" w:hAnsi="Calibri" w:cs="Calibri"/>
                <w:b/>
                <w:bCs/>
                <w:lang w:val="en-GB" w:eastAsia="lt-LT"/>
              </w:rPr>
            </w:pPr>
          </w:p>
          <w:p w14:paraId="5CEC0C2E" w14:textId="77777777" w:rsidR="004B1153" w:rsidRPr="00E11C74" w:rsidRDefault="00EC3B20" w:rsidP="00A3552A">
            <w:pPr>
              <w:spacing w:before="60" w:after="60" w:line="240" w:lineRule="auto"/>
              <w:jc w:val="both"/>
              <w:rPr>
                <w:rFonts w:ascii="Calibri" w:eastAsia="Times New Roman" w:hAnsi="Calibri" w:cs="Calibri"/>
                <w:b/>
                <w:bCs/>
                <w:lang w:val="pt-BR" w:eastAsia="lt-LT"/>
              </w:rPr>
            </w:pPr>
            <w:r w:rsidRPr="00E11C74">
              <w:rPr>
                <w:rFonts w:ascii="Calibri" w:eastAsia="Times New Roman" w:hAnsi="Calibri" w:cs="Calibri"/>
                <w:b/>
                <w:bCs/>
                <w:lang w:val="pt-BR" w:eastAsia="lt-LT"/>
              </w:rPr>
              <w:t xml:space="preserve">Klausimo vertimas į </w:t>
            </w:r>
            <w:r w:rsidR="00A1792D" w:rsidRPr="00E11C74">
              <w:rPr>
                <w:rFonts w:ascii="Calibri" w:eastAsia="Times New Roman" w:hAnsi="Calibri" w:cs="Calibri"/>
                <w:b/>
                <w:bCs/>
                <w:lang w:val="pt-BR" w:eastAsia="lt-LT"/>
              </w:rPr>
              <w:t>L</w:t>
            </w:r>
            <w:r w:rsidR="00EA0A91" w:rsidRPr="00E11C74">
              <w:rPr>
                <w:rFonts w:ascii="Calibri" w:eastAsia="Times New Roman" w:hAnsi="Calibri" w:cs="Calibri"/>
                <w:b/>
                <w:bCs/>
                <w:lang w:val="pt-BR" w:eastAsia="lt-LT"/>
              </w:rPr>
              <w:t>ietuvių kalb</w:t>
            </w:r>
            <w:r w:rsidRPr="00E11C74">
              <w:rPr>
                <w:rFonts w:ascii="Calibri" w:eastAsia="Times New Roman" w:hAnsi="Calibri" w:cs="Calibri"/>
                <w:b/>
                <w:bCs/>
                <w:lang w:val="pt-BR" w:eastAsia="lt-LT"/>
              </w:rPr>
              <w:t>ą</w:t>
            </w:r>
            <w:r w:rsidR="00EA0A91" w:rsidRPr="00E11C74">
              <w:rPr>
                <w:rFonts w:ascii="Calibri" w:eastAsia="Times New Roman" w:hAnsi="Calibri" w:cs="Calibri"/>
                <w:b/>
                <w:bCs/>
                <w:lang w:val="pt-BR" w:eastAsia="lt-LT"/>
              </w:rPr>
              <w:t xml:space="preserve">: </w:t>
            </w:r>
          </w:p>
          <w:p w14:paraId="4093A2FA" w14:textId="77777777" w:rsidR="009B5B5F" w:rsidRPr="009B5B5F" w:rsidRDefault="009B5B5F" w:rsidP="009B5B5F">
            <w:pPr>
              <w:spacing w:before="60" w:after="60" w:line="240" w:lineRule="auto"/>
              <w:jc w:val="both"/>
              <w:rPr>
                <w:rFonts w:ascii="Calibri" w:eastAsia="Times New Roman" w:hAnsi="Calibri" w:cs="Calibri"/>
                <w:lang w:val="lt-LT" w:eastAsia="lt-LT"/>
              </w:rPr>
            </w:pPr>
            <w:r w:rsidRPr="009B5B5F">
              <w:rPr>
                <w:rFonts w:ascii="Calibri" w:eastAsia="Times New Roman" w:hAnsi="Calibri" w:cs="Calibri"/>
                <w:lang w:val="lt-LT" w:eastAsia="lt-LT"/>
              </w:rPr>
              <w:t>konkursui pateiktoje darbų sąmatoje nėra Modulinės konstrukcijos, o tik montavimas.</w:t>
            </w:r>
          </w:p>
          <w:p w14:paraId="7AE01C1F" w14:textId="77777777" w:rsidR="009B5B5F" w:rsidRPr="009B5B5F" w:rsidRDefault="009B5B5F" w:rsidP="009B5B5F">
            <w:pPr>
              <w:spacing w:before="60" w:after="60" w:line="240" w:lineRule="auto"/>
              <w:jc w:val="both"/>
              <w:rPr>
                <w:rFonts w:ascii="Calibri" w:eastAsia="Times New Roman" w:hAnsi="Calibri" w:cs="Calibri"/>
                <w:lang w:val="lt-LT" w:eastAsia="lt-LT"/>
              </w:rPr>
            </w:pPr>
          </w:p>
          <w:p w14:paraId="02A3C029" w14:textId="77777777" w:rsidR="009B5B5F" w:rsidRPr="009B5B5F" w:rsidRDefault="009B5B5F" w:rsidP="009B5B5F">
            <w:pPr>
              <w:spacing w:before="60" w:after="60" w:line="240" w:lineRule="auto"/>
              <w:jc w:val="both"/>
              <w:rPr>
                <w:rFonts w:ascii="Calibri" w:eastAsia="Times New Roman" w:hAnsi="Calibri" w:cs="Calibri"/>
                <w:lang w:val="lt-LT" w:eastAsia="lt-LT"/>
              </w:rPr>
            </w:pPr>
            <w:r w:rsidRPr="009B5B5F">
              <w:rPr>
                <w:rFonts w:ascii="Calibri" w:eastAsia="Times New Roman" w:hAnsi="Calibri" w:cs="Calibri"/>
                <w:lang w:val="lt-LT" w:eastAsia="lt-LT"/>
              </w:rPr>
              <w:t>Ar tiekimas vyksta atskirai, ar į pasiūlymą turime įtraukti modulinių konstrukcijų kainą? Kadangi kaina nuo to labai keisis.</w:t>
            </w:r>
          </w:p>
          <w:p w14:paraId="37054FB3" w14:textId="3977B626" w:rsidR="007C196A" w:rsidRPr="00E11C74" w:rsidRDefault="007C196A" w:rsidP="007C196A">
            <w:pPr>
              <w:spacing w:before="60" w:after="60" w:line="240" w:lineRule="auto"/>
              <w:jc w:val="both"/>
              <w:rPr>
                <w:rFonts w:ascii="Calibri" w:eastAsia="Times New Roman" w:hAnsi="Calibri" w:cs="Calibri"/>
                <w:lang w:val="lt-LT" w:eastAsia="lt-LT"/>
              </w:rPr>
            </w:pPr>
          </w:p>
          <w:p w14:paraId="5F2095B5" w14:textId="708835FF" w:rsidR="00615341" w:rsidRPr="00E11C74" w:rsidRDefault="00615341" w:rsidP="00615341">
            <w:pPr>
              <w:spacing w:before="60" w:after="60" w:line="240" w:lineRule="auto"/>
              <w:jc w:val="both"/>
              <w:rPr>
                <w:rFonts w:ascii="Calibri" w:eastAsia="Times New Roman" w:hAnsi="Calibri" w:cs="Calibri"/>
                <w:lang w:val="lt-LT" w:eastAsia="lt-LT"/>
              </w:rPr>
            </w:pPr>
          </w:p>
          <w:p w14:paraId="41083870" w14:textId="2CC12277" w:rsidR="0098262F" w:rsidRPr="00E11C74" w:rsidRDefault="0098262F" w:rsidP="00A3552A">
            <w:pPr>
              <w:spacing w:before="60" w:after="60" w:line="240" w:lineRule="auto"/>
              <w:jc w:val="both"/>
              <w:rPr>
                <w:rFonts w:ascii="Calibri" w:eastAsia="Times New Roman" w:hAnsi="Calibri" w:cs="Calibri"/>
                <w:lang w:val="lt-LT" w:eastAsia="lt-LT"/>
              </w:rPr>
            </w:pPr>
          </w:p>
        </w:tc>
        <w:tc>
          <w:tcPr>
            <w:tcW w:w="4820" w:type="dxa"/>
          </w:tcPr>
          <w:p w14:paraId="1C53917B" w14:textId="77777777" w:rsidR="00192618" w:rsidRPr="00E11C74" w:rsidRDefault="00192618" w:rsidP="00A3552A">
            <w:pPr>
              <w:spacing w:before="60" w:after="60" w:line="240" w:lineRule="auto"/>
              <w:jc w:val="both"/>
              <w:rPr>
                <w:rFonts w:ascii="Calibri" w:hAnsi="Calibri" w:cs="Calibri"/>
                <w:b/>
                <w:bCs/>
                <w:shd w:val="clear" w:color="auto" w:fill="FFFFFF"/>
                <w:lang w:val="en-GB"/>
              </w:rPr>
            </w:pPr>
            <w:r w:rsidRPr="00E11C74">
              <w:rPr>
                <w:rFonts w:ascii="Calibri" w:hAnsi="Calibri" w:cs="Calibri"/>
                <w:b/>
                <w:bCs/>
                <w:shd w:val="clear" w:color="auto" w:fill="FFFFFF"/>
                <w:lang w:val="en-GB"/>
              </w:rPr>
              <w:t>In English:</w:t>
            </w:r>
          </w:p>
          <w:p w14:paraId="26CAB894" w14:textId="63A75F06" w:rsidR="009B5B5F" w:rsidRPr="009B5B5F" w:rsidRDefault="009B5B5F" w:rsidP="009B5B5F">
            <w:pPr>
              <w:spacing w:before="60" w:after="60" w:line="240" w:lineRule="auto"/>
              <w:jc w:val="both"/>
              <w:rPr>
                <w:rFonts w:ascii="Calibri" w:hAnsi="Calibri" w:cs="Calibri"/>
                <w:shd w:val="clear" w:color="auto" w:fill="FFFFFF"/>
                <w:lang w:val="lt-LT"/>
              </w:rPr>
            </w:pPr>
            <w:r w:rsidRPr="009B5B5F">
              <w:rPr>
                <w:rFonts w:ascii="Calibri" w:hAnsi="Calibri" w:cs="Calibri"/>
                <w:shd w:val="clear" w:color="auto" w:fill="FFFFFF"/>
                <w:lang w:val="lt-LT"/>
              </w:rPr>
              <w:t>The price to be quoted must take into account both the modular structure itself (its supply/manufacture) and all the work for its installation, as specified in Annex 1 to the Technical Specification (Annex 1 to the Conditions of Contract), "1_TS Catalogue</w:t>
            </w:r>
            <w:r w:rsidRPr="009B5B5F">
              <w:rPr>
                <w:rFonts w:ascii="Calibri" w:hAnsi="Calibri" w:cs="Calibri"/>
                <w:i/>
                <w:iCs/>
                <w:shd w:val="clear" w:color="auto" w:fill="FFFFFF"/>
                <w:lang w:val="lt-LT"/>
              </w:rPr>
              <w:t>"Modular_Construct"</w:t>
            </w:r>
          </w:p>
          <w:p w14:paraId="4A17BD36" w14:textId="77777777" w:rsidR="009B5B5F" w:rsidRPr="009B5B5F" w:rsidRDefault="009B5B5F" w:rsidP="009B5B5F">
            <w:pPr>
              <w:spacing w:before="60" w:after="60" w:line="240" w:lineRule="auto"/>
              <w:jc w:val="both"/>
              <w:rPr>
                <w:rFonts w:ascii="Calibri" w:hAnsi="Calibri" w:cs="Calibri"/>
                <w:shd w:val="clear" w:color="auto" w:fill="FFFFFF"/>
                <w:lang w:val="lt-LT"/>
              </w:rPr>
            </w:pPr>
            <w:r w:rsidRPr="009B5B5F">
              <w:rPr>
                <w:rFonts w:ascii="Calibri" w:hAnsi="Calibri" w:cs="Calibri"/>
                <w:shd w:val="clear" w:color="auto" w:fill="FFFFFF"/>
                <w:lang w:val="lt-LT"/>
              </w:rPr>
              <w:t>Accordingly, the price of the tender shall include all costs necessary for the full implementation of the modular structure in accordance with the project part "Temporary modular structure for the military hospital unit (military unit A1065), Zhytomyr Rehabilitation Centre, Zhytomyr, 22, Feshchenko-Chopivskiy St.", as specified in the aforementioned Catalogue.</w:t>
            </w:r>
          </w:p>
          <w:p w14:paraId="541DA0D9" w14:textId="1DC4ED27" w:rsidR="00F1351A" w:rsidRPr="00E3384F" w:rsidRDefault="00F1351A" w:rsidP="00A3552A">
            <w:pPr>
              <w:spacing w:before="60" w:after="60" w:line="240" w:lineRule="auto"/>
              <w:jc w:val="both"/>
              <w:rPr>
                <w:rFonts w:ascii="Calibri" w:hAnsi="Calibri" w:cs="Calibri"/>
                <w:shd w:val="clear" w:color="auto" w:fill="FFFFFF"/>
              </w:rPr>
            </w:pPr>
          </w:p>
          <w:p w14:paraId="23197F16" w14:textId="77777777" w:rsidR="005F7977" w:rsidRPr="00E11C74" w:rsidRDefault="005F7977" w:rsidP="00A3552A">
            <w:pPr>
              <w:spacing w:before="60" w:after="60" w:line="240" w:lineRule="auto"/>
              <w:jc w:val="both"/>
              <w:rPr>
                <w:rFonts w:ascii="Calibri" w:hAnsi="Calibri" w:cs="Calibri"/>
                <w:b/>
                <w:bCs/>
                <w:shd w:val="clear" w:color="auto" w:fill="FFFFFF"/>
              </w:rPr>
            </w:pPr>
          </w:p>
          <w:p w14:paraId="1F3DAA78" w14:textId="7BC2D02D" w:rsidR="00D332E4" w:rsidRPr="00E11C74" w:rsidRDefault="00A1792D" w:rsidP="00A3552A">
            <w:pPr>
              <w:spacing w:before="60" w:after="60" w:line="240" w:lineRule="auto"/>
              <w:jc w:val="both"/>
              <w:rPr>
                <w:rFonts w:ascii="Calibri" w:hAnsi="Calibri" w:cs="Calibri"/>
                <w:b/>
                <w:bCs/>
                <w:shd w:val="clear" w:color="auto" w:fill="FFFFFF"/>
                <w:lang w:val="lt-LT"/>
              </w:rPr>
            </w:pPr>
            <w:r w:rsidRPr="00E11C74">
              <w:rPr>
                <w:rFonts w:ascii="Calibri" w:hAnsi="Calibri" w:cs="Calibri"/>
                <w:b/>
                <w:bCs/>
                <w:shd w:val="clear" w:color="auto" w:fill="FFFFFF"/>
                <w:lang w:val="lt-LT"/>
              </w:rPr>
              <w:t>Lietuvių kalba</w:t>
            </w:r>
            <w:r w:rsidR="005F7977" w:rsidRPr="00E11C74">
              <w:rPr>
                <w:rFonts w:ascii="Calibri" w:hAnsi="Calibri" w:cs="Calibri"/>
                <w:b/>
                <w:bCs/>
                <w:shd w:val="clear" w:color="auto" w:fill="FFFFFF"/>
                <w:lang w:val="lt-LT"/>
              </w:rPr>
              <w:t>:</w:t>
            </w:r>
          </w:p>
          <w:p w14:paraId="64D40576" w14:textId="77777777" w:rsidR="009B5B5F" w:rsidRPr="009B5B5F" w:rsidRDefault="009B5B5F" w:rsidP="009B5B5F">
            <w:pPr>
              <w:spacing w:before="60" w:after="60" w:line="240" w:lineRule="auto"/>
              <w:jc w:val="both"/>
              <w:rPr>
                <w:rFonts w:ascii="Calibri" w:hAnsi="Calibri" w:cs="Calibri"/>
                <w:shd w:val="clear" w:color="auto" w:fill="FFFFFF"/>
                <w:lang w:val="lt-LT"/>
              </w:rPr>
            </w:pPr>
            <w:r w:rsidRPr="009B5B5F">
              <w:rPr>
                <w:rFonts w:ascii="Calibri" w:hAnsi="Calibri" w:cs="Calibri"/>
                <w:shd w:val="clear" w:color="auto" w:fill="FFFFFF"/>
                <w:lang w:val="lt-LT"/>
              </w:rPr>
              <w:t>Teikiamo pasiūlymo kainoje turi būti įvertinta tiek pati modulinė konstrukcija (jos tiekimas / pagaminimas), tiek visi jos įrengimo (montavimo) darbai, kuri yra nurodyta techninės specifikacijos (pirkimo sąlygų 1 priedas) 1 priede "1_TS kataloge "</w:t>
            </w:r>
            <w:r w:rsidRPr="009B5B5F">
              <w:rPr>
                <w:rFonts w:ascii="Calibri" w:hAnsi="Calibri" w:cs="Calibri"/>
                <w:i/>
                <w:iCs/>
                <w:shd w:val="clear" w:color="auto" w:fill="FFFFFF"/>
                <w:lang w:val="lt-LT"/>
              </w:rPr>
              <w:t>Moduline_konstrukcija"</w:t>
            </w:r>
          </w:p>
          <w:p w14:paraId="34E271FC" w14:textId="77777777" w:rsidR="009B5B5F" w:rsidRPr="009B5B5F" w:rsidRDefault="009B5B5F" w:rsidP="009B5B5F">
            <w:pPr>
              <w:spacing w:before="60" w:after="60" w:line="240" w:lineRule="auto"/>
              <w:jc w:val="both"/>
              <w:rPr>
                <w:rFonts w:ascii="Calibri" w:hAnsi="Calibri" w:cs="Calibri"/>
                <w:shd w:val="clear" w:color="auto" w:fill="FFFFFF"/>
                <w:lang w:val="lt-LT"/>
              </w:rPr>
            </w:pPr>
            <w:r w:rsidRPr="009B5B5F">
              <w:rPr>
                <w:rFonts w:ascii="Calibri" w:hAnsi="Calibri" w:cs="Calibri"/>
                <w:shd w:val="clear" w:color="auto" w:fill="FFFFFF"/>
                <w:lang w:val="lt-LT"/>
              </w:rPr>
              <w:t>Atitinkamai, pasiūlymo kaina turi apimti visus kaštus, būtinus pilnam modulinės konstrukcijos įgyvendinimui pagal minėtame kataloge pateiktą projekto dalį „Laikinoji modulinė konstrukcija kariniam ligoninės padaliniui (karinei daliai A1065), Žitomyro reabilitacijos centrui, Žitomyro mieste, Feščenkos-Čopivskio g. 22.“.</w:t>
            </w:r>
          </w:p>
          <w:p w14:paraId="77644A88" w14:textId="69F48660" w:rsidR="0098262F" w:rsidRPr="00E11C74" w:rsidRDefault="0098262F" w:rsidP="007C196A">
            <w:pPr>
              <w:spacing w:before="60" w:after="60" w:line="240" w:lineRule="auto"/>
              <w:jc w:val="both"/>
              <w:rPr>
                <w:rFonts w:ascii="Calibri" w:hAnsi="Calibri" w:cs="Calibri"/>
                <w:shd w:val="clear" w:color="auto" w:fill="FFFFFF"/>
                <w:lang w:val="lt-LT"/>
              </w:rPr>
            </w:pPr>
          </w:p>
        </w:tc>
      </w:tr>
    </w:tbl>
    <w:p w14:paraId="7527CF07" w14:textId="653A739E" w:rsidR="004B1153" w:rsidRPr="00E11C74" w:rsidRDefault="004B1153" w:rsidP="004B1153">
      <w:pPr>
        <w:spacing w:after="0" w:line="276" w:lineRule="auto"/>
        <w:jc w:val="both"/>
        <w:rPr>
          <w:rFonts w:ascii="Calibri" w:hAnsi="Calibri" w:cs="Calibri"/>
          <w:i/>
          <w:iCs/>
          <w:shd w:val="clear" w:color="auto" w:fill="FFFFFF"/>
          <w:lang w:val="lt-LT"/>
        </w:rPr>
      </w:pPr>
      <w:r w:rsidRPr="00E11C74">
        <w:rPr>
          <w:rFonts w:ascii="Calibri" w:hAnsi="Calibri" w:cs="Calibri"/>
          <w:i/>
          <w:iCs/>
          <w:shd w:val="clear" w:color="auto" w:fill="FFFFFF"/>
          <w:lang w:val="lt-LT"/>
        </w:rPr>
        <w:t>* Tiekėjo pateikto paklausimo tekstas eina pirmas ir yra neredaguotas / The text of the supplier's enquiry comes first and is unedited.</w:t>
      </w:r>
    </w:p>
    <w:p w14:paraId="717FD6AD" w14:textId="77777777" w:rsidR="00F6010E" w:rsidRDefault="00F6010E" w:rsidP="004B1153">
      <w:pPr>
        <w:spacing w:after="0" w:line="276" w:lineRule="auto"/>
        <w:jc w:val="both"/>
        <w:rPr>
          <w:rFonts w:ascii="Calibri" w:hAnsi="Calibri" w:cs="Calibri"/>
          <w:shd w:val="clear" w:color="auto" w:fill="FFFFFF"/>
          <w:lang w:val="lt-LT"/>
        </w:rPr>
      </w:pPr>
    </w:p>
    <w:p w14:paraId="5296DCCC" w14:textId="3A57BAAA" w:rsidR="004B1153" w:rsidRPr="00F6010E" w:rsidRDefault="00F6010E" w:rsidP="00F6010E">
      <w:pPr>
        <w:spacing w:after="0" w:line="276" w:lineRule="auto"/>
        <w:jc w:val="both"/>
        <w:rPr>
          <w:rFonts w:ascii="Calibri" w:hAnsi="Calibri" w:cs="Calibri"/>
          <w:bCs/>
          <w:shd w:val="clear" w:color="auto" w:fill="FFFFFF"/>
          <w:lang w:val="lt-LT"/>
        </w:rPr>
      </w:pPr>
      <w:r>
        <w:rPr>
          <w:rFonts w:ascii="Calibri" w:hAnsi="Calibri" w:cs="Calibri"/>
          <w:shd w:val="clear" w:color="auto" w:fill="FFFFFF"/>
          <w:lang w:val="lt-LT"/>
        </w:rPr>
        <w:lastRenderedPageBreak/>
        <w:t xml:space="preserve">              </w:t>
      </w:r>
      <w:r w:rsidR="004B1153" w:rsidRPr="00E11C74">
        <w:rPr>
          <w:rFonts w:ascii="Calibri" w:hAnsi="Calibri" w:cs="Calibri"/>
          <w:shd w:val="clear" w:color="auto" w:fill="FFFFFF"/>
          <w:lang w:val="lt-LT"/>
        </w:rPr>
        <w:t xml:space="preserve">Pažymėtina, kad bet kuris CPVA atliktas paaiškinimas / patikslinimas yra laikomas neatskiriama Pirkimo dokumentų dalimi ir jo nuostatos turi viršenybę prieš ankstesnes Pirkimo dokumentuose išdėstytas nuostatas. </w:t>
      </w:r>
      <w:r w:rsidR="004B1153" w:rsidRPr="00E11C74">
        <w:rPr>
          <w:rFonts w:ascii="Calibri" w:hAnsi="Calibri" w:cs="Calibri"/>
          <w:lang w:val="lt-LT"/>
        </w:rPr>
        <w:t xml:space="preserve"> </w:t>
      </w:r>
      <w:r w:rsidR="004B1153" w:rsidRPr="00E11C74">
        <w:rPr>
          <w:rFonts w:ascii="Calibri" w:hAnsi="Calibri" w:cs="Calibri"/>
        </w:rPr>
        <w:t xml:space="preserve">/ </w:t>
      </w:r>
      <w:r w:rsidR="004B1153" w:rsidRPr="00F6010E">
        <w:rPr>
          <w:rFonts w:ascii="Calibri" w:hAnsi="Calibri" w:cs="Calibri"/>
          <w:bCs/>
          <w:shd w:val="clear" w:color="auto" w:fill="FFFFFF"/>
          <w:lang w:val="lt-LT"/>
        </w:rPr>
        <w:t>It should be noted that any explanation/clarification made by the CP</w:t>
      </w:r>
      <w:r w:rsidR="008E4B01" w:rsidRPr="00F6010E">
        <w:rPr>
          <w:rFonts w:ascii="Calibri" w:hAnsi="Calibri" w:cs="Calibri"/>
          <w:bCs/>
          <w:shd w:val="clear" w:color="auto" w:fill="FFFFFF"/>
          <w:lang w:val="lt-LT"/>
        </w:rPr>
        <w:t>V</w:t>
      </w:r>
      <w:r w:rsidR="004B1153" w:rsidRPr="00F6010E">
        <w:rPr>
          <w:rFonts w:ascii="Calibri" w:hAnsi="Calibri" w:cs="Calibri"/>
          <w:bCs/>
          <w:shd w:val="clear" w:color="auto" w:fill="FFFFFF"/>
          <w:lang w:val="lt-LT"/>
        </w:rPr>
        <w:t xml:space="preserve">A is considered an integral part of the Procurement Documents and its provisions take precedence over the previous provisions set forth in the Procurement Documents. </w:t>
      </w:r>
    </w:p>
    <w:p w14:paraId="00A15149" w14:textId="77777777" w:rsidR="004B1153" w:rsidRPr="00E11C74" w:rsidRDefault="004B1153" w:rsidP="004B1153">
      <w:pPr>
        <w:spacing w:after="0" w:line="276" w:lineRule="auto"/>
        <w:ind w:firstLine="709"/>
        <w:jc w:val="both"/>
        <w:rPr>
          <w:rFonts w:ascii="Calibri" w:hAnsi="Calibri" w:cs="Calibri"/>
          <w:highlight w:val="yellow"/>
          <w:shd w:val="clear" w:color="auto" w:fill="FFFFFF"/>
          <w:lang w:val="lt-LT"/>
        </w:rPr>
      </w:pPr>
    </w:p>
    <w:p w14:paraId="5085FF9D" w14:textId="4B6E08DE" w:rsidR="00F6010E" w:rsidRPr="00F6010E" w:rsidRDefault="00F6010E" w:rsidP="00F6010E">
      <w:pPr>
        <w:spacing w:after="0" w:line="276" w:lineRule="auto"/>
        <w:jc w:val="both"/>
        <w:rPr>
          <w:rFonts w:ascii="Calibri" w:hAnsi="Calibri" w:cs="Calibri"/>
          <w:b/>
          <w:bCs/>
          <w:shd w:val="clear" w:color="auto" w:fill="FFFFFF"/>
          <w:lang w:val="lt-LT"/>
        </w:rPr>
      </w:pPr>
      <w:r w:rsidRPr="00F6010E">
        <w:rPr>
          <w:rFonts w:ascii="Calibri" w:hAnsi="Calibri" w:cs="Calibri"/>
          <w:shd w:val="clear" w:color="auto" w:fill="FFFFFF"/>
          <w:lang w:val="lt-LT"/>
        </w:rPr>
        <w:t xml:space="preserve">               </w:t>
      </w:r>
      <w:r w:rsidRPr="00F6010E">
        <w:rPr>
          <w:rFonts w:ascii="Calibri" w:hAnsi="Calibri" w:cs="Calibri"/>
          <w:shd w:val="clear" w:color="auto" w:fill="FFFFFF"/>
          <w:lang w:val="lt-LT"/>
        </w:rPr>
        <w:t xml:space="preserve">Informuojame, kad vadovaujantis Pirkimo sąlygų 5.2 p., pasiūlymų pateikimo terminas nukeliamas iki </w:t>
      </w:r>
      <w:r w:rsidRPr="00F6010E">
        <w:rPr>
          <w:rFonts w:ascii="Calibri" w:hAnsi="Calibri" w:cs="Calibri"/>
          <w:b/>
          <w:bCs/>
          <w:shd w:val="clear" w:color="auto" w:fill="FFFFFF"/>
          <w:lang w:val="lt-LT"/>
        </w:rPr>
        <w:t>2026-03-16 10 val. 00 min. (Lietuvos laiku).</w:t>
      </w:r>
      <w:r w:rsidRPr="00F6010E">
        <w:rPr>
          <w:rFonts w:ascii="Calibri" w:hAnsi="Calibri" w:cs="Calibri"/>
          <w:shd w:val="clear" w:color="auto" w:fill="FFFFFF"/>
          <w:lang w:val="lt-LT"/>
        </w:rPr>
        <w:t xml:space="preserve"> / Please be advised that, in accordance with clause 5.2 of the Procurement Conditions, the deadline for submitting tenders has been extended to </w:t>
      </w:r>
      <w:r w:rsidRPr="00F6010E">
        <w:rPr>
          <w:rFonts w:ascii="Calibri" w:hAnsi="Calibri" w:cs="Calibri"/>
          <w:b/>
          <w:bCs/>
          <w:shd w:val="clear" w:color="auto" w:fill="FFFFFF"/>
          <w:lang w:val="lt-LT"/>
        </w:rPr>
        <w:t>10:00 a.m. on March 16, 2026 (Lithuanian time).</w:t>
      </w:r>
    </w:p>
    <w:p w14:paraId="695481A6" w14:textId="77777777" w:rsidR="00F6010E" w:rsidRDefault="00F6010E" w:rsidP="00F6010E">
      <w:pPr>
        <w:spacing w:after="0" w:line="276" w:lineRule="auto"/>
        <w:ind w:firstLine="709"/>
        <w:jc w:val="both"/>
        <w:rPr>
          <w:rFonts w:ascii="Calibri" w:hAnsi="Calibri" w:cs="Calibri"/>
          <w:shd w:val="clear" w:color="auto" w:fill="FFFFFF"/>
          <w:lang w:val="lt-LT"/>
        </w:rPr>
      </w:pPr>
    </w:p>
    <w:p w14:paraId="49BAB8F6" w14:textId="5B3B3812" w:rsidR="00F6010E" w:rsidRPr="00F6010E" w:rsidRDefault="00F6010E" w:rsidP="00F6010E">
      <w:pPr>
        <w:spacing w:after="0" w:line="276" w:lineRule="auto"/>
        <w:ind w:firstLine="709"/>
        <w:jc w:val="both"/>
        <w:rPr>
          <w:rFonts w:ascii="Calibri" w:hAnsi="Calibri" w:cs="Calibri"/>
          <w:shd w:val="clear" w:color="auto" w:fill="FFFFFF"/>
          <w:lang w:val="en-GB"/>
        </w:rPr>
      </w:pPr>
      <w:r w:rsidRPr="00F6010E">
        <w:rPr>
          <w:rFonts w:ascii="Calibri" w:hAnsi="Calibri" w:cs="Calibri"/>
          <w:shd w:val="clear" w:color="auto" w:fill="FFFFFF"/>
          <w:lang w:val="lt-LT"/>
        </w:rPr>
        <w:t xml:space="preserve">Atkreipiame tiekėjų dėmesį, kad prašymai dėl pirkimo dokumentų paaiškinimo ar patikslinimo gali būti teikiami ne vėliau kaip iki </w:t>
      </w:r>
      <w:r>
        <w:rPr>
          <w:rFonts w:ascii="Calibri" w:hAnsi="Calibri" w:cs="Calibri"/>
          <w:shd w:val="clear" w:color="auto" w:fill="FFFFFF"/>
          <w:lang w:val="lt-LT"/>
        </w:rPr>
        <w:t>2026-03-10</w:t>
      </w:r>
      <w:r w:rsidRPr="00F6010E">
        <w:rPr>
          <w:rFonts w:ascii="Calibri" w:hAnsi="Calibri" w:cs="Calibri"/>
          <w:shd w:val="clear" w:color="auto" w:fill="FFFFFF"/>
          <w:lang w:val="lt-LT"/>
        </w:rPr>
        <w:t xml:space="preserve"> imtinai.</w:t>
      </w:r>
      <w:r>
        <w:rPr>
          <w:rFonts w:ascii="Calibri" w:hAnsi="Calibri" w:cs="Calibri"/>
          <w:shd w:val="clear" w:color="auto" w:fill="FFFFFF"/>
          <w:lang w:val="lt-LT"/>
        </w:rPr>
        <w:t xml:space="preserve"> / </w:t>
      </w:r>
      <w:r w:rsidRPr="00F6010E">
        <w:rPr>
          <w:rFonts w:ascii="Calibri" w:hAnsi="Calibri" w:cs="Calibri"/>
          <w:shd w:val="clear" w:color="auto" w:fill="FFFFFF"/>
          <w:lang w:val="en-GB"/>
        </w:rPr>
        <w:t xml:space="preserve">We also draw the attention of suppliers that requests for clarification and/or adjustment of the procurement documents may be submitted no later than </w:t>
      </w:r>
      <w:r>
        <w:rPr>
          <w:rFonts w:ascii="Calibri" w:hAnsi="Calibri" w:cs="Calibri"/>
          <w:shd w:val="clear" w:color="auto" w:fill="FFFFFF"/>
          <w:lang w:val="en-GB"/>
        </w:rPr>
        <w:t>2</w:t>
      </w:r>
      <w:r w:rsidRPr="00F6010E">
        <w:rPr>
          <w:rFonts w:ascii="Calibri" w:hAnsi="Calibri" w:cs="Calibri"/>
          <w:shd w:val="clear" w:color="auto" w:fill="FFFFFF"/>
          <w:lang w:val="en-GB"/>
        </w:rPr>
        <w:t>026</w:t>
      </w:r>
      <w:r>
        <w:rPr>
          <w:rFonts w:ascii="Calibri" w:hAnsi="Calibri" w:cs="Calibri"/>
          <w:shd w:val="clear" w:color="auto" w:fill="FFFFFF"/>
          <w:lang w:val="en-GB"/>
        </w:rPr>
        <w:t>-03-10</w:t>
      </w:r>
      <w:r w:rsidRPr="00F6010E">
        <w:rPr>
          <w:rFonts w:ascii="Calibri" w:hAnsi="Calibri" w:cs="Calibri"/>
          <w:shd w:val="clear" w:color="auto" w:fill="FFFFFF"/>
          <w:lang w:val="en-GB"/>
        </w:rPr>
        <w:t xml:space="preserve"> (inclusive).</w:t>
      </w:r>
    </w:p>
    <w:p w14:paraId="370B54B9" w14:textId="1B569CFF" w:rsidR="00F6010E" w:rsidRPr="00F6010E" w:rsidRDefault="00F6010E" w:rsidP="00F6010E">
      <w:pPr>
        <w:spacing w:after="0" w:line="276" w:lineRule="auto"/>
        <w:ind w:firstLine="709"/>
        <w:jc w:val="both"/>
        <w:rPr>
          <w:rFonts w:ascii="Calibri" w:hAnsi="Calibri" w:cs="Calibri"/>
          <w:shd w:val="clear" w:color="auto" w:fill="FFFFFF"/>
          <w:lang w:val="lt-LT"/>
        </w:rPr>
      </w:pPr>
    </w:p>
    <w:p w14:paraId="021CCD76" w14:textId="77777777" w:rsidR="004B1153" w:rsidRDefault="004B1153" w:rsidP="004B1153">
      <w:pPr>
        <w:spacing w:after="0" w:line="276" w:lineRule="auto"/>
        <w:ind w:firstLine="709"/>
        <w:jc w:val="both"/>
        <w:rPr>
          <w:rFonts w:ascii="Calibri" w:hAnsi="Calibri" w:cs="Calibri"/>
          <w:shd w:val="clear" w:color="auto" w:fill="FFFFFF"/>
        </w:rPr>
      </w:pPr>
    </w:p>
    <w:p w14:paraId="516FD4D5" w14:textId="77777777" w:rsidR="00F6010E" w:rsidRDefault="00F6010E" w:rsidP="004B1153">
      <w:pPr>
        <w:spacing w:after="0" w:line="276" w:lineRule="auto"/>
        <w:ind w:firstLine="709"/>
        <w:jc w:val="both"/>
        <w:rPr>
          <w:rFonts w:ascii="Calibri" w:hAnsi="Calibri" w:cs="Calibri"/>
          <w:shd w:val="clear" w:color="auto" w:fill="FFFFFF"/>
        </w:rPr>
      </w:pPr>
    </w:p>
    <w:p w14:paraId="4C0D9955" w14:textId="77777777" w:rsidR="00F6010E" w:rsidRPr="00E11C74" w:rsidRDefault="00F6010E" w:rsidP="004B1153">
      <w:pPr>
        <w:spacing w:after="0" w:line="276" w:lineRule="auto"/>
        <w:ind w:firstLine="709"/>
        <w:jc w:val="both"/>
        <w:rPr>
          <w:rFonts w:ascii="Calibri" w:hAnsi="Calibri" w:cs="Calibri"/>
          <w:shd w:val="clear" w:color="auto" w:fill="FFFFFF"/>
        </w:rPr>
      </w:pPr>
    </w:p>
    <w:p w14:paraId="2602DB92" w14:textId="77777777" w:rsidR="004B1153" w:rsidRPr="00E11C74" w:rsidRDefault="004B1153" w:rsidP="004B1153">
      <w:pPr>
        <w:spacing w:after="0" w:line="276" w:lineRule="auto"/>
        <w:ind w:firstLine="709"/>
        <w:jc w:val="both"/>
        <w:rPr>
          <w:rFonts w:ascii="Calibri" w:hAnsi="Calibri" w:cs="Calibri"/>
          <w:shd w:val="clear" w:color="auto" w:fill="FFFFFF"/>
          <w:lang w:val="lt-LT"/>
        </w:rPr>
      </w:pPr>
      <w:r w:rsidRPr="00E11C74">
        <w:rPr>
          <w:rFonts w:ascii="Calibri" w:hAnsi="Calibri" w:cs="Calibri"/>
          <w:shd w:val="clear" w:color="auto" w:fill="FFFFFF"/>
          <w:lang w:val="lt-LT"/>
        </w:rPr>
        <w:t>Viešojo pirkimo komisija / Public Procurement Commission</w:t>
      </w:r>
    </w:p>
    <w:p w14:paraId="56AE3041" w14:textId="77777777" w:rsidR="004B1153" w:rsidRPr="00E11C74" w:rsidRDefault="004B1153" w:rsidP="004B1153">
      <w:pPr>
        <w:spacing w:after="0" w:line="276" w:lineRule="auto"/>
        <w:rPr>
          <w:rFonts w:ascii="Calibri" w:hAnsi="Calibri" w:cs="Calibri"/>
        </w:rPr>
      </w:pPr>
    </w:p>
    <w:p w14:paraId="61E3026D" w14:textId="77777777" w:rsidR="004B1153" w:rsidRPr="00E11C74" w:rsidRDefault="004B1153">
      <w:pPr>
        <w:rPr>
          <w:rFonts w:ascii="Calibri" w:hAnsi="Calibri" w:cs="Calibri"/>
        </w:rPr>
      </w:pPr>
    </w:p>
    <w:sectPr w:rsidR="004B1153" w:rsidRPr="00E11C74"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EA"/>
    <w:multiLevelType w:val="multilevel"/>
    <w:tmpl w:val="29F89BB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330A4F"/>
    <w:multiLevelType w:val="multilevel"/>
    <w:tmpl w:val="4454AC3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108F"/>
    <w:multiLevelType w:val="multilevel"/>
    <w:tmpl w:val="89ECBE7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823C0"/>
    <w:multiLevelType w:val="hybridMultilevel"/>
    <w:tmpl w:val="28464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1A5CAA"/>
    <w:multiLevelType w:val="multilevel"/>
    <w:tmpl w:val="60B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F290F"/>
    <w:multiLevelType w:val="multilevel"/>
    <w:tmpl w:val="9BA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093D"/>
    <w:multiLevelType w:val="multilevel"/>
    <w:tmpl w:val="4DB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60006"/>
    <w:multiLevelType w:val="multilevel"/>
    <w:tmpl w:val="B4B4EA4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2637D"/>
    <w:multiLevelType w:val="multilevel"/>
    <w:tmpl w:val="228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34047"/>
    <w:multiLevelType w:val="multilevel"/>
    <w:tmpl w:val="300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56585"/>
    <w:multiLevelType w:val="multilevel"/>
    <w:tmpl w:val="B3B4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D512F"/>
    <w:multiLevelType w:val="multilevel"/>
    <w:tmpl w:val="910A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04517">
    <w:abstractNumId w:val="1"/>
  </w:num>
  <w:num w:numId="2" w16cid:durableId="1512602879">
    <w:abstractNumId w:val="4"/>
  </w:num>
  <w:num w:numId="3" w16cid:durableId="860625176">
    <w:abstractNumId w:val="7"/>
  </w:num>
  <w:num w:numId="4" w16cid:durableId="1561360832">
    <w:abstractNumId w:val="9"/>
  </w:num>
  <w:num w:numId="5" w16cid:durableId="885213426">
    <w:abstractNumId w:val="2"/>
  </w:num>
  <w:num w:numId="6" w16cid:durableId="1777289948">
    <w:abstractNumId w:val="11"/>
  </w:num>
  <w:num w:numId="7" w16cid:durableId="2032948973">
    <w:abstractNumId w:val="0"/>
  </w:num>
  <w:num w:numId="8" w16cid:durableId="1120762050">
    <w:abstractNumId w:val="5"/>
  </w:num>
  <w:num w:numId="9" w16cid:durableId="1704090965">
    <w:abstractNumId w:val="3"/>
  </w:num>
  <w:num w:numId="10" w16cid:durableId="1239169832">
    <w:abstractNumId w:val="6"/>
  </w:num>
  <w:num w:numId="11" w16cid:durableId="626010860">
    <w:abstractNumId w:val="8"/>
  </w:num>
  <w:num w:numId="12" w16cid:durableId="848912362">
    <w:abstractNumId w:val="10"/>
  </w:num>
  <w:num w:numId="13" w16cid:durableId="530873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016013"/>
    <w:rsid w:val="0006505C"/>
    <w:rsid w:val="000764CC"/>
    <w:rsid w:val="00076818"/>
    <w:rsid w:val="0008734D"/>
    <w:rsid w:val="000A6EB7"/>
    <w:rsid w:val="000B1E40"/>
    <w:rsid w:val="000D113E"/>
    <w:rsid w:val="0013021D"/>
    <w:rsid w:val="00133201"/>
    <w:rsid w:val="00144643"/>
    <w:rsid w:val="001510E0"/>
    <w:rsid w:val="001758CB"/>
    <w:rsid w:val="00192618"/>
    <w:rsid w:val="001F7F2D"/>
    <w:rsid w:val="00203CF7"/>
    <w:rsid w:val="002408E7"/>
    <w:rsid w:val="00243EFF"/>
    <w:rsid w:val="002B1744"/>
    <w:rsid w:val="002B6DE6"/>
    <w:rsid w:val="002D4C4A"/>
    <w:rsid w:val="002F1FAA"/>
    <w:rsid w:val="00360E2E"/>
    <w:rsid w:val="003C7A34"/>
    <w:rsid w:val="003D2AA0"/>
    <w:rsid w:val="003E16EC"/>
    <w:rsid w:val="003F6299"/>
    <w:rsid w:val="0047083F"/>
    <w:rsid w:val="00492606"/>
    <w:rsid w:val="004A1D5C"/>
    <w:rsid w:val="004B1153"/>
    <w:rsid w:val="004B58D5"/>
    <w:rsid w:val="00507354"/>
    <w:rsid w:val="00524C86"/>
    <w:rsid w:val="005548B5"/>
    <w:rsid w:val="005D1273"/>
    <w:rsid w:val="005F7977"/>
    <w:rsid w:val="00615341"/>
    <w:rsid w:val="00661EB1"/>
    <w:rsid w:val="00663C7B"/>
    <w:rsid w:val="00672774"/>
    <w:rsid w:val="0068670A"/>
    <w:rsid w:val="006A6C12"/>
    <w:rsid w:val="006B0845"/>
    <w:rsid w:val="006D57A9"/>
    <w:rsid w:val="006F4891"/>
    <w:rsid w:val="00703455"/>
    <w:rsid w:val="00725C74"/>
    <w:rsid w:val="007341B1"/>
    <w:rsid w:val="007C196A"/>
    <w:rsid w:val="007D0C04"/>
    <w:rsid w:val="007E38F1"/>
    <w:rsid w:val="007F0151"/>
    <w:rsid w:val="00817F3A"/>
    <w:rsid w:val="008216CD"/>
    <w:rsid w:val="0084056F"/>
    <w:rsid w:val="008634AE"/>
    <w:rsid w:val="008A0911"/>
    <w:rsid w:val="008C79D2"/>
    <w:rsid w:val="008D68D5"/>
    <w:rsid w:val="008E389C"/>
    <w:rsid w:val="008E4B01"/>
    <w:rsid w:val="008E7AAC"/>
    <w:rsid w:val="008F1327"/>
    <w:rsid w:val="00976CD5"/>
    <w:rsid w:val="00977647"/>
    <w:rsid w:val="0098262F"/>
    <w:rsid w:val="00994D62"/>
    <w:rsid w:val="009B5B5F"/>
    <w:rsid w:val="00A06430"/>
    <w:rsid w:val="00A113E0"/>
    <w:rsid w:val="00A14B2B"/>
    <w:rsid w:val="00A1792D"/>
    <w:rsid w:val="00A3552A"/>
    <w:rsid w:val="00A62D8B"/>
    <w:rsid w:val="00A86EA5"/>
    <w:rsid w:val="00A91C38"/>
    <w:rsid w:val="00A93D8D"/>
    <w:rsid w:val="00AD1F05"/>
    <w:rsid w:val="00AF6AAD"/>
    <w:rsid w:val="00B261C8"/>
    <w:rsid w:val="00BF2FF2"/>
    <w:rsid w:val="00C02282"/>
    <w:rsid w:val="00C12851"/>
    <w:rsid w:val="00C12CC4"/>
    <w:rsid w:val="00C300B8"/>
    <w:rsid w:val="00C31515"/>
    <w:rsid w:val="00C510C4"/>
    <w:rsid w:val="00C626B5"/>
    <w:rsid w:val="00C62CA1"/>
    <w:rsid w:val="00C64EEE"/>
    <w:rsid w:val="00D332E4"/>
    <w:rsid w:val="00D440B3"/>
    <w:rsid w:val="00DA10CC"/>
    <w:rsid w:val="00DA795D"/>
    <w:rsid w:val="00DC2BAA"/>
    <w:rsid w:val="00E11C74"/>
    <w:rsid w:val="00E3384F"/>
    <w:rsid w:val="00E6612C"/>
    <w:rsid w:val="00EA0A91"/>
    <w:rsid w:val="00EA2CFF"/>
    <w:rsid w:val="00EA7D69"/>
    <w:rsid w:val="00EA7F6D"/>
    <w:rsid w:val="00EC3A86"/>
    <w:rsid w:val="00EC3B20"/>
    <w:rsid w:val="00EF0879"/>
    <w:rsid w:val="00EF4BBA"/>
    <w:rsid w:val="00F1351A"/>
    <w:rsid w:val="00F24C5C"/>
    <w:rsid w:val="00F46179"/>
    <w:rsid w:val="00F6010E"/>
    <w:rsid w:val="00FA2CE9"/>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EC3B20"/>
    <w:rPr>
      <w:color w:val="467886" w:themeColor="hyperlink"/>
      <w:u w:val="single"/>
    </w:rPr>
  </w:style>
  <w:style w:type="character" w:styleId="UnresolvedMention">
    <w:name w:val="Unresolved Mention"/>
    <w:basedOn w:val="DefaultParagraphFont"/>
    <w:uiPriority w:val="99"/>
    <w:semiHidden/>
    <w:unhideWhenUsed/>
    <w:rsid w:val="00EC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5A656-1FCC-40F2-B349-73A0FD06A1F4}">
  <ds:schemaRefs>
    <ds:schemaRef ds:uri="http://schemas.microsoft.com/sharepoint/v3/contenttype/forms"/>
  </ds:schemaRefs>
</ds:datastoreItem>
</file>

<file path=customXml/itemProps2.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14BB4D98-4372-4C1C-BA53-DE98D979D34E}">
  <ds:schemaRefs>
    <ds:schemaRef ds:uri="http://schemas.openxmlformats.org/officeDocument/2006/bibliography"/>
  </ds:schemaRefs>
</ds:datastoreItem>
</file>

<file path=customXml/itemProps4.xml><?xml version="1.0" encoding="utf-8"?>
<ds:datastoreItem xmlns:ds="http://schemas.openxmlformats.org/officeDocument/2006/customXml" ds:itemID="{22963AFD-E541-4F23-B008-66973F386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2289</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atsakymas tiekejams</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Laura Sungailaitė-Jurčė</cp:lastModifiedBy>
  <cp:revision>3</cp:revision>
  <dcterms:created xsi:type="dcterms:W3CDTF">2026-03-05T06:16:00Z</dcterms:created>
  <dcterms:modified xsi:type="dcterms:W3CDTF">2026-03-05T06:20:00Z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9828af55-a0db-4c07-ab97-4523345e2a5a</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Kontrimas;#872;#Aina Jonuškytė;#1779;#Ana Stefanova;#1701;#Rūta Valaitytė</vt:lpwstr>
  </property>
  <property fmtid="{D5CDD505-2E9C-101B-9397-08002B2CF9AE}" pid="8" name="DmsCommChanPerm">
    <vt:lpwstr/>
  </property>
  <property fmtid="{D5CDD505-2E9C-101B-9397-08002B2CF9AE}" pid="9" name="DmsPermissionsConfid">
    <vt:bool>false</vt:bool>
  </property>
</Properties>
</file>