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188DD4" w14:textId="29024F1F" w:rsidR="00F704BE" w:rsidRPr="00F704BE" w:rsidRDefault="00F704BE" w:rsidP="00F704BE">
      <w:pPr>
        <w:spacing w:after="0" w:line="240" w:lineRule="auto"/>
        <w:jc w:val="both"/>
        <w:rPr>
          <w:rFonts w:ascii="Times New Roman" w:eastAsia="Calibri" w:hAnsi="Times New Roman" w:cs="Times New Roman"/>
          <w:kern w:val="0"/>
          <w:szCs w:val="22"/>
          <w14:ligatures w14:val="none"/>
        </w:rPr>
      </w:pPr>
    </w:p>
    <w:p w14:paraId="0F05F694" w14:textId="17D6DDA9" w:rsidR="00F704BE" w:rsidRDefault="00F704BE"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r>
        <w:rPr>
          <w:rFonts w:ascii="Times New Roman" w:eastAsia="Times New Roman" w:hAnsi="Times New Roman" w:cs="Times New Roman"/>
          <w:b/>
          <w:bCs/>
          <w:kern w:val="0"/>
          <w:lang w:eastAsia="lt-LT"/>
          <w14:ligatures w14:val="none"/>
        </w:rPr>
        <w:t>ALYTAUS RAJONO SAVIVALDYBĖS ADMINISTRACIJA</w:t>
      </w:r>
    </w:p>
    <w:p w14:paraId="179290D6" w14:textId="77777777" w:rsidR="00B91064" w:rsidRPr="00F704BE" w:rsidRDefault="00B91064"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p>
    <w:p w14:paraId="72D14947" w14:textId="77777777" w:rsidR="00F704BE" w:rsidRPr="00F704BE" w:rsidRDefault="00F704BE" w:rsidP="00F704BE">
      <w:pPr>
        <w:spacing w:after="0" w:line="240" w:lineRule="auto"/>
        <w:jc w:val="center"/>
        <w:textAlignment w:val="baseline"/>
        <w:rPr>
          <w:rFonts w:ascii="Times New Roman" w:eastAsia="Times New Roman" w:hAnsi="Times New Roman" w:cs="Times New Roman"/>
          <w:b/>
          <w:bCs/>
          <w:kern w:val="0"/>
          <w:lang w:eastAsia="lt-LT"/>
          <w14:ligatures w14:val="none"/>
        </w:rPr>
      </w:pPr>
    </w:p>
    <w:tbl>
      <w:tblPr>
        <w:tblW w:w="9248" w:type="dxa"/>
        <w:tblInd w:w="108" w:type="dxa"/>
        <w:tblLayout w:type="fixed"/>
        <w:tblLook w:val="04A0" w:firstRow="1" w:lastRow="0" w:firstColumn="1" w:lastColumn="0" w:noHBand="0" w:noVBand="1"/>
      </w:tblPr>
      <w:tblGrid>
        <w:gridCol w:w="4536"/>
        <w:gridCol w:w="600"/>
        <w:gridCol w:w="4112"/>
      </w:tblGrid>
      <w:tr w:rsidR="00F704BE" w:rsidRPr="00F704BE" w14:paraId="5C8B9DC2" w14:textId="77777777" w:rsidTr="009D2193">
        <w:trPr>
          <w:cantSplit/>
        </w:trPr>
        <w:tc>
          <w:tcPr>
            <w:tcW w:w="4536" w:type="dxa"/>
            <w:hideMark/>
          </w:tcPr>
          <w:p w14:paraId="61F52DDD" w14:textId="77777777" w:rsidR="00F704BE" w:rsidRPr="00F704BE" w:rsidRDefault="00F704BE" w:rsidP="00F704BE">
            <w:pPr>
              <w:spacing w:after="0" w:line="256" w:lineRule="auto"/>
              <w:ind w:left="-113" w:right="-113"/>
              <w:rPr>
                <w:rFonts w:ascii="Times New Roman" w:eastAsia="Times New Roman" w:hAnsi="Times New Roman" w:cs="Times New Roman"/>
                <w:kern w:val="0"/>
                <w:lang w:eastAsia="lt-LT"/>
                <w14:ligatures w14:val="none"/>
              </w:rPr>
            </w:pPr>
            <w:r w:rsidRPr="00F704BE">
              <w:rPr>
                <w:rFonts w:ascii="Times New Roman" w:eastAsia="Times New Roman" w:hAnsi="Times New Roman" w:cs="Times New Roman"/>
                <w:kern w:val="0"/>
                <w:lang w:eastAsia="lt-LT"/>
                <w14:ligatures w14:val="none"/>
              </w:rPr>
              <w:t>Tiekėjams</w:t>
            </w:r>
          </w:p>
        </w:tc>
        <w:tc>
          <w:tcPr>
            <w:tcW w:w="600" w:type="dxa"/>
          </w:tcPr>
          <w:p w14:paraId="15ED67E8"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hideMark/>
          </w:tcPr>
          <w:p w14:paraId="4FB7E2FB" w14:textId="0B28BCF4" w:rsidR="00F704BE" w:rsidRPr="00F704BE" w:rsidRDefault="00F704BE" w:rsidP="00F704BE">
            <w:pPr>
              <w:spacing w:after="0" w:line="256" w:lineRule="auto"/>
              <w:ind w:left="-1102"/>
              <w:rPr>
                <w:rFonts w:ascii="Times New Roman" w:eastAsia="Times New Roman" w:hAnsi="Times New Roman" w:cs="Times New Roman"/>
                <w:kern w:val="0"/>
                <w:szCs w:val="20"/>
                <w:lang w:eastAsia="lt-LT"/>
                <w14:ligatures w14:val="none"/>
              </w:rPr>
            </w:pPr>
            <w:r w:rsidRPr="00F704BE">
              <w:rPr>
                <w:rFonts w:ascii="Times New Roman" w:eastAsia="Times New Roman" w:hAnsi="Times New Roman" w:cs="Times New Roman"/>
                <w:kern w:val="0"/>
                <w:szCs w:val="20"/>
                <w:lang w:eastAsia="lt-LT"/>
                <w14:ligatures w14:val="none"/>
              </w:rPr>
              <w:t xml:space="preserve">                                                      </w:t>
            </w:r>
            <w:r w:rsidRPr="00BF2C6A">
              <w:rPr>
                <w:rFonts w:ascii="Times New Roman" w:eastAsia="Times New Roman" w:hAnsi="Times New Roman" w:cs="Times New Roman"/>
                <w:kern w:val="0"/>
                <w:szCs w:val="20"/>
                <w:lang w:eastAsia="lt-LT"/>
                <w14:ligatures w14:val="none"/>
              </w:rPr>
              <w:t>202</w:t>
            </w:r>
            <w:r w:rsidR="005B61D6">
              <w:rPr>
                <w:rFonts w:ascii="Times New Roman" w:eastAsia="Times New Roman" w:hAnsi="Times New Roman" w:cs="Times New Roman"/>
                <w:kern w:val="0"/>
                <w:szCs w:val="20"/>
                <w:lang w:eastAsia="lt-LT"/>
                <w14:ligatures w14:val="none"/>
              </w:rPr>
              <w:t>6</w:t>
            </w:r>
            <w:r w:rsidRPr="00BF2C6A">
              <w:rPr>
                <w:rFonts w:ascii="Times New Roman" w:eastAsia="Times New Roman" w:hAnsi="Times New Roman" w:cs="Times New Roman"/>
                <w:kern w:val="0"/>
                <w:szCs w:val="20"/>
                <w:lang w:eastAsia="lt-LT"/>
                <w14:ligatures w14:val="none"/>
              </w:rPr>
              <w:t>-</w:t>
            </w:r>
            <w:r w:rsidR="005B61D6">
              <w:rPr>
                <w:rFonts w:ascii="Times New Roman" w:eastAsia="Times New Roman" w:hAnsi="Times New Roman" w:cs="Times New Roman"/>
                <w:kern w:val="0"/>
                <w:szCs w:val="20"/>
                <w:lang w:eastAsia="lt-LT"/>
                <w14:ligatures w14:val="none"/>
              </w:rPr>
              <w:t>0</w:t>
            </w:r>
            <w:r w:rsidR="00537E9E">
              <w:rPr>
                <w:rFonts w:ascii="Times New Roman" w:eastAsia="Times New Roman" w:hAnsi="Times New Roman" w:cs="Times New Roman"/>
                <w:kern w:val="0"/>
                <w:szCs w:val="20"/>
                <w:lang w:eastAsia="lt-LT"/>
                <w14:ligatures w14:val="none"/>
              </w:rPr>
              <w:t>3</w:t>
            </w:r>
            <w:r w:rsidRPr="00BF2C6A">
              <w:rPr>
                <w:rFonts w:ascii="Times New Roman" w:eastAsia="Times New Roman" w:hAnsi="Times New Roman" w:cs="Times New Roman"/>
                <w:kern w:val="0"/>
                <w:szCs w:val="20"/>
                <w:lang w:eastAsia="lt-LT"/>
                <w14:ligatures w14:val="none"/>
              </w:rPr>
              <w:t>-</w:t>
            </w:r>
            <w:r w:rsidR="00537E9E">
              <w:rPr>
                <w:rFonts w:ascii="Times New Roman" w:eastAsia="Times New Roman" w:hAnsi="Times New Roman" w:cs="Times New Roman"/>
                <w:kern w:val="0"/>
                <w:szCs w:val="20"/>
                <w:lang w:eastAsia="lt-LT"/>
                <w14:ligatures w14:val="none"/>
              </w:rPr>
              <w:t>0</w:t>
            </w:r>
            <w:r w:rsidR="0072494D">
              <w:rPr>
                <w:rFonts w:ascii="Times New Roman" w:eastAsia="Times New Roman" w:hAnsi="Times New Roman" w:cs="Times New Roman"/>
                <w:kern w:val="0"/>
                <w:szCs w:val="20"/>
                <w:lang w:eastAsia="lt-LT"/>
                <w14:ligatures w14:val="none"/>
              </w:rPr>
              <w:t>5</w:t>
            </w:r>
            <w:r w:rsidRPr="00F704BE">
              <w:rPr>
                <w:rFonts w:ascii="Times New Roman" w:eastAsia="Times New Roman" w:hAnsi="Times New Roman" w:cs="Times New Roman"/>
                <w:kern w:val="0"/>
                <w:szCs w:val="20"/>
                <w:lang w:eastAsia="lt-LT"/>
                <w14:ligatures w14:val="none"/>
              </w:rPr>
              <w:t xml:space="preserve">               </w:t>
            </w:r>
          </w:p>
        </w:tc>
      </w:tr>
      <w:tr w:rsidR="00F704BE" w:rsidRPr="00F704BE" w14:paraId="70310332" w14:textId="77777777" w:rsidTr="009D2193">
        <w:trPr>
          <w:cantSplit/>
        </w:trPr>
        <w:tc>
          <w:tcPr>
            <w:tcW w:w="4536" w:type="dxa"/>
          </w:tcPr>
          <w:p w14:paraId="73300EDD" w14:textId="77777777" w:rsidR="00F704BE" w:rsidRPr="00F704BE" w:rsidRDefault="00F704BE" w:rsidP="00F704BE">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15B72A00"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ED30344" w14:textId="77777777" w:rsidR="00F704BE" w:rsidRPr="00F704BE" w:rsidRDefault="00F704BE" w:rsidP="00F704BE">
            <w:pPr>
              <w:spacing w:after="0" w:line="256" w:lineRule="auto"/>
              <w:ind w:left="1" w:hanging="1"/>
              <w:rPr>
                <w:rFonts w:ascii="Times New Roman" w:eastAsia="Times New Roman" w:hAnsi="Times New Roman" w:cs="Times New Roman"/>
                <w:kern w:val="0"/>
                <w:szCs w:val="20"/>
                <w:lang w:eastAsia="lt-LT"/>
                <w14:ligatures w14:val="none"/>
              </w:rPr>
            </w:pPr>
          </w:p>
        </w:tc>
      </w:tr>
      <w:tr w:rsidR="00F704BE" w:rsidRPr="00F704BE" w14:paraId="6DA14FA0" w14:textId="77777777" w:rsidTr="009D2193">
        <w:trPr>
          <w:cantSplit/>
        </w:trPr>
        <w:tc>
          <w:tcPr>
            <w:tcW w:w="4536" w:type="dxa"/>
          </w:tcPr>
          <w:p w14:paraId="2354778C" w14:textId="77777777" w:rsidR="00F704BE" w:rsidRPr="00F704BE" w:rsidRDefault="00F704BE" w:rsidP="00F704BE">
            <w:pPr>
              <w:spacing w:after="0" w:line="256" w:lineRule="auto"/>
              <w:ind w:right="-113"/>
              <w:rPr>
                <w:rFonts w:ascii="Times New Roman" w:eastAsia="Times New Roman" w:hAnsi="Times New Roman" w:cs="Times New Roman"/>
                <w:kern w:val="0"/>
                <w:szCs w:val="20"/>
                <w:lang w:eastAsia="lt-LT"/>
                <w14:ligatures w14:val="none"/>
              </w:rPr>
            </w:pPr>
          </w:p>
        </w:tc>
        <w:tc>
          <w:tcPr>
            <w:tcW w:w="600" w:type="dxa"/>
          </w:tcPr>
          <w:p w14:paraId="7A7AFC5D"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5B307910" w14:textId="77777777" w:rsidR="00F704BE" w:rsidRPr="00F704BE" w:rsidRDefault="00F704BE" w:rsidP="00F704BE">
            <w:pPr>
              <w:spacing w:after="0" w:line="256" w:lineRule="auto"/>
              <w:ind w:left="-113"/>
              <w:rPr>
                <w:rFonts w:ascii="Times New Roman" w:eastAsia="Times New Roman" w:hAnsi="Times New Roman" w:cs="Times New Roman"/>
                <w:kern w:val="0"/>
                <w:szCs w:val="20"/>
                <w:lang w:eastAsia="lt-LT"/>
                <w14:ligatures w14:val="none"/>
              </w:rPr>
            </w:pPr>
          </w:p>
        </w:tc>
      </w:tr>
      <w:tr w:rsidR="00F704BE" w:rsidRPr="00F704BE" w14:paraId="3C3B2CA8" w14:textId="77777777" w:rsidTr="009D2193">
        <w:trPr>
          <w:cantSplit/>
        </w:trPr>
        <w:tc>
          <w:tcPr>
            <w:tcW w:w="4536" w:type="dxa"/>
          </w:tcPr>
          <w:p w14:paraId="60788DC8" w14:textId="77777777" w:rsidR="00F704BE" w:rsidRPr="00F704BE" w:rsidRDefault="00F704BE" w:rsidP="00F704BE">
            <w:pPr>
              <w:spacing w:after="0" w:line="256" w:lineRule="auto"/>
              <w:ind w:left="-113" w:right="-113"/>
              <w:rPr>
                <w:rFonts w:ascii="Times New Roman" w:eastAsia="Times New Roman" w:hAnsi="Times New Roman" w:cs="Times New Roman"/>
                <w:kern w:val="0"/>
                <w:szCs w:val="20"/>
                <w:lang w:eastAsia="lt-LT"/>
                <w14:ligatures w14:val="none"/>
              </w:rPr>
            </w:pPr>
          </w:p>
        </w:tc>
        <w:tc>
          <w:tcPr>
            <w:tcW w:w="600" w:type="dxa"/>
          </w:tcPr>
          <w:p w14:paraId="0BE417C9"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48714399" w14:textId="77777777" w:rsidR="00F704BE" w:rsidRPr="00F704BE" w:rsidRDefault="00F704BE" w:rsidP="00F704BE">
            <w:pPr>
              <w:spacing w:after="0" w:line="256" w:lineRule="auto"/>
              <w:ind w:left="-113"/>
              <w:rPr>
                <w:rFonts w:ascii="Times New Roman" w:eastAsia="Times New Roman" w:hAnsi="Times New Roman" w:cs="Times New Roman"/>
                <w:kern w:val="0"/>
                <w:szCs w:val="20"/>
                <w:lang w:eastAsia="lt-LT"/>
                <w14:ligatures w14:val="none"/>
              </w:rPr>
            </w:pPr>
          </w:p>
        </w:tc>
      </w:tr>
      <w:tr w:rsidR="00F704BE" w:rsidRPr="00F704BE" w14:paraId="6C8BC2E5" w14:textId="77777777" w:rsidTr="009D2193">
        <w:trPr>
          <w:cantSplit/>
        </w:trPr>
        <w:tc>
          <w:tcPr>
            <w:tcW w:w="9248" w:type="dxa"/>
            <w:gridSpan w:val="3"/>
            <w:hideMark/>
          </w:tcPr>
          <w:p w14:paraId="452D0E56" w14:textId="22E97C3A" w:rsidR="00F704BE" w:rsidRPr="00F704BE" w:rsidRDefault="00F704BE" w:rsidP="00F704BE">
            <w:pPr>
              <w:spacing w:after="0" w:line="256" w:lineRule="auto"/>
              <w:ind w:left="-113"/>
              <w:rPr>
                <w:rFonts w:ascii="Times New Roman" w:eastAsia="Times New Roman" w:hAnsi="Times New Roman" w:cs="Times New Roman"/>
                <w:b/>
                <w:kern w:val="0"/>
                <w:szCs w:val="20"/>
                <w:lang w:eastAsia="lt-LT"/>
                <w14:ligatures w14:val="none"/>
              </w:rPr>
            </w:pPr>
            <w:r w:rsidRPr="00F704BE">
              <w:rPr>
                <w:rFonts w:ascii="Times New Roman" w:eastAsia="Times New Roman" w:hAnsi="Times New Roman" w:cs="Times New Roman"/>
                <w:b/>
                <w:kern w:val="0"/>
                <w:szCs w:val="20"/>
                <w:lang w:eastAsia="lt-LT"/>
                <w14:ligatures w14:val="none"/>
              </w:rPr>
              <w:t>DĖL ATSAKYM</w:t>
            </w:r>
            <w:r w:rsidR="008D72AB">
              <w:rPr>
                <w:rFonts w:ascii="Times New Roman" w:eastAsia="Times New Roman" w:hAnsi="Times New Roman" w:cs="Times New Roman"/>
                <w:b/>
                <w:kern w:val="0"/>
                <w:szCs w:val="20"/>
                <w:lang w:eastAsia="lt-LT"/>
                <w14:ligatures w14:val="none"/>
              </w:rPr>
              <w:t>O</w:t>
            </w:r>
            <w:r w:rsidRPr="00F704BE">
              <w:rPr>
                <w:rFonts w:ascii="Times New Roman" w:eastAsia="Times New Roman" w:hAnsi="Times New Roman" w:cs="Times New Roman"/>
                <w:b/>
                <w:kern w:val="0"/>
                <w:szCs w:val="20"/>
                <w:lang w:eastAsia="lt-LT"/>
                <w14:ligatures w14:val="none"/>
              </w:rPr>
              <w:t xml:space="preserve"> Į TIEKĖJ</w:t>
            </w:r>
            <w:r w:rsidR="008D72AB">
              <w:rPr>
                <w:rFonts w:ascii="Times New Roman" w:eastAsia="Times New Roman" w:hAnsi="Times New Roman" w:cs="Times New Roman"/>
                <w:b/>
                <w:kern w:val="0"/>
                <w:szCs w:val="20"/>
                <w:lang w:eastAsia="lt-LT"/>
                <w14:ligatures w14:val="none"/>
              </w:rPr>
              <w:t>O</w:t>
            </w:r>
            <w:r w:rsidRPr="00F704BE">
              <w:rPr>
                <w:rFonts w:ascii="Times New Roman" w:eastAsia="Times New Roman" w:hAnsi="Times New Roman" w:cs="Times New Roman"/>
                <w:b/>
                <w:kern w:val="0"/>
                <w:szCs w:val="20"/>
                <w:lang w:eastAsia="lt-LT"/>
                <w14:ligatures w14:val="none"/>
              </w:rPr>
              <w:t xml:space="preserve"> KLAUSIM</w:t>
            </w:r>
            <w:r w:rsidR="008D72AB">
              <w:rPr>
                <w:rFonts w:ascii="Times New Roman" w:eastAsia="Times New Roman" w:hAnsi="Times New Roman" w:cs="Times New Roman"/>
                <w:b/>
                <w:kern w:val="0"/>
                <w:szCs w:val="20"/>
                <w:lang w:eastAsia="lt-LT"/>
                <w14:ligatures w14:val="none"/>
              </w:rPr>
              <w:t>Ą</w:t>
            </w:r>
            <w:r w:rsidR="00922963">
              <w:rPr>
                <w:rFonts w:ascii="Times New Roman" w:eastAsia="Times New Roman" w:hAnsi="Times New Roman" w:cs="Times New Roman"/>
                <w:b/>
                <w:kern w:val="0"/>
                <w:szCs w:val="20"/>
                <w:lang w:eastAsia="lt-LT"/>
                <w14:ligatures w14:val="none"/>
              </w:rPr>
              <w:t xml:space="preserve">, </w:t>
            </w:r>
            <w:r w:rsidR="00CD56D7">
              <w:rPr>
                <w:rFonts w:ascii="Times New Roman" w:eastAsia="Times New Roman" w:hAnsi="Times New Roman" w:cs="Times New Roman"/>
                <w:b/>
                <w:kern w:val="0"/>
                <w:szCs w:val="20"/>
                <w:lang w:eastAsia="lt-LT"/>
                <w14:ligatures w14:val="none"/>
              </w:rPr>
              <w:t>PIRKIMO SĄLYGŲ PATIKSLINIMO</w:t>
            </w:r>
            <w:r w:rsidR="00922963">
              <w:rPr>
                <w:rFonts w:ascii="Times New Roman" w:eastAsia="Times New Roman" w:hAnsi="Times New Roman" w:cs="Times New Roman"/>
                <w:b/>
                <w:kern w:val="0"/>
                <w:szCs w:val="20"/>
                <w:lang w:eastAsia="lt-LT"/>
                <w14:ligatures w14:val="none"/>
              </w:rPr>
              <w:t xml:space="preserve"> IR PASIŪLYMŲ PATEIKIMO TERMINO NUKĖLIMO</w:t>
            </w:r>
          </w:p>
        </w:tc>
      </w:tr>
      <w:tr w:rsidR="00F704BE" w:rsidRPr="00F704BE" w14:paraId="4767F80F" w14:textId="77777777" w:rsidTr="009D2193">
        <w:trPr>
          <w:cantSplit/>
        </w:trPr>
        <w:tc>
          <w:tcPr>
            <w:tcW w:w="4536" w:type="dxa"/>
          </w:tcPr>
          <w:p w14:paraId="48C0BA3C"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p w14:paraId="24B57121"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600" w:type="dxa"/>
          </w:tcPr>
          <w:p w14:paraId="5FC1D6F4"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c>
          <w:tcPr>
            <w:tcW w:w="4112" w:type="dxa"/>
          </w:tcPr>
          <w:p w14:paraId="2A6031EC" w14:textId="77777777" w:rsidR="00F704BE" w:rsidRPr="00F704BE" w:rsidRDefault="00F704BE" w:rsidP="00F704BE">
            <w:pPr>
              <w:spacing w:after="0" w:line="256" w:lineRule="auto"/>
              <w:rPr>
                <w:rFonts w:ascii="Times New Roman" w:eastAsia="Times New Roman" w:hAnsi="Times New Roman" w:cs="Times New Roman"/>
                <w:kern w:val="0"/>
                <w:szCs w:val="20"/>
                <w:lang w:eastAsia="lt-LT"/>
                <w14:ligatures w14:val="none"/>
              </w:rPr>
            </w:pPr>
          </w:p>
        </w:tc>
      </w:tr>
    </w:tbl>
    <w:p w14:paraId="5D368A05" w14:textId="43283FDC" w:rsidR="00132511" w:rsidRDefault="00F704BE" w:rsidP="00950644">
      <w:pPr>
        <w:spacing w:after="0" w:line="240" w:lineRule="auto"/>
        <w:ind w:firstLine="993"/>
        <w:jc w:val="both"/>
        <w:rPr>
          <w:rFonts w:ascii="Times New Roman" w:eastAsia="Calibri" w:hAnsi="Times New Roman" w:cs="Times New Roman"/>
          <w:kern w:val="0"/>
          <w:szCs w:val="22"/>
          <w14:ligatures w14:val="none"/>
        </w:rPr>
      </w:pPr>
      <w:bookmarkStart w:id="0" w:name="_Hlk29980088"/>
      <w:r w:rsidRPr="00F704BE">
        <w:rPr>
          <w:rFonts w:ascii="Times New Roman" w:eastAsia="Calibri" w:hAnsi="Times New Roman" w:cs="Times New Roman"/>
          <w:kern w:val="0"/>
          <w:szCs w:val="22"/>
          <w14:ligatures w14:val="none"/>
        </w:rPr>
        <w:t>Pranešame, kad Centrinės viešųjų pirkimų informacinės sistemos susirašinėjimo priemonėmis gaut</w:t>
      </w:r>
      <w:r w:rsidR="00756E4D">
        <w:rPr>
          <w:rFonts w:ascii="Times New Roman" w:eastAsia="Calibri" w:hAnsi="Times New Roman" w:cs="Times New Roman"/>
          <w:kern w:val="0"/>
          <w:szCs w:val="22"/>
          <w14:ligatures w14:val="none"/>
        </w:rPr>
        <w:t>as</w:t>
      </w:r>
      <w:r w:rsidRPr="00F704BE">
        <w:rPr>
          <w:rFonts w:ascii="Times New Roman" w:eastAsia="Calibri" w:hAnsi="Times New Roman" w:cs="Times New Roman"/>
          <w:kern w:val="0"/>
          <w:szCs w:val="22"/>
          <w14:ligatures w14:val="none"/>
        </w:rPr>
        <w:t xml:space="preserve"> tiekėj</w:t>
      </w:r>
      <w:r w:rsidR="00756E4D">
        <w:rPr>
          <w:rFonts w:ascii="Times New Roman" w:eastAsia="Calibri" w:hAnsi="Times New Roman" w:cs="Times New Roman"/>
          <w:kern w:val="0"/>
          <w:szCs w:val="22"/>
          <w14:ligatures w14:val="none"/>
        </w:rPr>
        <w:t>o</w:t>
      </w:r>
      <w:r w:rsidRPr="00F704BE">
        <w:rPr>
          <w:rFonts w:ascii="Times New Roman" w:eastAsia="Calibri" w:hAnsi="Times New Roman" w:cs="Times New Roman"/>
          <w:kern w:val="0"/>
          <w:szCs w:val="22"/>
          <w14:ligatures w14:val="none"/>
        </w:rPr>
        <w:t xml:space="preserve"> paklausima</w:t>
      </w:r>
      <w:bookmarkStart w:id="1" w:name="_Hlk160607784"/>
      <w:r w:rsidR="00756E4D">
        <w:rPr>
          <w:rFonts w:ascii="Times New Roman" w:eastAsia="Calibri" w:hAnsi="Times New Roman" w:cs="Times New Roman"/>
          <w:kern w:val="0"/>
          <w:szCs w:val="22"/>
          <w14:ligatures w14:val="none"/>
        </w:rPr>
        <w:t>s</w:t>
      </w:r>
      <w:r w:rsidR="005B61D6">
        <w:rPr>
          <w:rFonts w:ascii="Times New Roman" w:eastAsia="Calibri" w:hAnsi="Times New Roman" w:cs="Times New Roman"/>
          <w:kern w:val="0"/>
          <w:szCs w:val="22"/>
          <w14:ligatures w14:val="none"/>
        </w:rPr>
        <w:t>:</w:t>
      </w:r>
    </w:p>
    <w:p w14:paraId="0128D8C3" w14:textId="605867D4" w:rsidR="00F704BE" w:rsidRPr="00136706" w:rsidRDefault="00136706" w:rsidP="00136706">
      <w:pPr>
        <w:spacing w:after="0" w:line="240" w:lineRule="auto"/>
        <w:ind w:firstLine="993"/>
        <w:jc w:val="both"/>
        <w:rPr>
          <w:rFonts w:ascii="Times New Roman" w:eastAsia="Calibri" w:hAnsi="Times New Roman" w:cs="Times New Roman"/>
          <w:kern w:val="0"/>
          <w:szCs w:val="22"/>
          <w14:ligatures w14:val="none"/>
        </w:rPr>
      </w:pPr>
      <w:r w:rsidRPr="00136706">
        <w:rPr>
          <w:rFonts w:ascii="Times New Roman" w:eastAsia="Times New Roman" w:hAnsi="Times New Roman" w:cs="Times New Roman"/>
          <w:b/>
          <w:kern w:val="0"/>
          <w:lang w:eastAsia="lt-LT"/>
          <w14:ligatures w14:val="none"/>
        </w:rPr>
        <w:t>1.</w:t>
      </w:r>
      <w:r>
        <w:rPr>
          <w:rFonts w:ascii="Times New Roman" w:eastAsia="Times New Roman" w:hAnsi="Times New Roman" w:cs="Times New Roman"/>
          <w:b/>
          <w:kern w:val="0"/>
          <w:lang w:eastAsia="lt-LT"/>
          <w14:ligatures w14:val="none"/>
        </w:rPr>
        <w:t xml:space="preserve"> </w:t>
      </w:r>
      <w:r w:rsidR="00F704BE" w:rsidRPr="00136706">
        <w:rPr>
          <w:rFonts w:ascii="Times New Roman" w:eastAsia="Times New Roman" w:hAnsi="Times New Roman" w:cs="Times New Roman"/>
          <w:b/>
          <w:kern w:val="0"/>
          <w:lang w:eastAsia="lt-LT"/>
          <w14:ligatures w14:val="none"/>
        </w:rPr>
        <w:t>Klausima</w:t>
      </w:r>
      <w:r w:rsidR="003716FE" w:rsidRPr="00136706">
        <w:rPr>
          <w:rFonts w:ascii="Times New Roman" w:eastAsia="Times New Roman" w:hAnsi="Times New Roman" w:cs="Times New Roman"/>
          <w:b/>
          <w:kern w:val="0"/>
          <w:lang w:eastAsia="lt-LT"/>
          <w14:ligatures w14:val="none"/>
        </w:rPr>
        <w:t>s</w:t>
      </w:r>
      <w:r w:rsidR="00F704BE" w:rsidRPr="00136706">
        <w:rPr>
          <w:rFonts w:ascii="Times New Roman" w:eastAsia="Times New Roman" w:hAnsi="Times New Roman" w:cs="Times New Roman"/>
          <w:b/>
          <w:kern w:val="0"/>
          <w:lang w:eastAsia="lt-LT"/>
          <w14:ligatures w14:val="none"/>
        </w:rPr>
        <w:t xml:space="preserve"> (202</w:t>
      </w:r>
      <w:r w:rsidR="005B61D6" w:rsidRPr="00136706">
        <w:rPr>
          <w:rFonts w:ascii="Times New Roman" w:eastAsia="Times New Roman" w:hAnsi="Times New Roman" w:cs="Times New Roman"/>
          <w:b/>
          <w:kern w:val="0"/>
          <w:lang w:eastAsia="lt-LT"/>
          <w14:ligatures w14:val="none"/>
        </w:rPr>
        <w:t>6</w:t>
      </w:r>
      <w:r w:rsidR="00F704BE" w:rsidRPr="00136706">
        <w:rPr>
          <w:rFonts w:ascii="Times New Roman" w:eastAsia="Times New Roman" w:hAnsi="Times New Roman" w:cs="Times New Roman"/>
          <w:b/>
          <w:kern w:val="0"/>
          <w:lang w:eastAsia="lt-LT"/>
          <w14:ligatures w14:val="none"/>
        </w:rPr>
        <w:t>-</w:t>
      </w:r>
      <w:r w:rsidR="005B61D6" w:rsidRPr="00136706">
        <w:rPr>
          <w:rFonts w:ascii="Times New Roman" w:eastAsia="Times New Roman" w:hAnsi="Times New Roman" w:cs="Times New Roman"/>
          <w:b/>
          <w:kern w:val="0"/>
          <w:lang w:eastAsia="lt-LT"/>
          <w14:ligatures w14:val="none"/>
        </w:rPr>
        <w:t>0</w:t>
      </w:r>
      <w:r w:rsidR="009C72D7" w:rsidRPr="00136706">
        <w:rPr>
          <w:rFonts w:ascii="Times New Roman" w:eastAsia="Times New Roman" w:hAnsi="Times New Roman" w:cs="Times New Roman"/>
          <w:b/>
          <w:kern w:val="0"/>
          <w:lang w:eastAsia="lt-LT"/>
          <w14:ligatures w14:val="none"/>
        </w:rPr>
        <w:t>2</w:t>
      </w:r>
      <w:r w:rsidR="00F704BE" w:rsidRPr="00136706">
        <w:rPr>
          <w:rFonts w:ascii="Times New Roman" w:eastAsia="Times New Roman" w:hAnsi="Times New Roman" w:cs="Times New Roman"/>
          <w:b/>
          <w:kern w:val="0"/>
          <w:lang w:eastAsia="lt-LT"/>
          <w14:ligatures w14:val="none"/>
        </w:rPr>
        <w:t>-</w:t>
      </w:r>
      <w:r w:rsidR="00CA0E18" w:rsidRPr="00136706">
        <w:rPr>
          <w:rFonts w:ascii="Times New Roman" w:eastAsia="Times New Roman" w:hAnsi="Times New Roman" w:cs="Times New Roman"/>
          <w:b/>
          <w:kern w:val="0"/>
          <w:lang w:eastAsia="lt-LT"/>
          <w14:ligatures w14:val="none"/>
        </w:rPr>
        <w:t>19</w:t>
      </w:r>
      <w:r w:rsidR="00F704BE" w:rsidRPr="00136706">
        <w:rPr>
          <w:rFonts w:ascii="Times New Roman" w:eastAsia="Times New Roman" w:hAnsi="Times New Roman" w:cs="Times New Roman"/>
          <w:b/>
          <w:kern w:val="0"/>
          <w:lang w:eastAsia="lt-LT"/>
          <w14:ligatures w14:val="none"/>
        </w:rPr>
        <w:t xml:space="preserve"> pranešimas </w:t>
      </w:r>
      <w:r w:rsidR="005B61D6" w:rsidRPr="00136706">
        <w:rPr>
          <w:rFonts w:ascii="Times New Roman" w:eastAsia="Times New Roman" w:hAnsi="Times New Roman" w:cs="Times New Roman"/>
          <w:b/>
          <w:kern w:val="0"/>
          <w:lang w:eastAsia="lt-LT"/>
          <w14:ligatures w14:val="none"/>
        </w:rPr>
        <w:t xml:space="preserve">ID </w:t>
      </w:r>
      <w:r w:rsidR="00CA0E18" w:rsidRPr="00136706">
        <w:rPr>
          <w:rFonts w:ascii="Times New Roman" w:eastAsia="Times New Roman" w:hAnsi="Times New Roman" w:cs="Times New Roman"/>
          <w:b/>
          <w:kern w:val="0"/>
          <w:lang w:eastAsia="lt-LT"/>
          <w14:ligatures w14:val="none"/>
        </w:rPr>
        <w:t>543365</w:t>
      </w:r>
      <w:r w:rsidR="00F704BE" w:rsidRPr="00136706">
        <w:rPr>
          <w:rFonts w:ascii="Times New Roman" w:eastAsia="Times New Roman" w:hAnsi="Times New Roman" w:cs="Times New Roman"/>
          <w:b/>
          <w:kern w:val="0"/>
          <w:lang w:eastAsia="lt-LT"/>
          <w14:ligatures w14:val="none"/>
        </w:rPr>
        <w:t>)</w:t>
      </w:r>
      <w:r w:rsidR="00F704BE" w:rsidRPr="00136706">
        <w:rPr>
          <w:rFonts w:ascii="Times New Roman" w:eastAsia="Times New Roman" w:hAnsi="Times New Roman" w:cs="Times New Roman"/>
          <w:bCs/>
          <w:kern w:val="0"/>
          <w:lang w:eastAsia="lt-LT"/>
          <w14:ligatures w14:val="none"/>
        </w:rPr>
        <w:t>:</w:t>
      </w:r>
      <w:bookmarkEnd w:id="1"/>
    </w:p>
    <w:p w14:paraId="51EBFFBA" w14:textId="77777777" w:rsidR="00F90220" w:rsidRDefault="003716FE" w:rsidP="00F90220">
      <w:pPr>
        <w:spacing w:line="259" w:lineRule="auto"/>
        <w:ind w:firstLine="993"/>
        <w:contextualSpacing/>
        <w:jc w:val="both"/>
        <w:rPr>
          <w:rFonts w:ascii="Times New Roman" w:eastAsia="Calibri" w:hAnsi="Times New Roman" w:cs="Times New Roman"/>
          <w:kern w:val="0"/>
          <w:szCs w:val="22"/>
          <w14:ligatures w14:val="none"/>
        </w:rPr>
      </w:pPr>
      <w:r w:rsidRPr="00F90220">
        <w:rPr>
          <w:rFonts w:ascii="Times New Roman" w:eastAsia="Calibri" w:hAnsi="Times New Roman" w:cs="Times New Roman"/>
          <w:kern w:val="0"/>
          <w:szCs w:val="22"/>
          <w14:ligatures w14:val="none"/>
        </w:rPr>
        <w:t>„</w:t>
      </w:r>
      <w:bookmarkEnd w:id="0"/>
      <w:r w:rsidR="00F90220" w:rsidRPr="00F90220">
        <w:rPr>
          <w:rFonts w:ascii="Times New Roman" w:eastAsia="Calibri" w:hAnsi="Times New Roman" w:cs="Times New Roman"/>
          <w:kern w:val="0"/>
          <w:szCs w:val="22"/>
          <w14:ligatures w14:val="none"/>
        </w:rPr>
        <w:t>1. Prašome paaiškinti, ar Tiekėjas, kuris per pastaruosius 5 metus yra tinkamai parengęs kelis savivaldybės ir/ar savivaldybės dalies bendruosius planus ir jų bendra suminė vertė atitinka pirkimo dokumentuose reikalaujamą ne mažesnę nei 30000 Eur be PVM vertę, bus laikomas atitinkančiu kvalifikacinį reikalavimą, išreikštą pirkimo sąlygų 4 priedo Tiekėjų kvalifikacijos reikalavimai lentelės 2 punkte?</w:t>
      </w:r>
    </w:p>
    <w:p w14:paraId="433D6B96" w14:textId="77777777" w:rsidR="00F90220" w:rsidRDefault="00F90220" w:rsidP="00F90220">
      <w:pPr>
        <w:spacing w:line="259" w:lineRule="auto"/>
        <w:ind w:firstLine="993"/>
        <w:contextualSpacing/>
        <w:jc w:val="both"/>
        <w:rPr>
          <w:rFonts w:ascii="Times New Roman" w:eastAsia="Calibri" w:hAnsi="Times New Roman" w:cs="Times New Roman"/>
          <w:kern w:val="0"/>
          <w:szCs w:val="22"/>
          <w14:ligatures w14:val="none"/>
        </w:rPr>
      </w:pPr>
      <w:r w:rsidRPr="00F90220">
        <w:rPr>
          <w:rFonts w:ascii="Times New Roman" w:eastAsia="Calibri" w:hAnsi="Times New Roman" w:cs="Times New Roman"/>
          <w:kern w:val="0"/>
          <w:szCs w:val="22"/>
          <w14:ligatures w14:val="none"/>
        </w:rPr>
        <w:t>2. Teritorijų planavimo įstatymo 14 str. "Savivaldybės lygmens ir vietovės lygmens bendrieji planai, objektai ir uždaviniai" 4 dalyje yra nustatyta, kad (cituojame): „4. Vietovės lygmens bendrieji planai galioja tol, kol parengiami ir patvirtinami nauji (juos keičiantys) vietovės lygmens bendrieji planai, parengti anksčiau suplanuotai arba didesnei teritorijai, į kurią patenka anksčiau suplanuota teritorija.“</w:t>
      </w:r>
    </w:p>
    <w:p w14:paraId="54924240" w14:textId="77777777" w:rsidR="00F90220" w:rsidRDefault="00F90220" w:rsidP="00F90220">
      <w:pPr>
        <w:spacing w:line="259" w:lineRule="auto"/>
        <w:ind w:firstLine="993"/>
        <w:contextualSpacing/>
        <w:jc w:val="both"/>
        <w:rPr>
          <w:rFonts w:ascii="Times New Roman" w:eastAsia="Calibri" w:hAnsi="Times New Roman" w:cs="Times New Roman"/>
          <w:kern w:val="0"/>
          <w:szCs w:val="22"/>
          <w14:ligatures w14:val="none"/>
        </w:rPr>
      </w:pPr>
      <w:r w:rsidRPr="00F90220">
        <w:rPr>
          <w:rFonts w:ascii="Times New Roman" w:eastAsia="Calibri" w:hAnsi="Times New Roman" w:cs="Times New Roman"/>
          <w:kern w:val="0"/>
          <w:szCs w:val="22"/>
          <w14:ligatures w14:val="none"/>
        </w:rPr>
        <w:t>Teritorijų planavimo įstatymo 28 str. "Kompleksinio teritorijų planavimo dokumentų keitimas ir koregavimas" 4 dalyje yra nustatyta, kad (cituojame): „4. Kompleksinio teritorijų planavimo dokumentai keičiami, kai sprendimą rengti tą teritorijų planavimo dokumentą priėmusios valstybės ar savivaldybės institucijos nusprendžia rengti naują (jį keičiantį) to paties lygmens kompleksinio teritorijų planavimo dokumentą anksčiau suplanuotai arba didesnei teritorijai, į kurią patenka anksčiau suplanuota teritorija (išskyrus atvejus, kai planuojama teritorija sumažėja pasikeitus administracinių vienetų ar gyvenamųjų vietovių teritorijų riboms).“</w:t>
      </w:r>
    </w:p>
    <w:p w14:paraId="379AE634" w14:textId="77777777" w:rsidR="00F90220" w:rsidRDefault="00F90220" w:rsidP="00F90220">
      <w:pPr>
        <w:spacing w:line="259" w:lineRule="auto"/>
        <w:ind w:firstLine="993"/>
        <w:contextualSpacing/>
        <w:jc w:val="both"/>
        <w:rPr>
          <w:rFonts w:ascii="Times New Roman" w:eastAsia="Calibri" w:hAnsi="Times New Roman" w:cs="Times New Roman"/>
          <w:kern w:val="0"/>
          <w:szCs w:val="22"/>
          <w14:ligatures w14:val="none"/>
        </w:rPr>
      </w:pPr>
      <w:r w:rsidRPr="00F90220">
        <w:rPr>
          <w:rFonts w:ascii="Times New Roman" w:eastAsia="Calibri" w:hAnsi="Times New Roman" w:cs="Times New Roman"/>
          <w:kern w:val="0"/>
          <w:szCs w:val="22"/>
          <w14:ligatures w14:val="none"/>
        </w:rPr>
        <w:t>Prašome suteikti informaciją, ar bendrojo plano keitimui nustatyta perpus mažesnė nei galiojančiu bendruoju planu suplanuota teritorija yra susijusi su administracinių ar gyvenamųjų vietovių ribų pasikeitimu ir patenka į Teritorijų planavimo įstatymo 28 str. 4 dalyje nurodytą išimtį?</w:t>
      </w:r>
    </w:p>
    <w:p w14:paraId="5BD4E64C" w14:textId="6844EF3D" w:rsidR="003C13F4" w:rsidRPr="00F90220" w:rsidRDefault="00F90220" w:rsidP="00F90220">
      <w:pPr>
        <w:spacing w:line="259" w:lineRule="auto"/>
        <w:ind w:firstLine="993"/>
        <w:contextualSpacing/>
        <w:jc w:val="both"/>
        <w:rPr>
          <w:rFonts w:ascii="Times New Roman" w:eastAsia="Times New Roman" w:hAnsi="Times New Roman" w:cs="Times New Roman"/>
          <w:kern w:val="0"/>
          <w:lang w:eastAsia="lt-LT"/>
          <w14:ligatures w14:val="none"/>
        </w:rPr>
      </w:pPr>
      <w:r w:rsidRPr="00F90220">
        <w:rPr>
          <w:rFonts w:ascii="Times New Roman" w:eastAsia="Calibri" w:hAnsi="Times New Roman" w:cs="Times New Roman"/>
          <w:kern w:val="0"/>
          <w:szCs w:val="22"/>
          <w14:ligatures w14:val="none"/>
        </w:rPr>
        <w:t>Pažymėtina, kad bendrojo plano keitimo planuojamos teritorijos plotas (</w:t>
      </w:r>
      <w:proofErr w:type="spellStart"/>
      <w:r w:rsidRPr="00F90220">
        <w:rPr>
          <w:rFonts w:ascii="Times New Roman" w:eastAsia="Calibri" w:hAnsi="Times New Roman" w:cs="Times New Roman"/>
          <w:kern w:val="0"/>
          <w:szCs w:val="22"/>
          <w14:ligatures w14:val="none"/>
        </w:rPr>
        <w:t>tpdris.planuojustatau.lt</w:t>
      </w:r>
      <w:proofErr w:type="spellEnd"/>
      <w:r w:rsidRPr="00F90220">
        <w:rPr>
          <w:rFonts w:ascii="Times New Roman" w:eastAsia="Calibri" w:hAnsi="Times New Roman" w:cs="Times New Roman"/>
          <w:kern w:val="0"/>
          <w:szCs w:val="22"/>
          <w14:ligatures w14:val="none"/>
        </w:rPr>
        <w:t xml:space="preserve"> informacijos pagrindu) sudaro apie 164,8 ha, tuo tarpu galiojančio Daugų miesto teritorijos bendrojo plano (TPD registracijos Nr. T00068120) suplanuotos teritorijos dydis yra dukart didesnis (</w:t>
      </w:r>
      <w:proofErr w:type="spellStart"/>
      <w:r w:rsidRPr="00F90220">
        <w:rPr>
          <w:rFonts w:ascii="Times New Roman" w:eastAsia="Calibri" w:hAnsi="Times New Roman" w:cs="Times New Roman"/>
          <w:kern w:val="0"/>
          <w:szCs w:val="22"/>
          <w14:ligatures w14:val="none"/>
        </w:rPr>
        <w:t>tpdr.planuojustatau.lt</w:t>
      </w:r>
      <w:proofErr w:type="spellEnd"/>
      <w:r w:rsidRPr="00F90220">
        <w:rPr>
          <w:rFonts w:ascii="Times New Roman" w:eastAsia="Calibri" w:hAnsi="Times New Roman" w:cs="Times New Roman"/>
          <w:kern w:val="0"/>
          <w:szCs w:val="22"/>
          <w14:ligatures w14:val="none"/>
        </w:rPr>
        <w:t xml:space="preserve"> informacijos pagrindu) – apie 332,7 ha</w:t>
      </w:r>
      <w:r w:rsidR="00756E4D" w:rsidRPr="00756E4D">
        <w:rPr>
          <w:rFonts w:ascii="Times New Roman" w:eastAsia="Times New Roman" w:hAnsi="Times New Roman" w:cs="Times New Roman"/>
          <w:i/>
          <w:iCs/>
          <w:kern w:val="0"/>
          <w:lang w:eastAsia="lt-LT"/>
          <w14:ligatures w14:val="none"/>
        </w:rPr>
        <w:t xml:space="preserve"> </w:t>
      </w:r>
      <w:r w:rsidR="003716FE" w:rsidRPr="004727D8">
        <w:rPr>
          <w:rFonts w:ascii="Times New Roman" w:eastAsia="Calibri" w:hAnsi="Times New Roman" w:cs="Times New Roman"/>
          <w:i/>
          <w:iCs/>
        </w:rPr>
        <w:t>(kalba netaisyta).</w:t>
      </w:r>
      <w:r w:rsidR="005B61D6" w:rsidRPr="004727D8">
        <w:rPr>
          <w:rFonts w:ascii="Times New Roman" w:eastAsia="Calibri" w:hAnsi="Times New Roman" w:cs="Times New Roman"/>
          <w:i/>
          <w:iCs/>
        </w:rPr>
        <w:t>“</w:t>
      </w:r>
    </w:p>
    <w:p w14:paraId="6E031B6E" w14:textId="77777777" w:rsidR="003716FE" w:rsidRPr="00927A7C" w:rsidRDefault="003716FE" w:rsidP="00950644">
      <w:pPr>
        <w:spacing w:line="259" w:lineRule="auto"/>
        <w:ind w:firstLine="993"/>
        <w:contextualSpacing/>
        <w:jc w:val="both"/>
        <w:rPr>
          <w:rFonts w:ascii="Times New Roman" w:eastAsia="Calibri" w:hAnsi="Times New Roman" w:cs="Times New Roman"/>
          <w:i/>
          <w:iCs/>
          <w:highlight w:val="yellow"/>
        </w:rPr>
      </w:pPr>
    </w:p>
    <w:p w14:paraId="5BB325CA" w14:textId="0801C0EC" w:rsidR="00CD56D7" w:rsidRDefault="003716FE" w:rsidP="00CD56D7">
      <w:pPr>
        <w:spacing w:line="259" w:lineRule="auto"/>
        <w:ind w:firstLine="993"/>
        <w:contextualSpacing/>
        <w:jc w:val="both"/>
        <w:rPr>
          <w:rFonts w:ascii="Times New Roman" w:eastAsia="Calibri" w:hAnsi="Times New Roman" w:cs="Times New Roman"/>
          <w:b/>
          <w:bCs/>
        </w:rPr>
      </w:pPr>
      <w:r w:rsidRPr="00525A88">
        <w:rPr>
          <w:rFonts w:ascii="Times New Roman" w:eastAsia="Calibri" w:hAnsi="Times New Roman" w:cs="Times New Roman"/>
          <w:b/>
          <w:bCs/>
        </w:rPr>
        <w:t>Atsakymas.</w:t>
      </w:r>
    </w:p>
    <w:p w14:paraId="57E8BE2D" w14:textId="205B9EDE" w:rsidR="00D702CB" w:rsidRPr="00D702CB" w:rsidRDefault="00EB6D3D" w:rsidP="00D702CB">
      <w:pPr>
        <w:spacing w:line="259" w:lineRule="auto"/>
        <w:ind w:firstLine="993"/>
        <w:contextualSpacing/>
        <w:jc w:val="both"/>
        <w:rPr>
          <w:rFonts w:ascii="Times New Roman" w:eastAsia="Calibri" w:hAnsi="Times New Roman" w:cs="Times New Roman"/>
          <w:b/>
          <w:bCs/>
        </w:rPr>
      </w:pPr>
      <w:r>
        <w:rPr>
          <w:rFonts w:ascii="Times New Roman" w:eastAsia="Calibri" w:hAnsi="Times New Roman" w:cs="Times New Roman"/>
          <w:b/>
          <w:bCs/>
        </w:rPr>
        <w:t>1</w:t>
      </w:r>
      <w:r w:rsidR="004536FD">
        <w:rPr>
          <w:rFonts w:ascii="Times New Roman" w:eastAsia="Calibri" w:hAnsi="Times New Roman" w:cs="Times New Roman"/>
          <w:b/>
          <w:bCs/>
        </w:rPr>
        <w:t>)</w:t>
      </w:r>
      <w:r>
        <w:rPr>
          <w:rFonts w:ascii="Times New Roman" w:eastAsia="Calibri" w:hAnsi="Times New Roman" w:cs="Times New Roman"/>
          <w:b/>
          <w:bCs/>
        </w:rPr>
        <w:tab/>
      </w:r>
      <w:r w:rsidR="00D702CB" w:rsidRPr="00D702CB">
        <w:rPr>
          <w:rFonts w:ascii="Times New Roman" w:eastAsia="Calibri" w:hAnsi="Times New Roman" w:cs="Times New Roman"/>
          <w:kern w:val="0"/>
          <w:szCs w:val="22"/>
          <w14:ligatures w14:val="none"/>
        </w:rPr>
        <w:t xml:space="preserve">Taip, bus laikoma, kad tiekėjas atitinka kvalifikacinį reikalavimą. Siekdami aiškumo, papildomai patiksliname </w:t>
      </w:r>
      <w:r w:rsidR="00362C4A">
        <w:rPr>
          <w:rFonts w:ascii="Times New Roman" w:eastAsia="Calibri" w:hAnsi="Times New Roman" w:cs="Times New Roman"/>
          <w:kern w:val="0"/>
          <w:szCs w:val="22"/>
          <w14:ligatures w14:val="none"/>
        </w:rPr>
        <w:t>p</w:t>
      </w:r>
      <w:r w:rsidR="00D702CB" w:rsidRPr="00D702CB">
        <w:rPr>
          <w:rFonts w:ascii="Times New Roman" w:eastAsia="Calibri" w:hAnsi="Times New Roman" w:cs="Times New Roman"/>
          <w:kern w:val="0"/>
          <w:szCs w:val="22"/>
          <w14:ligatures w14:val="none"/>
        </w:rPr>
        <w:t>irkimo specialiųjų sąlygų 4 priedo lentelės „Tiekėjų kvalifikacijos reikalavimai“ 2 punktą ir jį išdėstome taip:</w:t>
      </w:r>
      <w:r w:rsidR="00CC4DC7" w:rsidRPr="00867279">
        <w:rPr>
          <w:rFonts w:ascii="Times New Roman" w:eastAsia="Calibri" w:hAnsi="Times New Roman" w:cs="Times New Roman"/>
          <w:kern w:val="0"/>
          <w:szCs w:val="22"/>
          <w14:ligatures w14:val="none"/>
        </w:rPr>
        <w:br/>
      </w: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4110"/>
      </w:tblGrid>
      <w:tr w:rsidR="00061F01" w:rsidRPr="00061F01" w14:paraId="4702E0B5" w14:textId="77777777" w:rsidTr="00061F01">
        <w:trPr>
          <w:trHeight w:val="555"/>
        </w:trPr>
        <w:tc>
          <w:tcPr>
            <w:tcW w:w="709" w:type="dxa"/>
            <w:tcBorders>
              <w:top w:val="single" w:sz="4" w:space="0" w:color="auto"/>
              <w:left w:val="single" w:sz="4" w:space="0" w:color="auto"/>
              <w:bottom w:val="single" w:sz="4" w:space="0" w:color="auto"/>
              <w:right w:val="single" w:sz="4" w:space="0" w:color="auto"/>
            </w:tcBorders>
          </w:tcPr>
          <w:p w14:paraId="14430C7E" w14:textId="77777777" w:rsidR="00061F01" w:rsidRPr="00061F01" w:rsidRDefault="00061F01" w:rsidP="00061F01">
            <w:pPr>
              <w:spacing w:after="0" w:line="256" w:lineRule="auto"/>
              <w:jc w:val="center"/>
              <w:rPr>
                <w:rFonts w:ascii="Times New Roman" w:eastAsia="Calibri" w:hAnsi="Times New Roman" w:cs="Times New Roman"/>
                <w:kern w:val="0"/>
                <w:highlight w:val="yellow"/>
                <w14:ligatures w14:val="none"/>
              </w:rPr>
            </w:pPr>
            <w:r w:rsidRPr="00061F01">
              <w:rPr>
                <w:rFonts w:ascii="Times New Roman" w:eastAsia="Calibri" w:hAnsi="Times New Roman" w:cs="Times New Roman"/>
                <w:kern w:val="0"/>
                <w14:ligatures w14:val="none"/>
              </w:rPr>
              <w:lastRenderedPageBreak/>
              <w:t>2.</w:t>
            </w:r>
          </w:p>
        </w:tc>
        <w:tc>
          <w:tcPr>
            <w:tcW w:w="4253" w:type="dxa"/>
            <w:tcBorders>
              <w:top w:val="single" w:sz="4" w:space="0" w:color="000000"/>
              <w:left w:val="single" w:sz="4" w:space="0" w:color="000000"/>
              <w:bottom w:val="single" w:sz="4" w:space="0" w:color="000000"/>
              <w:right w:val="single" w:sz="4" w:space="0" w:color="000000"/>
            </w:tcBorders>
          </w:tcPr>
          <w:p w14:paraId="6B42EAF4" w14:textId="3BACCE08" w:rsidR="00061F01" w:rsidRPr="00061F01" w:rsidRDefault="00061F01" w:rsidP="00061F01">
            <w:pPr>
              <w:autoSpaceDE w:val="0"/>
              <w:autoSpaceDN w:val="0"/>
              <w:adjustRightInd w:val="0"/>
              <w:spacing w:after="0" w:line="23" w:lineRule="atLeast"/>
              <w:jc w:val="both"/>
              <w:rPr>
                <w:rFonts w:ascii="Times New Roman" w:eastAsia="Calibri" w:hAnsi="Times New Roman" w:cs="Times New Roman"/>
              </w:rPr>
            </w:pPr>
            <w:r w:rsidRPr="00584926">
              <w:rPr>
                <w:rFonts w:ascii="Times New Roman" w:eastAsia="Calibri" w:hAnsi="Times New Roman" w:cs="Times New Roman"/>
              </w:rPr>
              <w:t xml:space="preserve">Tiekėjas per paskutinius 5 metus arba per laiką nuo tiekėjo įregistravimo dienos (jeigu tiekėjas vykdo veiklą mažiau nei 5 metus) iki pasiūlymo pateikimo termino pabaigos yra tinkamai </w:t>
            </w:r>
            <w:r w:rsidR="00AF2520" w:rsidRPr="00584926">
              <w:rPr>
                <w:rFonts w:ascii="Times New Roman" w:eastAsia="Calibri" w:hAnsi="Times New Roman" w:cs="Times New Roman"/>
              </w:rPr>
              <w:t>atlikęs</w:t>
            </w:r>
            <w:r w:rsidRPr="00584926">
              <w:rPr>
                <w:rFonts w:ascii="Times New Roman" w:eastAsia="Calibri" w:hAnsi="Times New Roman" w:cs="Times New Roman"/>
              </w:rPr>
              <w:t xml:space="preserve"> savivaldybės arba savivaldybės dalies bendrojo plano (kuris įstatymų nustatyta tvarka būtų patvirtintas ir įregistruotas  teisės aktuose nustatyta tvarka)  (užsienio šalies – lygiaverčio)) parengimo ir (ar) keitimo ir (ar) koregavimo paslaugų,</w:t>
            </w:r>
            <w:r w:rsidRPr="00584926">
              <w:rPr>
                <w:rFonts w:ascii="Times New Roman" w:eastAsia="Calibri" w:hAnsi="Times New Roman" w:cs="Times New Roman"/>
                <w:kern w:val="0"/>
                <w:sz w:val="21"/>
                <w:szCs w:val="21"/>
                <w:lang w:eastAsia="lt-LT"/>
                <w14:ligatures w14:val="none"/>
              </w:rPr>
              <w:t xml:space="preserve"> </w:t>
            </w:r>
            <w:r w:rsidRPr="00584926">
              <w:rPr>
                <w:rFonts w:ascii="Times New Roman" w:eastAsia="Calibri" w:hAnsi="Times New Roman" w:cs="Times New Roman"/>
              </w:rPr>
              <w:t>kurių vertė ne mažesnė kaip 30 000,00 Eur be PVM.</w:t>
            </w:r>
          </w:p>
          <w:p w14:paraId="013C80CA" w14:textId="77777777" w:rsidR="00061F01" w:rsidRPr="00061F01" w:rsidRDefault="00061F01" w:rsidP="00061F01">
            <w:pPr>
              <w:autoSpaceDE w:val="0"/>
              <w:autoSpaceDN w:val="0"/>
              <w:adjustRightInd w:val="0"/>
              <w:spacing w:after="0" w:line="23" w:lineRule="atLeast"/>
              <w:jc w:val="both"/>
              <w:rPr>
                <w:rFonts w:ascii="Times New Roman" w:eastAsia="Calibri" w:hAnsi="Times New Roman" w:cs="Times New Roman"/>
                <w:i/>
                <w:iCs/>
              </w:rPr>
            </w:pPr>
          </w:p>
          <w:p w14:paraId="09257976" w14:textId="77777777" w:rsidR="00061F01" w:rsidRPr="00061F01" w:rsidRDefault="00061F01" w:rsidP="00061F01">
            <w:pPr>
              <w:autoSpaceDE w:val="0"/>
              <w:autoSpaceDN w:val="0"/>
              <w:adjustRightInd w:val="0"/>
              <w:spacing w:after="0" w:line="23" w:lineRule="atLeast"/>
              <w:jc w:val="both"/>
              <w:rPr>
                <w:rFonts w:ascii="Times New Roman" w:eastAsia="Calibri" w:hAnsi="Times New Roman" w:cs="Times New Roman"/>
                <w:i/>
                <w:iCs/>
              </w:rPr>
            </w:pPr>
            <w:r w:rsidRPr="00061F01">
              <w:rPr>
                <w:rFonts w:ascii="Times New Roman" w:eastAsia="Calibri" w:hAnsi="Times New Roman" w:cs="Times New Roman"/>
                <w:i/>
                <w:iCs/>
              </w:rPr>
              <w:t>Pastabos:</w:t>
            </w:r>
          </w:p>
          <w:p w14:paraId="7DB1608F" w14:textId="77777777" w:rsidR="00061F01" w:rsidRPr="00061F01" w:rsidRDefault="00061F01" w:rsidP="00061F01">
            <w:pPr>
              <w:autoSpaceDE w:val="0"/>
              <w:autoSpaceDN w:val="0"/>
              <w:adjustRightInd w:val="0"/>
              <w:spacing w:after="0" w:line="23" w:lineRule="atLeast"/>
              <w:jc w:val="both"/>
              <w:rPr>
                <w:rFonts w:ascii="Times New Roman" w:eastAsia="Calibri" w:hAnsi="Times New Roman" w:cs="Times New Roman"/>
                <w:i/>
                <w:iCs/>
              </w:rPr>
            </w:pPr>
            <w:r w:rsidRPr="00061F01">
              <w:rPr>
                <w:rFonts w:ascii="Times New Roman" w:eastAsia="Calibri" w:hAnsi="Times New Roman" w:cs="Times New Roman"/>
                <w:i/>
                <w:iCs/>
              </w:rPr>
              <w:t>- jeigu pasiūlymą teikia ūkio subjektų grupė – reikalavimą turi atitikti visi ūkio subjektų grupės nariai kartu (ūkio subjektų grupės narių turima patirtis sumuojama), atsižvelgiant į jų prisiimamus įsipareigojimus;</w:t>
            </w:r>
          </w:p>
          <w:p w14:paraId="18D2383D" w14:textId="77777777" w:rsidR="00061F01" w:rsidRPr="00061F01" w:rsidRDefault="00061F01" w:rsidP="00061F01">
            <w:pPr>
              <w:autoSpaceDE w:val="0"/>
              <w:autoSpaceDN w:val="0"/>
              <w:adjustRightInd w:val="0"/>
              <w:spacing w:after="0" w:line="23" w:lineRule="atLeast"/>
              <w:jc w:val="both"/>
              <w:rPr>
                <w:rFonts w:ascii="Times New Roman" w:eastAsia="Calibri" w:hAnsi="Times New Roman" w:cs="Times New Roman"/>
                <w:i/>
                <w:iCs/>
              </w:rPr>
            </w:pPr>
            <w:r w:rsidRPr="00061F01">
              <w:rPr>
                <w:rFonts w:ascii="Times New Roman" w:eastAsia="Calibri" w:hAnsi="Times New Roman" w:cs="Times New Roman"/>
                <w:i/>
                <w:iCs/>
              </w:rPr>
              <w:t>- tiekėjas gali remtis kitų ūkio subjektų pajėgumais tik tuo atveju, jeigu tie subjektai patys vykdys tą pirkimo sutarties dalį, kuriai reikia jų turimų pajėgumų;</w:t>
            </w:r>
          </w:p>
          <w:p w14:paraId="53C435C7" w14:textId="77777777" w:rsidR="00061F01" w:rsidRPr="00061F01" w:rsidRDefault="00061F01" w:rsidP="00061F01">
            <w:pPr>
              <w:autoSpaceDE w:val="0"/>
              <w:autoSpaceDN w:val="0"/>
              <w:adjustRightInd w:val="0"/>
              <w:spacing w:after="0" w:line="23" w:lineRule="atLeast"/>
              <w:jc w:val="both"/>
              <w:rPr>
                <w:rFonts w:ascii="Times New Roman" w:eastAsia="Calibri" w:hAnsi="Times New Roman" w:cs="Times New Roman"/>
                <w:i/>
                <w:iCs/>
              </w:rPr>
            </w:pPr>
            <w:r w:rsidRPr="00061F01">
              <w:rPr>
                <w:rFonts w:ascii="Times New Roman" w:eastAsia="Calibri" w:hAnsi="Times New Roman" w:cs="Times New Roman"/>
                <w:i/>
                <w:iCs/>
              </w:rPr>
              <w:t>- subtiekėjams šis reikalavimas nenustatomas;</w:t>
            </w:r>
          </w:p>
          <w:p w14:paraId="29500749" w14:textId="77777777" w:rsidR="00061F01" w:rsidRPr="00061F01" w:rsidRDefault="00061F01" w:rsidP="00061F01">
            <w:pPr>
              <w:autoSpaceDE w:val="0"/>
              <w:autoSpaceDN w:val="0"/>
              <w:adjustRightInd w:val="0"/>
              <w:spacing w:after="0" w:line="23" w:lineRule="atLeast"/>
              <w:jc w:val="both"/>
              <w:rPr>
                <w:rFonts w:ascii="Times New Roman" w:eastAsia="Calibri" w:hAnsi="Times New Roman" w:cs="Times New Roman"/>
                <w:i/>
                <w:iCs/>
              </w:rPr>
            </w:pPr>
            <w:r w:rsidRPr="00061F01">
              <w:rPr>
                <w:rFonts w:ascii="Times New Roman" w:eastAsia="Calibri" w:hAnsi="Times New Roman" w:cs="Times New Roman"/>
                <w:i/>
                <w:iCs/>
              </w:rPr>
              <w:t>- Tiekėjui nedraudžiama remtis sutartimi, kurią tiekėjas vykdė ne vienas, bet kartu su kitais ūkio subjektais. Tačiau tokiu atveju bus vertinami būtent konkretaus tiekėjo, dalyvaujančio viešajame pirkime, suteiktos paslaugos, jų apimtis, o ne visas vykdytos sutarties objektas.</w:t>
            </w:r>
          </w:p>
        </w:tc>
        <w:tc>
          <w:tcPr>
            <w:tcW w:w="4110" w:type="dxa"/>
            <w:tcBorders>
              <w:top w:val="single" w:sz="4" w:space="0" w:color="000000"/>
              <w:left w:val="single" w:sz="4" w:space="0" w:color="000000"/>
              <w:bottom w:val="single" w:sz="4" w:space="0" w:color="000000"/>
              <w:right w:val="single" w:sz="4" w:space="0" w:color="000000"/>
            </w:tcBorders>
          </w:tcPr>
          <w:p w14:paraId="7E3435E3" w14:textId="77777777" w:rsidR="00061F01" w:rsidRPr="00061F01" w:rsidRDefault="00061F01" w:rsidP="00061F01">
            <w:pPr>
              <w:autoSpaceDE w:val="0"/>
              <w:autoSpaceDN w:val="0"/>
              <w:adjustRightInd w:val="0"/>
              <w:spacing w:after="0" w:line="23" w:lineRule="atLeast"/>
              <w:jc w:val="both"/>
              <w:rPr>
                <w:rFonts w:ascii="Times New Roman" w:eastAsia="Calibri" w:hAnsi="Times New Roman" w:cs="Times New Roman"/>
                <w:kern w:val="0"/>
                <w:lang w:eastAsia="lt-LT"/>
                <w14:ligatures w14:val="none"/>
              </w:rPr>
            </w:pPr>
            <w:r w:rsidRPr="00061F01">
              <w:rPr>
                <w:rFonts w:ascii="Times New Roman" w:eastAsia="Calibri" w:hAnsi="Times New Roman" w:cs="Times New Roman"/>
                <w:kern w:val="0"/>
                <w:lang w:eastAsia="lt-LT"/>
                <w14:ligatures w14:val="none"/>
              </w:rPr>
              <w:t>Pateikti sąrašą pagal pirkimo specialiųjų sąlygų 8 priede pateiktą formą kartu su užsakovų pažymomis (ar atsiliepimais).</w:t>
            </w:r>
          </w:p>
          <w:p w14:paraId="34043269" w14:textId="77777777" w:rsidR="00061F01" w:rsidRPr="00061F01" w:rsidRDefault="00061F01" w:rsidP="00061F01">
            <w:pPr>
              <w:autoSpaceDE w:val="0"/>
              <w:autoSpaceDN w:val="0"/>
              <w:adjustRightInd w:val="0"/>
              <w:spacing w:after="0" w:line="23" w:lineRule="atLeast"/>
              <w:jc w:val="both"/>
              <w:rPr>
                <w:rFonts w:ascii="Times New Roman" w:eastAsia="Calibri" w:hAnsi="Times New Roman" w:cs="Times New Roman"/>
                <w:kern w:val="0"/>
                <w:lang w:eastAsia="lt-LT"/>
                <w14:ligatures w14:val="none"/>
              </w:rPr>
            </w:pPr>
            <w:r w:rsidRPr="00061F01">
              <w:rPr>
                <w:rFonts w:ascii="Times New Roman" w:eastAsia="Calibri" w:hAnsi="Times New Roman" w:cs="Times New Roman"/>
                <w:kern w:val="0"/>
                <w:lang w:eastAsia="lt-LT"/>
                <w14:ligatures w14:val="none"/>
              </w:rPr>
              <w:t>Užsakovų pažymose (ar atsiliepimuose) turi būti nurodomas tiekėjo/tiekėjo grupės partnerių/subtiekėjų, kurių pajėgumais tiekėjas remiasi, suteiktų paslaugų pavadinimas/apibūdinimas, per reikalaujamą laikotarpį suteiktų paslaugų vertė, tikslios datos (metai, mėnuo, diena) ir kad paslaugų suteikimas ir galutiniai rezultatai buvo tinkami.</w:t>
            </w:r>
          </w:p>
          <w:p w14:paraId="200EC42F" w14:textId="77777777" w:rsidR="00061F01" w:rsidRPr="00061F01" w:rsidRDefault="00061F01" w:rsidP="00061F01">
            <w:pPr>
              <w:autoSpaceDE w:val="0"/>
              <w:autoSpaceDN w:val="0"/>
              <w:adjustRightInd w:val="0"/>
              <w:spacing w:after="0" w:line="23" w:lineRule="atLeast"/>
              <w:jc w:val="both"/>
              <w:rPr>
                <w:rFonts w:ascii="Times New Roman" w:eastAsia="Calibri" w:hAnsi="Times New Roman" w:cs="Times New Roman"/>
                <w:kern w:val="0"/>
                <w:lang w:eastAsia="lt-LT"/>
                <w14:ligatures w14:val="none"/>
              </w:rPr>
            </w:pPr>
          </w:p>
          <w:p w14:paraId="7188F0F9" w14:textId="77777777" w:rsidR="00061F01" w:rsidRPr="00061F01" w:rsidRDefault="00061F01" w:rsidP="00061F01">
            <w:pPr>
              <w:autoSpaceDE w:val="0"/>
              <w:autoSpaceDN w:val="0"/>
              <w:adjustRightInd w:val="0"/>
              <w:spacing w:after="0" w:line="23" w:lineRule="atLeast"/>
              <w:jc w:val="both"/>
              <w:rPr>
                <w:rFonts w:ascii="Times New Roman" w:eastAsia="Calibri" w:hAnsi="Times New Roman" w:cs="Times New Roman"/>
                <w:kern w:val="0"/>
                <w:lang w:eastAsia="lt-LT"/>
                <w14:ligatures w14:val="none"/>
              </w:rPr>
            </w:pPr>
            <w:r w:rsidRPr="00061F01">
              <w:rPr>
                <w:rFonts w:ascii="Times New Roman" w:eastAsia="Calibri" w:hAnsi="Times New Roman" w:cs="Times New Roman"/>
                <w:kern w:val="0"/>
                <w:lang w:eastAsia="lt-LT"/>
                <w14:ligatures w14:val="none"/>
              </w:rPr>
              <w:t>Užsakovų pažymose (ar atsiliepimuose) pateikta informacija turi sutapti su pirkimo specialiųjų sąlygų 8 priede pateikta informacija.</w:t>
            </w:r>
          </w:p>
          <w:p w14:paraId="2D917F9D" w14:textId="77777777" w:rsidR="00061F01" w:rsidRPr="00061F01" w:rsidRDefault="00061F01" w:rsidP="00061F01">
            <w:pPr>
              <w:autoSpaceDE w:val="0"/>
              <w:autoSpaceDN w:val="0"/>
              <w:adjustRightInd w:val="0"/>
              <w:spacing w:after="0" w:line="23" w:lineRule="atLeast"/>
              <w:jc w:val="both"/>
              <w:rPr>
                <w:rFonts w:ascii="Times New Roman" w:eastAsia="Calibri" w:hAnsi="Times New Roman" w:cs="Times New Roman"/>
                <w:kern w:val="0"/>
                <w:lang w:eastAsia="lt-LT"/>
                <w14:ligatures w14:val="none"/>
              </w:rPr>
            </w:pPr>
          </w:p>
          <w:p w14:paraId="41D966F4" w14:textId="77777777" w:rsidR="00061F01" w:rsidRPr="00061F01" w:rsidRDefault="00061F01" w:rsidP="00061F01">
            <w:pPr>
              <w:autoSpaceDE w:val="0"/>
              <w:autoSpaceDN w:val="0"/>
              <w:adjustRightInd w:val="0"/>
              <w:spacing w:after="0" w:line="23" w:lineRule="atLeast"/>
              <w:jc w:val="both"/>
              <w:rPr>
                <w:rFonts w:ascii="Times New Roman" w:eastAsia="Calibri" w:hAnsi="Times New Roman" w:cs="Times New Roman"/>
                <w:kern w:val="0"/>
                <w:lang w:eastAsia="lt-LT"/>
                <w14:ligatures w14:val="none"/>
              </w:rPr>
            </w:pPr>
          </w:p>
          <w:p w14:paraId="4C4F6BF7" w14:textId="77777777" w:rsidR="00061F01" w:rsidRPr="00061F01" w:rsidRDefault="00061F01" w:rsidP="00061F01">
            <w:pPr>
              <w:autoSpaceDE w:val="0"/>
              <w:autoSpaceDN w:val="0"/>
              <w:adjustRightInd w:val="0"/>
              <w:spacing w:after="0" w:line="23" w:lineRule="atLeast"/>
              <w:jc w:val="both"/>
              <w:rPr>
                <w:rFonts w:ascii="Times New Roman" w:eastAsia="Calibri" w:hAnsi="Times New Roman" w:cs="Times New Roman"/>
                <w:i/>
                <w:iCs/>
                <w:kern w:val="0"/>
                <w:lang w:eastAsia="lt-LT"/>
                <w14:ligatures w14:val="none"/>
              </w:rPr>
            </w:pPr>
            <w:r w:rsidRPr="00061F01">
              <w:rPr>
                <w:rFonts w:ascii="Times New Roman" w:eastAsia="Calibri" w:hAnsi="Times New Roman" w:cs="Times New Roman"/>
                <w:i/>
                <w:iCs/>
                <w:kern w:val="0"/>
                <w:lang w:eastAsia="lt-LT"/>
                <w14:ligatures w14:val="none"/>
              </w:rPr>
              <w:t>Pateikiami skenuoti dokumentai elektroninėje formoje ar pasirašyti el. parašu.</w:t>
            </w:r>
          </w:p>
          <w:p w14:paraId="1DEDCDF5" w14:textId="77777777" w:rsidR="00061F01" w:rsidRPr="00061F01" w:rsidRDefault="00061F01" w:rsidP="00061F01">
            <w:pPr>
              <w:spacing w:after="0" w:line="240" w:lineRule="auto"/>
              <w:jc w:val="both"/>
              <w:rPr>
                <w:rFonts w:ascii="Times New Roman" w:eastAsia="Times New Roman" w:hAnsi="Times New Roman" w:cs="Times New Roman"/>
                <w:highlight w:val="yellow"/>
              </w:rPr>
            </w:pPr>
          </w:p>
        </w:tc>
      </w:tr>
    </w:tbl>
    <w:p w14:paraId="374B1780" w14:textId="77777777" w:rsidR="00EB6D3D" w:rsidRDefault="00EB6D3D" w:rsidP="00CD56D7">
      <w:pPr>
        <w:spacing w:line="259" w:lineRule="auto"/>
        <w:ind w:firstLine="993"/>
        <w:contextualSpacing/>
        <w:jc w:val="both"/>
        <w:rPr>
          <w:rFonts w:ascii="Times New Roman" w:eastAsia="Calibri" w:hAnsi="Times New Roman" w:cs="Times New Roman"/>
          <w:b/>
          <w:bCs/>
        </w:rPr>
      </w:pPr>
    </w:p>
    <w:p w14:paraId="09313165" w14:textId="77777777" w:rsidR="00CD56D7" w:rsidRDefault="00CD56D7" w:rsidP="00CD56D7">
      <w:pPr>
        <w:spacing w:line="259" w:lineRule="auto"/>
        <w:ind w:firstLine="993"/>
        <w:contextualSpacing/>
        <w:jc w:val="both"/>
        <w:rPr>
          <w:rFonts w:ascii="Times New Roman" w:eastAsia="Calibri" w:hAnsi="Times New Roman" w:cs="Times New Roman"/>
          <w:b/>
          <w:bCs/>
        </w:rPr>
      </w:pPr>
    </w:p>
    <w:p w14:paraId="2F5D02EF" w14:textId="3D2E39E7" w:rsidR="00F026BE" w:rsidRPr="000600B3" w:rsidRDefault="00F026BE" w:rsidP="00CD56D7">
      <w:pPr>
        <w:spacing w:line="259" w:lineRule="auto"/>
        <w:ind w:firstLine="993"/>
        <w:contextualSpacing/>
        <w:jc w:val="both"/>
        <w:rPr>
          <w:rFonts w:ascii="Times New Roman" w:eastAsia="Calibri" w:hAnsi="Times New Roman" w:cs="Times New Roman"/>
        </w:rPr>
      </w:pPr>
      <w:r>
        <w:rPr>
          <w:rFonts w:ascii="Times New Roman" w:eastAsia="Calibri" w:hAnsi="Times New Roman" w:cs="Times New Roman"/>
          <w:b/>
          <w:bCs/>
        </w:rPr>
        <w:t>2</w:t>
      </w:r>
      <w:r w:rsidR="004536FD">
        <w:rPr>
          <w:rFonts w:ascii="Times New Roman" w:eastAsia="Calibri" w:hAnsi="Times New Roman" w:cs="Times New Roman"/>
          <w:b/>
          <w:bCs/>
        </w:rPr>
        <w:t>)</w:t>
      </w:r>
      <w:r>
        <w:rPr>
          <w:rFonts w:ascii="Times New Roman" w:eastAsia="Calibri" w:hAnsi="Times New Roman" w:cs="Times New Roman"/>
          <w:b/>
          <w:bCs/>
        </w:rPr>
        <w:t xml:space="preserve"> </w:t>
      </w:r>
      <w:r w:rsidR="004536FD" w:rsidRPr="004536FD">
        <w:rPr>
          <w:rFonts w:ascii="Times New Roman" w:eastAsia="Calibri" w:hAnsi="Times New Roman" w:cs="Times New Roman"/>
        </w:rPr>
        <w:t xml:space="preserve">Daugų miesto teritorijos bendrojo plano keitimo planuojama teritorija – visa dabar galiojančiu Daugų miesto teritorijos bendrojo planu suplanuota teritorija. BP keitimas bus vykdomas vadovaujantis Teritorijų planavimo įstatymo 28 str. </w:t>
      </w:r>
      <w:r w:rsidR="00F82D51">
        <w:rPr>
          <w:rFonts w:ascii="Times New Roman" w:eastAsia="Calibri" w:hAnsi="Times New Roman" w:cs="Times New Roman"/>
        </w:rPr>
        <w:t>„</w:t>
      </w:r>
      <w:r w:rsidR="004536FD" w:rsidRPr="004536FD">
        <w:rPr>
          <w:rFonts w:ascii="Times New Roman" w:eastAsia="Calibri" w:hAnsi="Times New Roman" w:cs="Times New Roman"/>
        </w:rPr>
        <w:t>Kompleksinio teritorijų planavimo dokumentų keitimas ir koregavimas</w:t>
      </w:r>
      <w:r w:rsidR="00F82D51">
        <w:rPr>
          <w:rFonts w:ascii="Times New Roman" w:eastAsia="Calibri" w:hAnsi="Times New Roman" w:cs="Times New Roman"/>
        </w:rPr>
        <w:t>“</w:t>
      </w:r>
      <w:r w:rsidR="004536FD" w:rsidRPr="004536FD">
        <w:rPr>
          <w:rFonts w:ascii="Times New Roman" w:eastAsia="Calibri" w:hAnsi="Times New Roman" w:cs="Times New Roman"/>
        </w:rPr>
        <w:t xml:space="preserve"> 4 dalyje nustatyta tvarka be nurodytos išimties. TPDRIS nurodyta 164,8 ha yra techninė klaida, ji bus ištaisyta. Planavimo programoje ir techninėje specifikacijoje nurodyta planuojama teritorija – „Daugų miesto administracinių ribų teritorija“ reiškia, kad planavimo sprendiniai bus Daugų miesto administracinėse ribose atsisakant miesto plėtros į išorę.</w:t>
      </w:r>
      <w:r w:rsidR="004536FD">
        <w:rPr>
          <w:rFonts w:ascii="Times New Roman" w:eastAsia="Calibri" w:hAnsi="Times New Roman" w:cs="Times New Roman"/>
          <w:b/>
          <w:bCs/>
        </w:rPr>
        <w:t xml:space="preserve"> </w:t>
      </w:r>
      <w:r w:rsidR="00B5484E" w:rsidRPr="00F82D51">
        <w:rPr>
          <w:rFonts w:ascii="Times New Roman" w:eastAsia="Calibri" w:hAnsi="Times New Roman" w:cs="Times New Roman"/>
        </w:rPr>
        <w:t>Pridedame patikslintą techninę specifikaciją (pirkimo specialiųjų sąlygų 2 priedą).</w:t>
      </w:r>
    </w:p>
    <w:p w14:paraId="0C574D88" w14:textId="77777777" w:rsidR="00F026BE" w:rsidRDefault="00F026BE" w:rsidP="00CD56D7">
      <w:pPr>
        <w:spacing w:line="259" w:lineRule="auto"/>
        <w:ind w:firstLine="993"/>
        <w:contextualSpacing/>
        <w:jc w:val="both"/>
        <w:rPr>
          <w:rFonts w:ascii="Times New Roman" w:eastAsia="Calibri" w:hAnsi="Times New Roman" w:cs="Times New Roman"/>
          <w:b/>
          <w:bCs/>
        </w:rPr>
      </w:pPr>
    </w:p>
    <w:p w14:paraId="373A1D9A" w14:textId="1F620E35" w:rsidR="00136706" w:rsidRPr="00136706" w:rsidRDefault="00136706" w:rsidP="00136706">
      <w:pPr>
        <w:spacing w:after="0" w:line="240" w:lineRule="auto"/>
        <w:ind w:firstLine="993"/>
        <w:jc w:val="both"/>
        <w:rPr>
          <w:rFonts w:ascii="Times New Roman" w:eastAsia="Calibri" w:hAnsi="Times New Roman" w:cs="Times New Roman"/>
          <w:kern w:val="0"/>
          <w:szCs w:val="22"/>
          <w14:ligatures w14:val="none"/>
        </w:rPr>
      </w:pPr>
      <w:r>
        <w:rPr>
          <w:rFonts w:ascii="Times New Roman" w:eastAsia="Times New Roman" w:hAnsi="Times New Roman" w:cs="Times New Roman"/>
          <w:b/>
          <w:kern w:val="0"/>
          <w:lang w:eastAsia="lt-LT"/>
          <w14:ligatures w14:val="none"/>
        </w:rPr>
        <w:t>2</w:t>
      </w:r>
      <w:r w:rsidRPr="00136706">
        <w:rPr>
          <w:rFonts w:ascii="Times New Roman" w:eastAsia="Times New Roman" w:hAnsi="Times New Roman" w:cs="Times New Roman"/>
          <w:b/>
          <w:kern w:val="0"/>
          <w:lang w:eastAsia="lt-LT"/>
          <w14:ligatures w14:val="none"/>
        </w:rPr>
        <w:t>.</w:t>
      </w:r>
      <w:r>
        <w:rPr>
          <w:rFonts w:ascii="Times New Roman" w:eastAsia="Times New Roman" w:hAnsi="Times New Roman" w:cs="Times New Roman"/>
          <w:b/>
          <w:kern w:val="0"/>
          <w:lang w:eastAsia="lt-LT"/>
          <w14:ligatures w14:val="none"/>
        </w:rPr>
        <w:t xml:space="preserve"> </w:t>
      </w:r>
      <w:r w:rsidRPr="00136706">
        <w:rPr>
          <w:rFonts w:ascii="Times New Roman" w:eastAsia="Times New Roman" w:hAnsi="Times New Roman" w:cs="Times New Roman"/>
          <w:b/>
          <w:kern w:val="0"/>
          <w:lang w:eastAsia="lt-LT"/>
          <w14:ligatures w14:val="none"/>
        </w:rPr>
        <w:t>Klausimas (2026-0</w:t>
      </w:r>
      <w:r>
        <w:rPr>
          <w:rFonts w:ascii="Times New Roman" w:eastAsia="Times New Roman" w:hAnsi="Times New Roman" w:cs="Times New Roman"/>
          <w:b/>
          <w:kern w:val="0"/>
          <w:lang w:eastAsia="lt-LT"/>
          <w14:ligatures w14:val="none"/>
        </w:rPr>
        <w:t>3</w:t>
      </w:r>
      <w:r w:rsidRPr="00136706">
        <w:rPr>
          <w:rFonts w:ascii="Times New Roman" w:eastAsia="Times New Roman" w:hAnsi="Times New Roman" w:cs="Times New Roman"/>
          <w:b/>
          <w:kern w:val="0"/>
          <w:lang w:eastAsia="lt-LT"/>
          <w14:ligatures w14:val="none"/>
        </w:rPr>
        <w:t>-</w:t>
      </w:r>
      <w:r>
        <w:rPr>
          <w:rFonts w:ascii="Times New Roman" w:eastAsia="Times New Roman" w:hAnsi="Times New Roman" w:cs="Times New Roman"/>
          <w:b/>
          <w:kern w:val="0"/>
          <w:lang w:eastAsia="lt-LT"/>
          <w14:ligatures w14:val="none"/>
        </w:rPr>
        <w:t>02</w:t>
      </w:r>
      <w:r w:rsidRPr="00136706">
        <w:rPr>
          <w:rFonts w:ascii="Times New Roman" w:eastAsia="Times New Roman" w:hAnsi="Times New Roman" w:cs="Times New Roman"/>
          <w:b/>
          <w:kern w:val="0"/>
          <w:lang w:eastAsia="lt-LT"/>
          <w14:ligatures w14:val="none"/>
        </w:rPr>
        <w:t xml:space="preserve"> pranešimas ID 556407)</w:t>
      </w:r>
      <w:r w:rsidRPr="00136706">
        <w:rPr>
          <w:rFonts w:ascii="Times New Roman" w:eastAsia="Times New Roman" w:hAnsi="Times New Roman" w:cs="Times New Roman"/>
          <w:bCs/>
          <w:kern w:val="0"/>
          <w:lang w:eastAsia="lt-LT"/>
          <w14:ligatures w14:val="none"/>
        </w:rPr>
        <w:t>:</w:t>
      </w:r>
    </w:p>
    <w:p w14:paraId="34D3273F" w14:textId="77777777" w:rsidR="00E2254F" w:rsidRDefault="00136706" w:rsidP="00754CBA">
      <w:pPr>
        <w:spacing w:line="259" w:lineRule="auto"/>
        <w:ind w:firstLine="993"/>
        <w:contextualSpacing/>
        <w:jc w:val="both"/>
        <w:rPr>
          <w:rFonts w:ascii="Times New Roman" w:eastAsia="Calibri" w:hAnsi="Times New Roman" w:cs="Times New Roman"/>
          <w:kern w:val="0"/>
          <w:szCs w:val="22"/>
          <w14:ligatures w14:val="none"/>
        </w:rPr>
      </w:pPr>
      <w:r w:rsidRPr="00F90220">
        <w:rPr>
          <w:rFonts w:ascii="Times New Roman" w:eastAsia="Calibri" w:hAnsi="Times New Roman" w:cs="Times New Roman"/>
          <w:kern w:val="0"/>
          <w:szCs w:val="22"/>
          <w14:ligatures w14:val="none"/>
        </w:rPr>
        <w:t>„</w:t>
      </w:r>
      <w:r w:rsidR="00A66D77" w:rsidRPr="00A66D77">
        <w:rPr>
          <w:rFonts w:ascii="Times New Roman" w:eastAsia="Calibri" w:hAnsi="Times New Roman" w:cs="Times New Roman"/>
          <w:kern w:val="0"/>
          <w:szCs w:val="22"/>
          <w14:ligatures w14:val="none"/>
        </w:rPr>
        <w:t xml:space="preserve">Norime atkreipti dėmesį į Viešųjų pirkimų tarnybos patvirtintos Tiekėjų kvalifikacijos reikalavimų nustatymo metodikos 16 punkto paskutinį sakinį kuris teigia, kaip išdėstyta toliau: "Kai tinkamas numatomos sudaryti pirkimo sutarties įgyvendinimas priklauso nuo pirkimo sutartį vykdysiančių specialistų, toks pats kvalifikacijos reikalavimas dėl tokios </w:t>
      </w:r>
      <w:r w:rsidR="00A66D77" w:rsidRPr="00A66D77">
        <w:rPr>
          <w:rFonts w:ascii="Times New Roman" w:eastAsia="Calibri" w:hAnsi="Times New Roman" w:cs="Times New Roman"/>
          <w:kern w:val="0"/>
          <w:szCs w:val="22"/>
          <w14:ligatures w14:val="none"/>
        </w:rPr>
        <w:lastRenderedPageBreak/>
        <w:t>pačios patirties tiekėjui nenustatomas." Kitaip tariant konkurso specialiosiose sąlygose nustatydami techninio ir profesinio pajėgumo reikalavimą tiekėjui (kuriuo reikalaujama, kad tiekėjas būtų tinkamai atlikęs savivaldybės arba savivaldybės dalies bendrojo plano (kuris įstatymų nustatyta tvarka būtų patvirtintas ir įregistruotas teisės aktuose nustatyta tvarka) (užsienio šalies – lygiaverčio)) parengimą ir (ar) keitimą ir (ar) koregavimą, kurių vertė ne mažesnė kaip 30 000,00 Eur be PVM.) jūs pažeidžiate Tiekėjų kvalifikacijos reikalavimų nustatymo metodikos 16 punkto reikalavimus. Taip yra todėl, kad teritorijų planavimo vadovo atestatas yra įgyjamas tik turint aktualią bendrųjų planų rengimo patirtį ir išsilavinimą ir šio atestato pakanka įsitikinti tiekėjo techniniu ir profesiniu pajėgumu.</w:t>
      </w:r>
    </w:p>
    <w:p w14:paraId="5CF30594" w14:textId="3B896D39" w:rsidR="00E2254F" w:rsidRDefault="00A66D77" w:rsidP="00754CBA">
      <w:pPr>
        <w:spacing w:line="259" w:lineRule="auto"/>
        <w:ind w:firstLine="993"/>
        <w:contextualSpacing/>
        <w:jc w:val="both"/>
        <w:rPr>
          <w:rFonts w:ascii="Times New Roman" w:eastAsia="Calibri" w:hAnsi="Times New Roman" w:cs="Times New Roman"/>
          <w:kern w:val="0"/>
          <w:szCs w:val="22"/>
          <w14:ligatures w14:val="none"/>
        </w:rPr>
      </w:pPr>
      <w:r w:rsidRPr="00A66D77">
        <w:rPr>
          <w:rFonts w:ascii="Times New Roman" w:eastAsia="Calibri" w:hAnsi="Times New Roman" w:cs="Times New Roman"/>
          <w:kern w:val="0"/>
          <w:szCs w:val="22"/>
          <w14:ligatures w14:val="none"/>
        </w:rPr>
        <w:t xml:space="preserve">Viešųjų pirkimų tarnyba yra išaiškinusi kaip perkančiosios organizacijos turėtų elgtis panašioje situacijoje ir išaiškinimo turinys yra prieinamas viešojoje skaitmeninėje erdvėje toliau nurodytu adresu: </w:t>
      </w:r>
      <w:hyperlink r:id="rId7" w:history="1">
        <w:r w:rsidR="00E2254F" w:rsidRPr="00ED3870">
          <w:rPr>
            <w:rStyle w:val="Hipersaitas"/>
            <w:rFonts w:ascii="Times New Roman" w:eastAsia="Calibri" w:hAnsi="Times New Roman" w:cs="Times New Roman"/>
            <w:kern w:val="0"/>
            <w:szCs w:val="22"/>
            <w14:ligatures w14:val="none"/>
          </w:rPr>
          <w:t>https://klausk.vpt.lt/hc/lt/articles/360020727739-Jei-keliamas-reikalavimas-specialistui-tai-nebegalima-kelti-reikalavimo-tiekėjui</w:t>
        </w:r>
      </w:hyperlink>
    </w:p>
    <w:p w14:paraId="47A66E4D" w14:textId="77777777" w:rsidR="00E2254F" w:rsidRDefault="00A66D77" w:rsidP="00754CBA">
      <w:pPr>
        <w:spacing w:line="259" w:lineRule="auto"/>
        <w:ind w:firstLine="993"/>
        <w:contextualSpacing/>
        <w:jc w:val="both"/>
        <w:rPr>
          <w:rFonts w:ascii="Times New Roman" w:eastAsia="Calibri" w:hAnsi="Times New Roman" w:cs="Times New Roman"/>
          <w:kern w:val="0"/>
          <w:szCs w:val="22"/>
          <w14:ligatures w14:val="none"/>
        </w:rPr>
      </w:pPr>
      <w:r w:rsidRPr="00A66D77">
        <w:rPr>
          <w:rFonts w:ascii="Times New Roman" w:eastAsia="Calibri" w:hAnsi="Times New Roman" w:cs="Times New Roman"/>
          <w:kern w:val="0"/>
          <w:szCs w:val="22"/>
          <w14:ligatures w14:val="none"/>
        </w:rPr>
        <w:t>Patogumo dėlei išaiškinimą atkartojame toliau: "Kai kuriais atvejais tiekėjo techniniu ir profesiniu pajėgumu pirkimo vykdytojas geriau įsitikina nustatydamas patirties reikalavimą ne tiekėjui, o specialistui. Tiekėjas, kaip juridinis asmuo, yra atsakingas už žmogiškųjų, finansinių ir kt. išteklių organizavimą, tuo tarpu kokybiškos paslaugos teikimą, darbų atlikimą ar produkto sukūrimą užtikrina specialistai, turintys reikiamą išsilavinimą, kvalifikaciją ir patirtį. Taigi, tiekėjui negali būti nustatomi tokie kvalifikacijos reikalavimai, kurie savo esme įrodo ne tiekėjo, bet jo specialisto patirtį. Todėl jei sutarties įgyvendinimas tiesiogiai priklauso nuo konkrečių specialistų profesinės kvalifikacijos, tai būtent specialistų, o ne tiekėjo (juridinio asmens) kvalifikacija ir turi būti tikrinama - tokiu atveju toks pats reikalavimas negali būti nustatomas ir tiekėjui, ir jo specialistui. Tačiau gali būti nustatomas vienoks reikalavimas tiekėjui (toks, kuris savo esme įrodytų tiekėjo kvalifikaciją, patirtį) ir kitoks reikalavimas specialistui (kuris savo esme įrodytų specialisto kvalifikaciją, patirtį), jeigu konkrečiame pirkime abu reikalavimai yra pagrįstai būtini."</w:t>
      </w:r>
    </w:p>
    <w:p w14:paraId="2BF755BC" w14:textId="77777777" w:rsidR="00E2254F" w:rsidRDefault="00A66D77" w:rsidP="00754CBA">
      <w:pPr>
        <w:spacing w:line="259" w:lineRule="auto"/>
        <w:ind w:firstLine="993"/>
        <w:contextualSpacing/>
        <w:jc w:val="both"/>
        <w:rPr>
          <w:rFonts w:ascii="Times New Roman" w:eastAsia="Calibri" w:hAnsi="Times New Roman" w:cs="Times New Roman"/>
          <w:kern w:val="0"/>
          <w:szCs w:val="22"/>
          <w14:ligatures w14:val="none"/>
        </w:rPr>
      </w:pPr>
      <w:r w:rsidRPr="00A66D77">
        <w:rPr>
          <w:rFonts w:ascii="Times New Roman" w:eastAsia="Calibri" w:hAnsi="Times New Roman" w:cs="Times New Roman"/>
          <w:kern w:val="0"/>
          <w:szCs w:val="22"/>
          <w14:ligatures w14:val="none"/>
        </w:rPr>
        <w:t>Atsižvelgiant į aukščiau išdėstytus argumentus, teigiame kad techninio ir profesinio pajėgumo kvalifikacijos reikalavimas tiekėjui, kai jau yra nustatytas tokio paties charakterio reikalavimas specialistui, pažeidžia viešųjų pirkimų įstatyme (toliau VPĮ) identifikuotus proporcingumo ir lygiateisiškumo principus (nustatytus VPĮ 17 straipsnio 1 dalyje) bei dirbtinai sumažina konkurenciją ir pirkimu nepagrįstai yra sudaromos palankesnės sąlygos tam tikriems tiekėjams (pažeidžiama VPĮ 17straipsnio 3 dalis).</w:t>
      </w:r>
    </w:p>
    <w:p w14:paraId="785F7FF4" w14:textId="2A66AFE7" w:rsidR="00136706" w:rsidRPr="00E2254F" w:rsidRDefault="00A66D77" w:rsidP="00E2254F">
      <w:pPr>
        <w:spacing w:line="259" w:lineRule="auto"/>
        <w:ind w:firstLine="993"/>
        <w:contextualSpacing/>
        <w:jc w:val="both"/>
        <w:rPr>
          <w:rFonts w:ascii="Times New Roman" w:eastAsia="Calibri" w:hAnsi="Times New Roman" w:cs="Times New Roman"/>
          <w:kern w:val="0"/>
          <w:szCs w:val="22"/>
          <w14:ligatures w14:val="none"/>
        </w:rPr>
      </w:pPr>
      <w:r w:rsidRPr="00A66D77">
        <w:rPr>
          <w:rFonts w:ascii="Times New Roman" w:eastAsia="Calibri" w:hAnsi="Times New Roman" w:cs="Times New Roman"/>
          <w:kern w:val="0"/>
          <w:szCs w:val="22"/>
          <w14:ligatures w14:val="none"/>
        </w:rPr>
        <w:t>Atsižvelgdami į išdėstytus argumentus prašome konkurso kvalifikacijos reikalavimuose netaikyti techninio ir profesinio pajėgumo reikalavimo tiekėjui</w:t>
      </w:r>
      <w:r w:rsidR="00E2254F">
        <w:rPr>
          <w:rFonts w:ascii="Times New Roman" w:eastAsia="Calibri" w:hAnsi="Times New Roman" w:cs="Times New Roman"/>
          <w:kern w:val="0"/>
          <w:szCs w:val="22"/>
          <w14:ligatures w14:val="none"/>
        </w:rPr>
        <w:t xml:space="preserve"> </w:t>
      </w:r>
      <w:r w:rsidR="00136706" w:rsidRPr="004727D8">
        <w:rPr>
          <w:rFonts w:ascii="Times New Roman" w:eastAsia="Calibri" w:hAnsi="Times New Roman" w:cs="Times New Roman"/>
          <w:i/>
          <w:iCs/>
        </w:rPr>
        <w:t>(kalba netaisyta).“</w:t>
      </w:r>
    </w:p>
    <w:p w14:paraId="65B92865" w14:textId="77777777" w:rsidR="000600B3" w:rsidRDefault="000600B3" w:rsidP="00CD56D7">
      <w:pPr>
        <w:spacing w:line="259" w:lineRule="auto"/>
        <w:ind w:firstLine="993"/>
        <w:contextualSpacing/>
        <w:jc w:val="both"/>
        <w:rPr>
          <w:rFonts w:ascii="Times New Roman" w:eastAsia="Calibri" w:hAnsi="Times New Roman" w:cs="Times New Roman"/>
          <w:b/>
          <w:bCs/>
        </w:rPr>
      </w:pPr>
    </w:p>
    <w:p w14:paraId="4E2C0260" w14:textId="77777777" w:rsidR="00094746" w:rsidRDefault="00E036D3" w:rsidP="00094746">
      <w:pPr>
        <w:spacing w:line="259" w:lineRule="auto"/>
        <w:ind w:firstLine="993"/>
        <w:contextualSpacing/>
        <w:jc w:val="both"/>
        <w:rPr>
          <w:rFonts w:ascii="Times New Roman" w:eastAsia="Calibri" w:hAnsi="Times New Roman" w:cs="Times New Roman"/>
          <w:kern w:val="0"/>
          <w:szCs w:val="22"/>
          <w14:ligatures w14:val="none"/>
        </w:rPr>
      </w:pPr>
      <w:r w:rsidRPr="00525A88">
        <w:rPr>
          <w:rFonts w:ascii="Times New Roman" w:eastAsia="Calibri" w:hAnsi="Times New Roman" w:cs="Times New Roman"/>
          <w:b/>
          <w:bCs/>
        </w:rPr>
        <w:t>Atsakymas</w:t>
      </w:r>
      <w:r w:rsidRPr="00E036D3">
        <w:rPr>
          <w:rFonts w:ascii="Times New Roman" w:eastAsia="Calibri" w:hAnsi="Times New Roman" w:cs="Times New Roman"/>
          <w:kern w:val="0"/>
          <w:szCs w:val="22"/>
          <w14:ligatures w14:val="none"/>
        </w:rPr>
        <w:t xml:space="preserve">. </w:t>
      </w:r>
      <w:r w:rsidR="00094746" w:rsidRPr="00094746">
        <w:rPr>
          <w:rFonts w:ascii="Times New Roman" w:eastAsia="Calibri" w:hAnsi="Times New Roman" w:cs="Times New Roman"/>
          <w:kern w:val="0"/>
          <w:szCs w:val="22"/>
          <w14:ligatures w14:val="none"/>
        </w:rPr>
        <w:t>Pažymime, kad kvalifikacijos reikalavimai nustatyti atsižvelgiant į Viešųjų pirkimų tarnybos direktoriaus patvirtintą Tiekėjo kvalifikacijos reikalavimų nustatymo metodiką (toliau – Metodika). Metodikos 16 punkto paskutinė nuostata draudžia nustatyti tokį patį kvalifikacijos reikalavimą tiekėjui ir specialistui, kai juo iš esmės tikrinama ta pati patirtis. Tačiau Metodikoje taip pat aiškiai nurodyta, kad gali būti nustatomi skirtingi reikalavimai tiekėjui ir specialistui, jeigu abu jie yra pagrįstai būtini konkrečiam pirkimui ir savo esme įrodo skirtingus pajėgumo aspektus.</w:t>
      </w:r>
    </w:p>
    <w:p w14:paraId="5CAFAB75" w14:textId="77777777" w:rsidR="00094746" w:rsidRDefault="00094746" w:rsidP="00094746">
      <w:pPr>
        <w:spacing w:line="259" w:lineRule="auto"/>
        <w:ind w:firstLine="993"/>
        <w:contextualSpacing/>
        <w:jc w:val="both"/>
        <w:rPr>
          <w:rFonts w:ascii="Times New Roman" w:eastAsia="Calibri" w:hAnsi="Times New Roman" w:cs="Times New Roman"/>
          <w:kern w:val="0"/>
          <w:szCs w:val="22"/>
          <w14:ligatures w14:val="none"/>
        </w:rPr>
      </w:pPr>
      <w:r w:rsidRPr="00094746">
        <w:rPr>
          <w:rFonts w:ascii="Times New Roman" w:eastAsia="Calibri" w:hAnsi="Times New Roman" w:cs="Times New Roman"/>
          <w:kern w:val="0"/>
          <w:szCs w:val="22"/>
          <w14:ligatures w14:val="none"/>
        </w:rPr>
        <w:t>Šiuo atveju reikalavimas tiekėjui būti tinkamai įvykdžiusiam paslaugų sutartis yra skirtas įvertinti tiekėjo organizacinius ir projektų įgyvendinimo pajėgumus, gebėjimą valdyti atitinkamos apimties sutartis, užtikrinti procesų koordinavimą bei prisiimti atsakomybę už galutinį rezultatą.</w:t>
      </w:r>
    </w:p>
    <w:p w14:paraId="7D827CA7" w14:textId="77777777" w:rsidR="00094746" w:rsidRDefault="00094746" w:rsidP="00094746">
      <w:pPr>
        <w:spacing w:line="259" w:lineRule="auto"/>
        <w:ind w:firstLine="993"/>
        <w:contextualSpacing/>
        <w:jc w:val="both"/>
        <w:rPr>
          <w:rFonts w:ascii="Times New Roman" w:eastAsia="Calibri" w:hAnsi="Times New Roman" w:cs="Times New Roman"/>
          <w:kern w:val="0"/>
          <w:szCs w:val="22"/>
          <w14:ligatures w14:val="none"/>
        </w:rPr>
      </w:pPr>
      <w:r w:rsidRPr="00094746">
        <w:rPr>
          <w:rFonts w:ascii="Times New Roman" w:eastAsia="Calibri" w:hAnsi="Times New Roman" w:cs="Times New Roman"/>
          <w:kern w:val="0"/>
          <w:szCs w:val="22"/>
          <w14:ligatures w14:val="none"/>
        </w:rPr>
        <w:lastRenderedPageBreak/>
        <w:t>Reikalavimas specialistui turėti teritorijų planavimo vadovo atestatą patvirtina konkretaus fizinio asmens profesinę kvalifikaciją ir nustatomas tais atvejais, kai pirkimo sutarties vykdymą reglamentuojantys teisės aktai numato pareigą turėti tam tikro išsilavinimo ir (ar) profesinės kvalifikacijos personalą.</w:t>
      </w:r>
      <w:r>
        <w:rPr>
          <w:rFonts w:ascii="Times New Roman" w:eastAsia="Calibri" w:hAnsi="Times New Roman" w:cs="Times New Roman"/>
          <w:kern w:val="0"/>
          <w:szCs w:val="22"/>
          <w14:ligatures w14:val="none"/>
        </w:rPr>
        <w:t xml:space="preserve"> </w:t>
      </w:r>
      <w:r w:rsidRPr="00094746">
        <w:rPr>
          <w:rFonts w:ascii="Times New Roman" w:eastAsia="Calibri" w:hAnsi="Times New Roman" w:cs="Times New Roman"/>
          <w:kern w:val="0"/>
          <w:szCs w:val="22"/>
          <w14:ligatures w14:val="none"/>
        </w:rPr>
        <w:t>Teritorijų planavimo vadovo atestatas patvirtina specialisto kompetenciją, tačiau savaime neįrodo, kad tiekėjas yra tinkamai įvykdęs atitinkamos apimties ir vertės sutartis bei turi pakankamus organizacinius gebėjimus įgyvendinti pirkimo objektą. Tiekėjo patirtis ir specialisto kvalifikacija nėra tapatūs dalykai.</w:t>
      </w:r>
    </w:p>
    <w:p w14:paraId="6CD520D1" w14:textId="5FF2B7CF" w:rsidR="007A10A0" w:rsidRPr="00094746" w:rsidRDefault="00094746" w:rsidP="00094746">
      <w:pPr>
        <w:spacing w:line="259" w:lineRule="auto"/>
        <w:ind w:firstLine="993"/>
        <w:contextualSpacing/>
        <w:jc w:val="both"/>
        <w:rPr>
          <w:rFonts w:ascii="Times New Roman" w:eastAsia="Calibri" w:hAnsi="Times New Roman" w:cs="Times New Roman"/>
          <w:kern w:val="0"/>
          <w:szCs w:val="22"/>
          <w14:ligatures w14:val="none"/>
        </w:rPr>
      </w:pPr>
      <w:r w:rsidRPr="00094746">
        <w:rPr>
          <w:rFonts w:ascii="Times New Roman" w:eastAsia="Calibri" w:hAnsi="Times New Roman" w:cs="Times New Roman"/>
          <w:kern w:val="0"/>
          <w:szCs w:val="22"/>
          <w14:ligatures w14:val="none"/>
        </w:rPr>
        <w:t>Atsižvelgiant į tai, pagrindo naikinti reikalavimą nėra.</w:t>
      </w:r>
    </w:p>
    <w:p w14:paraId="36489C09" w14:textId="77777777" w:rsidR="007A10A0" w:rsidRDefault="007A10A0" w:rsidP="00CD56D7">
      <w:pPr>
        <w:spacing w:line="259" w:lineRule="auto"/>
        <w:ind w:firstLine="993"/>
        <w:contextualSpacing/>
        <w:jc w:val="both"/>
        <w:rPr>
          <w:rFonts w:ascii="Times New Roman" w:eastAsia="Calibri" w:hAnsi="Times New Roman" w:cs="Times New Roman"/>
          <w:b/>
          <w:bCs/>
        </w:rPr>
      </w:pPr>
    </w:p>
    <w:p w14:paraId="26D4FF8C" w14:textId="77777777" w:rsidR="007A10A0" w:rsidRDefault="007A10A0" w:rsidP="00CD56D7">
      <w:pPr>
        <w:spacing w:line="259" w:lineRule="auto"/>
        <w:ind w:firstLine="993"/>
        <w:contextualSpacing/>
        <w:jc w:val="both"/>
        <w:rPr>
          <w:rFonts w:ascii="Times New Roman" w:eastAsia="Calibri" w:hAnsi="Times New Roman" w:cs="Times New Roman"/>
          <w:b/>
          <w:bCs/>
        </w:rPr>
      </w:pPr>
    </w:p>
    <w:p w14:paraId="09AB1CC8" w14:textId="136FEA4B" w:rsidR="000600B3" w:rsidRDefault="000600B3" w:rsidP="00CD56D7">
      <w:pPr>
        <w:spacing w:line="259" w:lineRule="auto"/>
        <w:ind w:firstLine="993"/>
        <w:contextualSpacing/>
        <w:jc w:val="both"/>
        <w:rPr>
          <w:rFonts w:ascii="Times New Roman" w:eastAsia="Calibri" w:hAnsi="Times New Roman" w:cs="Times New Roman"/>
          <w:b/>
          <w:bCs/>
        </w:rPr>
      </w:pPr>
      <w:r w:rsidRPr="004536FD">
        <w:rPr>
          <w:rFonts w:ascii="Times New Roman" w:eastAsia="Calibri" w:hAnsi="Times New Roman" w:cs="Times New Roman"/>
          <w:b/>
          <w:bCs/>
        </w:rPr>
        <w:t>Taip pat informuojame, kad nukeliamas pasiūlymų pateikimo terminas iki 2026-03-</w:t>
      </w:r>
      <w:r w:rsidR="00AC1273" w:rsidRPr="004536FD">
        <w:rPr>
          <w:rFonts w:ascii="Times New Roman" w:eastAsia="Calibri" w:hAnsi="Times New Roman" w:cs="Times New Roman"/>
          <w:b/>
          <w:bCs/>
        </w:rPr>
        <w:t>16</w:t>
      </w:r>
      <w:r w:rsidRPr="004536FD">
        <w:rPr>
          <w:rFonts w:ascii="Times New Roman" w:eastAsia="Calibri" w:hAnsi="Times New Roman" w:cs="Times New Roman"/>
          <w:b/>
          <w:bCs/>
        </w:rPr>
        <w:t xml:space="preserve"> 10.00 val.</w:t>
      </w:r>
    </w:p>
    <w:p w14:paraId="64E3A658" w14:textId="77777777" w:rsidR="000600B3" w:rsidRDefault="000600B3" w:rsidP="00CD56D7">
      <w:pPr>
        <w:spacing w:line="259" w:lineRule="auto"/>
        <w:ind w:firstLine="993"/>
        <w:contextualSpacing/>
        <w:jc w:val="both"/>
        <w:rPr>
          <w:rFonts w:ascii="Times New Roman" w:eastAsia="Calibri" w:hAnsi="Times New Roman" w:cs="Times New Roman"/>
          <w:b/>
          <w:bCs/>
        </w:rPr>
      </w:pPr>
    </w:p>
    <w:p w14:paraId="74818383" w14:textId="77777777" w:rsidR="000600B3" w:rsidRPr="00CD56D7" w:rsidRDefault="000600B3" w:rsidP="00CD56D7">
      <w:pPr>
        <w:spacing w:line="259" w:lineRule="auto"/>
        <w:ind w:firstLine="993"/>
        <w:contextualSpacing/>
        <w:jc w:val="both"/>
        <w:rPr>
          <w:rFonts w:ascii="Times New Roman" w:eastAsia="Calibri" w:hAnsi="Times New Roman" w:cs="Times New Roman"/>
          <w:b/>
          <w:bCs/>
        </w:rPr>
      </w:pPr>
    </w:p>
    <w:p w14:paraId="4D059B90" w14:textId="77777777" w:rsidR="00B5484E" w:rsidRPr="00704B79" w:rsidRDefault="00CD56D7" w:rsidP="00CD56D7">
      <w:pPr>
        <w:spacing w:line="259" w:lineRule="auto"/>
        <w:ind w:firstLine="993"/>
        <w:contextualSpacing/>
        <w:jc w:val="both"/>
        <w:rPr>
          <w:rFonts w:ascii="Times New Roman" w:eastAsia="Calibri" w:hAnsi="Times New Roman" w:cs="Times New Roman"/>
          <w:b/>
          <w:bCs/>
        </w:rPr>
      </w:pPr>
      <w:r w:rsidRPr="00704B79">
        <w:rPr>
          <w:rFonts w:ascii="Times New Roman" w:eastAsia="Calibri" w:hAnsi="Times New Roman" w:cs="Times New Roman"/>
          <w:b/>
          <w:bCs/>
        </w:rPr>
        <w:t>PRIDEDAMA</w:t>
      </w:r>
      <w:r w:rsidR="00B5484E" w:rsidRPr="00704B79">
        <w:rPr>
          <w:rFonts w:ascii="Times New Roman" w:eastAsia="Calibri" w:hAnsi="Times New Roman" w:cs="Times New Roman"/>
          <w:b/>
          <w:bCs/>
        </w:rPr>
        <w:t>:</w:t>
      </w:r>
    </w:p>
    <w:p w14:paraId="529BA9D8" w14:textId="39C547E3" w:rsidR="00CD56D7" w:rsidRPr="00704B79" w:rsidRDefault="00B5484E" w:rsidP="00CD56D7">
      <w:pPr>
        <w:spacing w:line="259" w:lineRule="auto"/>
        <w:ind w:firstLine="993"/>
        <w:contextualSpacing/>
        <w:jc w:val="both"/>
        <w:rPr>
          <w:rFonts w:ascii="Times New Roman" w:eastAsia="Calibri" w:hAnsi="Times New Roman" w:cs="Times New Roman"/>
        </w:rPr>
      </w:pPr>
      <w:r w:rsidRPr="00704B79">
        <w:rPr>
          <w:rFonts w:ascii="Times New Roman" w:eastAsia="Calibri" w:hAnsi="Times New Roman" w:cs="Times New Roman"/>
        </w:rPr>
        <w:t>1.</w:t>
      </w:r>
      <w:r w:rsidR="00CD56D7" w:rsidRPr="00704B79">
        <w:rPr>
          <w:rFonts w:ascii="Times New Roman" w:eastAsia="Calibri" w:hAnsi="Times New Roman" w:cs="Times New Roman"/>
        </w:rPr>
        <w:t xml:space="preserve"> </w:t>
      </w:r>
      <w:r w:rsidR="00782B5A" w:rsidRPr="00704B79">
        <w:rPr>
          <w:rFonts w:ascii="Times New Roman" w:eastAsia="Calibri" w:hAnsi="Times New Roman" w:cs="Times New Roman"/>
        </w:rPr>
        <w:t xml:space="preserve">Patikslintos </w:t>
      </w:r>
      <w:r w:rsidR="00362C4A" w:rsidRPr="00704B79">
        <w:rPr>
          <w:rFonts w:ascii="Times New Roman" w:eastAsia="Calibri" w:hAnsi="Times New Roman" w:cs="Times New Roman"/>
        </w:rPr>
        <w:t>p</w:t>
      </w:r>
      <w:r w:rsidR="00CD56D7" w:rsidRPr="00704B79">
        <w:rPr>
          <w:rFonts w:ascii="Times New Roman" w:eastAsia="Calibri" w:hAnsi="Times New Roman" w:cs="Times New Roman"/>
        </w:rPr>
        <w:t>irkimo special</w:t>
      </w:r>
      <w:r w:rsidR="009C72D7" w:rsidRPr="00704B79">
        <w:rPr>
          <w:rFonts w:ascii="Times New Roman" w:eastAsia="Calibri" w:hAnsi="Times New Roman" w:cs="Times New Roman"/>
        </w:rPr>
        <w:t>i</w:t>
      </w:r>
      <w:r w:rsidR="00782B5A" w:rsidRPr="00704B79">
        <w:rPr>
          <w:rFonts w:ascii="Times New Roman" w:eastAsia="Calibri" w:hAnsi="Times New Roman" w:cs="Times New Roman"/>
        </w:rPr>
        <w:t>osios</w:t>
      </w:r>
      <w:r w:rsidR="009C72D7" w:rsidRPr="00704B79">
        <w:rPr>
          <w:rFonts w:ascii="Times New Roman" w:eastAsia="Calibri" w:hAnsi="Times New Roman" w:cs="Times New Roman"/>
        </w:rPr>
        <w:t xml:space="preserve"> sąlyg</w:t>
      </w:r>
      <w:r w:rsidR="00782B5A" w:rsidRPr="00704B79">
        <w:rPr>
          <w:rFonts w:ascii="Times New Roman" w:eastAsia="Calibri" w:hAnsi="Times New Roman" w:cs="Times New Roman"/>
        </w:rPr>
        <w:t>os</w:t>
      </w:r>
      <w:r w:rsidRPr="00704B79">
        <w:rPr>
          <w:rFonts w:ascii="Times New Roman" w:eastAsia="Calibri" w:hAnsi="Times New Roman" w:cs="Times New Roman"/>
        </w:rPr>
        <w:t>;</w:t>
      </w:r>
    </w:p>
    <w:p w14:paraId="672FABDD" w14:textId="29694CCD" w:rsidR="00B5484E" w:rsidRPr="00704B79" w:rsidRDefault="00B5484E" w:rsidP="00B5484E">
      <w:pPr>
        <w:spacing w:line="259" w:lineRule="auto"/>
        <w:ind w:firstLine="993"/>
        <w:contextualSpacing/>
        <w:jc w:val="both"/>
        <w:rPr>
          <w:rFonts w:ascii="Times New Roman" w:eastAsia="Calibri" w:hAnsi="Times New Roman" w:cs="Times New Roman"/>
        </w:rPr>
      </w:pPr>
      <w:r w:rsidRPr="00704B79">
        <w:rPr>
          <w:rFonts w:ascii="Times New Roman" w:eastAsia="Calibri" w:hAnsi="Times New Roman" w:cs="Times New Roman"/>
        </w:rPr>
        <w:t>2. Patikslinta techninė specifikacija (pirkimo specialiųjų sąlygų 2 priedas).</w:t>
      </w:r>
    </w:p>
    <w:p w14:paraId="3514B736" w14:textId="2AE12E47" w:rsidR="00B5484E" w:rsidRPr="00CD56D7" w:rsidRDefault="00B5484E" w:rsidP="00CD56D7">
      <w:pPr>
        <w:spacing w:line="259" w:lineRule="auto"/>
        <w:ind w:firstLine="993"/>
        <w:contextualSpacing/>
        <w:jc w:val="both"/>
        <w:rPr>
          <w:rFonts w:ascii="Times New Roman" w:eastAsia="Calibri" w:hAnsi="Times New Roman" w:cs="Times New Roman"/>
          <w:b/>
          <w:bCs/>
        </w:rPr>
      </w:pPr>
    </w:p>
    <w:p w14:paraId="02BD8A9B" w14:textId="77777777" w:rsidR="00CD56D7" w:rsidRPr="00CD56D7" w:rsidRDefault="00CD56D7" w:rsidP="00CD56D7">
      <w:pPr>
        <w:spacing w:line="259" w:lineRule="auto"/>
        <w:ind w:firstLine="993"/>
        <w:contextualSpacing/>
        <w:jc w:val="both"/>
        <w:rPr>
          <w:rFonts w:ascii="Times New Roman" w:eastAsia="Calibri" w:hAnsi="Times New Roman" w:cs="Times New Roman"/>
          <w:b/>
          <w:bCs/>
        </w:rPr>
      </w:pPr>
    </w:p>
    <w:sectPr w:rsidR="00CD56D7" w:rsidRPr="00CD56D7" w:rsidSect="00F704BE">
      <w:headerReference w:type="default" r:id="rId8"/>
      <w:pgSz w:w="11906" w:h="16838" w:code="9"/>
      <w:pgMar w:top="1134" w:right="1134"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2A679" w14:textId="77777777" w:rsidR="001A60E7" w:rsidRDefault="001A60E7">
      <w:pPr>
        <w:spacing w:after="0" w:line="240" w:lineRule="auto"/>
      </w:pPr>
      <w:r>
        <w:separator/>
      </w:r>
    </w:p>
  </w:endnote>
  <w:endnote w:type="continuationSeparator" w:id="0">
    <w:p w14:paraId="215491A6" w14:textId="77777777" w:rsidR="001A60E7" w:rsidRDefault="001A60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3164E" w14:textId="77777777" w:rsidR="001A60E7" w:rsidRDefault="001A60E7">
      <w:pPr>
        <w:spacing w:after="0" w:line="240" w:lineRule="auto"/>
      </w:pPr>
      <w:r>
        <w:separator/>
      </w:r>
    </w:p>
  </w:footnote>
  <w:footnote w:type="continuationSeparator" w:id="0">
    <w:p w14:paraId="511A1308" w14:textId="77777777" w:rsidR="001A60E7" w:rsidRDefault="001A60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2453992"/>
      <w:docPartObj>
        <w:docPartGallery w:val="Page Numbers (Top of Page)"/>
        <w:docPartUnique/>
      </w:docPartObj>
    </w:sdtPr>
    <w:sdtContent>
      <w:p w14:paraId="2E0C8023" w14:textId="77777777" w:rsidR="00F704BE" w:rsidRDefault="00F704BE">
        <w:pPr>
          <w:pStyle w:val="Antrats"/>
          <w:jc w:val="center"/>
        </w:pPr>
        <w:r>
          <w:fldChar w:fldCharType="begin"/>
        </w:r>
        <w:r>
          <w:instrText>PAGE   \* MERGEFORMAT</w:instrText>
        </w:r>
        <w:r>
          <w:fldChar w:fldCharType="separate"/>
        </w:r>
        <w:r>
          <w:rPr>
            <w:noProof/>
          </w:rPr>
          <w:t>3</w:t>
        </w:r>
        <w:r>
          <w:fldChar w:fldCharType="end"/>
        </w:r>
      </w:p>
    </w:sdtContent>
  </w:sdt>
  <w:p w14:paraId="309C7A22" w14:textId="77777777" w:rsidR="00F704BE" w:rsidRDefault="00F704B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66B35"/>
    <w:multiLevelType w:val="multilevel"/>
    <w:tmpl w:val="522E08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6776C69"/>
    <w:multiLevelType w:val="multilevel"/>
    <w:tmpl w:val="86865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3" w15:restartNumberingAfterBreak="0">
    <w:nsid w:val="3DE77B81"/>
    <w:multiLevelType w:val="hybridMultilevel"/>
    <w:tmpl w:val="3BE66394"/>
    <w:lvl w:ilvl="0" w:tplc="B5DE9F6A">
      <w:start w:val="1"/>
      <w:numFmt w:val="decimal"/>
      <w:lvlText w:val="%1."/>
      <w:lvlJc w:val="left"/>
      <w:pPr>
        <w:ind w:left="1080" w:hanging="360"/>
      </w:pPr>
      <w:rPr>
        <w:rFonts w:eastAsia="Calibri"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4B890587"/>
    <w:multiLevelType w:val="hybridMultilevel"/>
    <w:tmpl w:val="7E003D8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9813DC4"/>
    <w:multiLevelType w:val="hybridMultilevel"/>
    <w:tmpl w:val="F4FE5418"/>
    <w:lvl w:ilvl="0" w:tplc="0427000F">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79E16F99"/>
    <w:multiLevelType w:val="hybridMultilevel"/>
    <w:tmpl w:val="A0F68EBC"/>
    <w:lvl w:ilvl="0" w:tplc="64D80D54">
      <w:start w:val="1"/>
      <w:numFmt w:val="decimal"/>
      <w:lvlText w:val="%1."/>
      <w:lvlJc w:val="left"/>
      <w:pPr>
        <w:ind w:left="1353" w:hanging="360"/>
      </w:pPr>
      <w:rPr>
        <w:rFonts w:eastAsia="Times New Roman" w:hint="default"/>
        <w:b/>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num w:numId="1" w16cid:durableId="1628928077">
    <w:abstractNumId w:val="5"/>
  </w:num>
  <w:num w:numId="2" w16cid:durableId="507523756">
    <w:abstractNumId w:val="4"/>
  </w:num>
  <w:num w:numId="3" w16cid:durableId="691036095">
    <w:abstractNumId w:val="3"/>
  </w:num>
  <w:num w:numId="4" w16cid:durableId="1898053900">
    <w:abstractNumId w:val="2"/>
  </w:num>
  <w:num w:numId="5" w16cid:durableId="481778758">
    <w:abstractNumId w:val="0"/>
  </w:num>
  <w:num w:numId="6" w16cid:durableId="921911868">
    <w:abstractNumId w:val="1"/>
  </w:num>
  <w:num w:numId="7" w16cid:durableId="110804304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3C41"/>
    <w:rsid w:val="00010328"/>
    <w:rsid w:val="000251AE"/>
    <w:rsid w:val="00047D06"/>
    <w:rsid w:val="000502F2"/>
    <w:rsid w:val="000600B3"/>
    <w:rsid w:val="00061F01"/>
    <w:rsid w:val="00094746"/>
    <w:rsid w:val="000E61FF"/>
    <w:rsid w:val="001032ED"/>
    <w:rsid w:val="00132511"/>
    <w:rsid w:val="00136706"/>
    <w:rsid w:val="0018402B"/>
    <w:rsid w:val="001A4928"/>
    <w:rsid w:val="001A60E7"/>
    <w:rsid w:val="00252CA4"/>
    <w:rsid w:val="0027338D"/>
    <w:rsid w:val="002C707C"/>
    <w:rsid w:val="002E312E"/>
    <w:rsid w:val="0030277F"/>
    <w:rsid w:val="00331944"/>
    <w:rsid w:val="00336D19"/>
    <w:rsid w:val="0034642A"/>
    <w:rsid w:val="00347515"/>
    <w:rsid w:val="00362C4A"/>
    <w:rsid w:val="003716FE"/>
    <w:rsid w:val="003A1F72"/>
    <w:rsid w:val="003C13F4"/>
    <w:rsid w:val="003D5FF2"/>
    <w:rsid w:val="004536FD"/>
    <w:rsid w:val="004727D8"/>
    <w:rsid w:val="004A47D4"/>
    <w:rsid w:val="004F53F3"/>
    <w:rsid w:val="00520303"/>
    <w:rsid w:val="0052297A"/>
    <w:rsid w:val="00524321"/>
    <w:rsid w:val="00525A88"/>
    <w:rsid w:val="00536B48"/>
    <w:rsid w:val="00537E9E"/>
    <w:rsid w:val="00543125"/>
    <w:rsid w:val="00574AA0"/>
    <w:rsid w:val="00584926"/>
    <w:rsid w:val="005B61D6"/>
    <w:rsid w:val="005E7976"/>
    <w:rsid w:val="00630FDF"/>
    <w:rsid w:val="006422DB"/>
    <w:rsid w:val="006509D1"/>
    <w:rsid w:val="00692A23"/>
    <w:rsid w:val="00693C41"/>
    <w:rsid w:val="006C02AA"/>
    <w:rsid w:val="006C1B53"/>
    <w:rsid w:val="006C5B58"/>
    <w:rsid w:val="006D6DB1"/>
    <w:rsid w:val="006E16E4"/>
    <w:rsid w:val="00704B79"/>
    <w:rsid w:val="00710D9D"/>
    <w:rsid w:val="00715AB9"/>
    <w:rsid w:val="0072494D"/>
    <w:rsid w:val="00745EDC"/>
    <w:rsid w:val="00754CBA"/>
    <w:rsid w:val="007552F0"/>
    <w:rsid w:val="00756E4D"/>
    <w:rsid w:val="007805DC"/>
    <w:rsid w:val="00782B5A"/>
    <w:rsid w:val="00786482"/>
    <w:rsid w:val="007A10A0"/>
    <w:rsid w:val="007A7528"/>
    <w:rsid w:val="008019E4"/>
    <w:rsid w:val="00812DDD"/>
    <w:rsid w:val="00846EE4"/>
    <w:rsid w:val="00867279"/>
    <w:rsid w:val="00880971"/>
    <w:rsid w:val="008972C6"/>
    <w:rsid w:val="008A103B"/>
    <w:rsid w:val="008A2177"/>
    <w:rsid w:val="008D2ADE"/>
    <w:rsid w:val="008D72AB"/>
    <w:rsid w:val="008E4037"/>
    <w:rsid w:val="008E44B0"/>
    <w:rsid w:val="00921619"/>
    <w:rsid w:val="00922963"/>
    <w:rsid w:val="00927A7C"/>
    <w:rsid w:val="009432F8"/>
    <w:rsid w:val="00950644"/>
    <w:rsid w:val="009C72D7"/>
    <w:rsid w:val="009F6E0A"/>
    <w:rsid w:val="00A37811"/>
    <w:rsid w:val="00A5054C"/>
    <w:rsid w:val="00A66D77"/>
    <w:rsid w:val="00A9200D"/>
    <w:rsid w:val="00AC02E4"/>
    <w:rsid w:val="00AC1273"/>
    <w:rsid w:val="00AD4704"/>
    <w:rsid w:val="00AF2520"/>
    <w:rsid w:val="00B05403"/>
    <w:rsid w:val="00B200DD"/>
    <w:rsid w:val="00B5484E"/>
    <w:rsid w:val="00B70273"/>
    <w:rsid w:val="00B84902"/>
    <w:rsid w:val="00B85AA3"/>
    <w:rsid w:val="00B91064"/>
    <w:rsid w:val="00BA7C02"/>
    <w:rsid w:val="00BB214F"/>
    <w:rsid w:val="00BF2C6A"/>
    <w:rsid w:val="00C37B8F"/>
    <w:rsid w:val="00C43D8D"/>
    <w:rsid w:val="00C726DD"/>
    <w:rsid w:val="00C823B7"/>
    <w:rsid w:val="00C90174"/>
    <w:rsid w:val="00C940CE"/>
    <w:rsid w:val="00CA0E18"/>
    <w:rsid w:val="00CA6230"/>
    <w:rsid w:val="00CB4E13"/>
    <w:rsid w:val="00CC4DC7"/>
    <w:rsid w:val="00CD56D7"/>
    <w:rsid w:val="00D448C0"/>
    <w:rsid w:val="00D50533"/>
    <w:rsid w:val="00D50710"/>
    <w:rsid w:val="00D60117"/>
    <w:rsid w:val="00D702CB"/>
    <w:rsid w:val="00D879AD"/>
    <w:rsid w:val="00DD25FA"/>
    <w:rsid w:val="00DE66B8"/>
    <w:rsid w:val="00E036D3"/>
    <w:rsid w:val="00E2254F"/>
    <w:rsid w:val="00EB6D3D"/>
    <w:rsid w:val="00F026BE"/>
    <w:rsid w:val="00F05D88"/>
    <w:rsid w:val="00F158B4"/>
    <w:rsid w:val="00F20B63"/>
    <w:rsid w:val="00F559CA"/>
    <w:rsid w:val="00F6645C"/>
    <w:rsid w:val="00F704BE"/>
    <w:rsid w:val="00F82D51"/>
    <w:rsid w:val="00F90220"/>
    <w:rsid w:val="00FA22B8"/>
    <w:rsid w:val="00FC75C4"/>
    <w:rsid w:val="00FD72A3"/>
    <w:rsid w:val="00FF334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ADFAE"/>
  <w15:chartTrackingRefBased/>
  <w15:docId w15:val="{342112F4-253B-4767-A874-05D348B23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693C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93C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93C4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93C4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93C4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93C4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93C4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93C4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93C4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93C4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93C4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93C4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93C4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93C4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93C4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93C4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93C4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93C4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93C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93C4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93C4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93C4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93C4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93C4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93C41"/>
    <w:pPr>
      <w:ind w:left="720"/>
      <w:contextualSpacing/>
    </w:pPr>
  </w:style>
  <w:style w:type="character" w:styleId="Rykuspabraukimas">
    <w:name w:val="Intense Emphasis"/>
    <w:basedOn w:val="Numatytasispastraiposriftas"/>
    <w:uiPriority w:val="21"/>
    <w:qFormat/>
    <w:rsid w:val="00693C41"/>
    <w:rPr>
      <w:i/>
      <w:iCs/>
      <w:color w:val="0F4761" w:themeColor="accent1" w:themeShade="BF"/>
    </w:rPr>
  </w:style>
  <w:style w:type="paragraph" w:styleId="Iskirtacitata">
    <w:name w:val="Intense Quote"/>
    <w:basedOn w:val="prastasis"/>
    <w:next w:val="prastasis"/>
    <w:link w:val="IskirtacitataDiagrama"/>
    <w:uiPriority w:val="30"/>
    <w:qFormat/>
    <w:rsid w:val="00693C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93C41"/>
    <w:rPr>
      <w:i/>
      <w:iCs/>
      <w:color w:val="0F4761" w:themeColor="accent1" w:themeShade="BF"/>
    </w:rPr>
  </w:style>
  <w:style w:type="character" w:styleId="Rykinuoroda">
    <w:name w:val="Intense Reference"/>
    <w:basedOn w:val="Numatytasispastraiposriftas"/>
    <w:uiPriority w:val="32"/>
    <w:qFormat/>
    <w:rsid w:val="00693C41"/>
    <w:rPr>
      <w:b/>
      <w:bCs/>
      <w:smallCaps/>
      <w:color w:val="0F4761" w:themeColor="accent1" w:themeShade="BF"/>
      <w:spacing w:val="5"/>
    </w:rPr>
  </w:style>
  <w:style w:type="paragraph" w:styleId="Antrats">
    <w:name w:val="header"/>
    <w:basedOn w:val="prastasis"/>
    <w:link w:val="AntratsDiagrama"/>
    <w:uiPriority w:val="99"/>
    <w:unhideWhenUsed/>
    <w:rsid w:val="00F704BE"/>
    <w:pPr>
      <w:tabs>
        <w:tab w:val="center" w:pos="4819"/>
        <w:tab w:val="right" w:pos="9638"/>
      </w:tabs>
      <w:spacing w:after="0" w:line="240" w:lineRule="auto"/>
      <w:ind w:firstLine="1298"/>
      <w:jc w:val="both"/>
    </w:pPr>
    <w:rPr>
      <w:rFonts w:ascii="Times New Roman" w:eastAsia="Calibri" w:hAnsi="Times New Roman" w:cs="Times New Roman"/>
      <w:kern w:val="0"/>
      <w:szCs w:val="22"/>
      <w14:ligatures w14:val="none"/>
    </w:rPr>
  </w:style>
  <w:style w:type="character" w:customStyle="1" w:styleId="AntratsDiagrama">
    <w:name w:val="Antraštės Diagrama"/>
    <w:basedOn w:val="Numatytasispastraiposriftas"/>
    <w:link w:val="Antrats"/>
    <w:uiPriority w:val="99"/>
    <w:rsid w:val="00F704BE"/>
    <w:rPr>
      <w:rFonts w:ascii="Times New Roman" w:eastAsia="Calibri" w:hAnsi="Times New Roman" w:cs="Times New Roman"/>
      <w:kern w:val="0"/>
      <w:szCs w:val="22"/>
      <w14:ligatures w14:val="none"/>
    </w:rPr>
  </w:style>
  <w:style w:type="paragraph" w:styleId="prastasiniatinklio">
    <w:name w:val="Normal (Web)"/>
    <w:basedOn w:val="prastasis"/>
    <w:uiPriority w:val="99"/>
    <w:semiHidden/>
    <w:unhideWhenUsed/>
    <w:rsid w:val="00CA6230"/>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D25FA"/>
  </w:style>
  <w:style w:type="character" w:styleId="Hipersaitas">
    <w:name w:val="Hyperlink"/>
    <w:basedOn w:val="Numatytasispastraiposriftas"/>
    <w:uiPriority w:val="99"/>
    <w:unhideWhenUsed/>
    <w:rsid w:val="007A7528"/>
    <w:rPr>
      <w:color w:val="467886" w:themeColor="hyperlink"/>
      <w:u w:val="single"/>
    </w:rPr>
  </w:style>
  <w:style w:type="character" w:styleId="Neapdorotaspaminjimas">
    <w:name w:val="Unresolved Mention"/>
    <w:basedOn w:val="Numatytasispastraiposriftas"/>
    <w:uiPriority w:val="99"/>
    <w:semiHidden/>
    <w:unhideWhenUsed/>
    <w:rsid w:val="007A7528"/>
    <w:rPr>
      <w:color w:val="605E5C"/>
      <w:shd w:val="clear" w:color="auto" w:fill="E1DFDD"/>
    </w:rPr>
  </w:style>
  <w:style w:type="paragraph" w:customStyle="1" w:styleId="isselectedend">
    <w:name w:val="isselectedend"/>
    <w:basedOn w:val="prastasis"/>
    <w:rsid w:val="007A10A0"/>
    <w:pPr>
      <w:spacing w:before="100" w:beforeAutospacing="1" w:after="100" w:afterAutospacing="1" w:line="240" w:lineRule="auto"/>
    </w:pPr>
    <w:rPr>
      <w:rFonts w:ascii="Times New Roman" w:eastAsia="Times New Roman" w:hAnsi="Times New Roman" w:cs="Times New Roman"/>
      <w:kern w:val="0"/>
      <w:lang w:eastAsia="lt-LT"/>
      <w14:ligatures w14:val="none"/>
    </w:rPr>
  </w:style>
  <w:style w:type="character" w:styleId="Grietas">
    <w:name w:val="Strong"/>
    <w:basedOn w:val="Numatytasispastraiposriftas"/>
    <w:uiPriority w:val="22"/>
    <w:qFormat/>
    <w:rsid w:val="007A10A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klausk.vpt.lt/hc/lt/articles/360020727739-Jei-keliamas-reikalavimas-specialistui-tai-nebegalima-kelti-reikalavimo-tiek&#279;ju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349</TotalTime>
  <Pages>4</Pages>
  <Words>6852</Words>
  <Characters>3906</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Puleikytė</dc:creator>
  <cp:keywords/>
  <dc:description/>
  <cp:lastModifiedBy>Justina Puleikytė</cp:lastModifiedBy>
  <cp:revision>246</cp:revision>
  <dcterms:created xsi:type="dcterms:W3CDTF">2025-10-09T08:38:00Z</dcterms:created>
  <dcterms:modified xsi:type="dcterms:W3CDTF">2026-03-05T06:54:00Z</dcterms:modified>
</cp:coreProperties>
</file>