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45C600F6"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762142">
            <w:rPr>
              <w:rFonts w:ascii="Times New Roman" w:eastAsia="Times New Roman" w:hAnsi="Times New Roman" w:cs="Times New Roman"/>
              <w:noProof/>
              <w:sz w:val="24"/>
              <w:szCs w:val="24"/>
            </w:rPr>
            <w:t>3</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063C7465" w14:textId="7FEFAFC6" w:rsidR="00762142" w:rsidRPr="00762142" w:rsidRDefault="00762142" w:rsidP="00762142">
          <w:pPr>
            <w:spacing w:after="120" w:line="20" w:lineRule="atLeast"/>
            <w:contextualSpacing/>
            <w:jc w:val="center"/>
            <w:rPr>
              <w:rFonts w:ascii="Times New Roman" w:eastAsia="LiberationSerif-Bold" w:hAnsi="Times New Roman" w:cs="Times New Roman"/>
              <w:b/>
              <w:bCs/>
              <w:sz w:val="24"/>
              <w:szCs w:val="24"/>
            </w:rPr>
          </w:pPr>
          <w:r w:rsidRPr="00762142">
            <w:rPr>
              <w:rFonts w:ascii="Times New Roman" w:eastAsia="LiberationSerif-Bold" w:hAnsi="Times New Roman" w:cs="Times New Roman"/>
              <w:b/>
              <w:bCs/>
              <w:sz w:val="24"/>
              <w:szCs w:val="24"/>
            </w:rPr>
            <w:t>VIENKARTINĖS MEDICINOS  PRIEMONĖS. HEMOSTATINĖS TITANINĖS KABUTĖS; HEMOSTATINĖ KEMPINĖLĖ</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4524A460" w:rsidR="00B41C66" w:rsidRPr="00D77FD6" w:rsidRDefault="00B76FBB" w:rsidP="00762142">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762142">
        <w:rPr>
          <w:rFonts w:ascii="Times New Roman" w:eastAsia="Calibri" w:hAnsi="Times New Roman" w:cs="Times New Roman"/>
          <w:color w:val="000000" w:themeColor="text1"/>
        </w:rPr>
        <w:t>v</w:t>
      </w:r>
      <w:r w:rsidR="00762142" w:rsidRPr="00762142">
        <w:rPr>
          <w:rFonts w:ascii="Times New Roman" w:eastAsia="Calibri" w:hAnsi="Times New Roman" w:cs="Times New Roman"/>
          <w:color w:val="000000" w:themeColor="text1"/>
        </w:rPr>
        <w:t>ienkartinės medicinos  priemon</w:t>
      </w:r>
      <w:r w:rsidR="00762142">
        <w:rPr>
          <w:rFonts w:ascii="Times New Roman" w:eastAsia="Calibri" w:hAnsi="Times New Roman" w:cs="Times New Roman"/>
          <w:color w:val="000000" w:themeColor="text1"/>
        </w:rPr>
        <w:t>es:</w:t>
      </w:r>
      <w:r w:rsidR="00762142" w:rsidRPr="00762142">
        <w:rPr>
          <w:rFonts w:ascii="Times New Roman" w:eastAsia="Calibri" w:hAnsi="Times New Roman" w:cs="Times New Roman"/>
          <w:color w:val="000000" w:themeColor="text1"/>
        </w:rPr>
        <w:t xml:space="preserve"> </w:t>
      </w:r>
      <w:proofErr w:type="spellStart"/>
      <w:r w:rsidR="00762142" w:rsidRPr="00762142">
        <w:rPr>
          <w:rFonts w:ascii="Times New Roman" w:eastAsia="Calibri" w:hAnsi="Times New Roman" w:cs="Times New Roman"/>
          <w:color w:val="000000" w:themeColor="text1"/>
        </w:rPr>
        <w:t>Hemostatin</w:t>
      </w:r>
      <w:r w:rsidR="00762142">
        <w:rPr>
          <w:rFonts w:ascii="Times New Roman" w:eastAsia="Calibri" w:hAnsi="Times New Roman" w:cs="Times New Roman"/>
          <w:color w:val="000000" w:themeColor="text1"/>
        </w:rPr>
        <w:t>e</w:t>
      </w:r>
      <w:r w:rsidR="00762142" w:rsidRPr="00762142">
        <w:rPr>
          <w:rFonts w:ascii="Times New Roman" w:eastAsia="Calibri" w:hAnsi="Times New Roman" w:cs="Times New Roman"/>
          <w:color w:val="000000" w:themeColor="text1"/>
        </w:rPr>
        <w:t>s</w:t>
      </w:r>
      <w:proofErr w:type="spellEnd"/>
      <w:r w:rsidR="00762142" w:rsidRPr="00762142">
        <w:rPr>
          <w:rFonts w:ascii="Times New Roman" w:eastAsia="Calibri" w:hAnsi="Times New Roman" w:cs="Times New Roman"/>
          <w:color w:val="000000" w:themeColor="text1"/>
        </w:rPr>
        <w:t xml:space="preserve"> </w:t>
      </w:r>
      <w:proofErr w:type="spellStart"/>
      <w:r w:rsidR="00762142" w:rsidRPr="00762142">
        <w:rPr>
          <w:rFonts w:ascii="Times New Roman" w:eastAsia="Calibri" w:hAnsi="Times New Roman" w:cs="Times New Roman"/>
          <w:color w:val="000000" w:themeColor="text1"/>
        </w:rPr>
        <w:t>titanin</w:t>
      </w:r>
      <w:r w:rsidR="00762142">
        <w:rPr>
          <w:rFonts w:ascii="Times New Roman" w:eastAsia="Calibri" w:hAnsi="Times New Roman" w:cs="Times New Roman"/>
          <w:color w:val="000000" w:themeColor="text1"/>
        </w:rPr>
        <w:t>e</w:t>
      </w:r>
      <w:r w:rsidR="00762142" w:rsidRPr="00762142">
        <w:rPr>
          <w:rFonts w:ascii="Times New Roman" w:eastAsia="Calibri" w:hAnsi="Times New Roman" w:cs="Times New Roman"/>
          <w:color w:val="000000" w:themeColor="text1"/>
        </w:rPr>
        <w:t>s</w:t>
      </w:r>
      <w:proofErr w:type="spellEnd"/>
      <w:r w:rsidR="00762142" w:rsidRPr="00762142">
        <w:rPr>
          <w:rFonts w:ascii="Times New Roman" w:eastAsia="Calibri" w:hAnsi="Times New Roman" w:cs="Times New Roman"/>
          <w:color w:val="000000" w:themeColor="text1"/>
        </w:rPr>
        <w:t xml:space="preserve"> kabut</w:t>
      </w:r>
      <w:r w:rsidR="00762142">
        <w:rPr>
          <w:rFonts w:ascii="Times New Roman" w:eastAsia="Calibri" w:hAnsi="Times New Roman" w:cs="Times New Roman"/>
          <w:color w:val="000000" w:themeColor="text1"/>
        </w:rPr>
        <w:t xml:space="preserve">es ir </w:t>
      </w:r>
      <w:proofErr w:type="spellStart"/>
      <w:r w:rsidR="00762142" w:rsidRPr="00762142">
        <w:rPr>
          <w:rFonts w:ascii="Times New Roman" w:eastAsia="Calibri" w:hAnsi="Times New Roman" w:cs="Times New Roman"/>
          <w:color w:val="000000" w:themeColor="text1"/>
        </w:rPr>
        <w:t>Hemostatin</w:t>
      </w:r>
      <w:r w:rsidR="00762142">
        <w:rPr>
          <w:rFonts w:ascii="Times New Roman" w:eastAsia="Calibri" w:hAnsi="Times New Roman" w:cs="Times New Roman"/>
          <w:color w:val="000000" w:themeColor="text1"/>
        </w:rPr>
        <w:t>es</w:t>
      </w:r>
      <w:proofErr w:type="spellEnd"/>
      <w:r w:rsidR="00762142" w:rsidRPr="00762142">
        <w:rPr>
          <w:rFonts w:ascii="Times New Roman" w:eastAsia="Calibri" w:hAnsi="Times New Roman" w:cs="Times New Roman"/>
          <w:color w:val="000000" w:themeColor="text1"/>
        </w:rPr>
        <w:t xml:space="preserve"> kempinėl</w:t>
      </w:r>
      <w:r w:rsidR="00762142">
        <w:rPr>
          <w:rFonts w:ascii="Times New Roman" w:eastAsia="Calibri" w:hAnsi="Times New Roman" w:cs="Times New Roman"/>
          <w:color w:val="000000" w:themeColor="text1"/>
        </w:rPr>
        <w:t>es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6DB4B0BA"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530229">
        <w:rPr>
          <w:rFonts w:ascii="Times New Roman" w:hAnsi="Times New Roman" w:cs="Times New Roman"/>
        </w:rPr>
        <w:t xml:space="preserve">2 </w:t>
      </w:r>
      <w:r w:rsidR="00AC6163" w:rsidRPr="00D77FD6">
        <w:rPr>
          <w:rFonts w:ascii="Times New Roman" w:hAnsi="Times New Roman" w:cs="Times New Roman"/>
        </w:rPr>
        <w:t>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užpildytas EBVPD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29"/>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42"/>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23</Pages>
  <Words>26528</Words>
  <Characters>15122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67</cp:revision>
  <cp:lastPrinted>2024-05-16T09:52:00Z</cp:lastPrinted>
  <dcterms:created xsi:type="dcterms:W3CDTF">2024-12-09T10:39:00Z</dcterms:created>
  <dcterms:modified xsi:type="dcterms:W3CDTF">2026-03-05T13:47:00Z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