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52D3FDB0" w14:textId="6B09766A" w:rsidR="00961FA2" w:rsidRPr="00961FA2" w:rsidRDefault="00961FA2" w:rsidP="00961FA2">
            <w:pPr>
              <w:autoSpaceDE w:val="0"/>
              <w:autoSpaceDN w:val="0"/>
              <w:adjustRightInd w:val="0"/>
              <w:jc w:val="center"/>
              <w:rPr>
                <w:rFonts w:eastAsia="LiberationSerif-Bold"/>
                <w:b/>
                <w:bCs/>
                <w:sz w:val="22"/>
                <w:szCs w:val="22"/>
                <w:lang w:eastAsia="lt-LT"/>
              </w:rPr>
            </w:pPr>
            <w:r w:rsidRPr="00961FA2">
              <w:rPr>
                <w:rFonts w:eastAsia="LiberationSerif-Bold"/>
                <w:b/>
                <w:bCs/>
                <w:sz w:val="22"/>
                <w:szCs w:val="22"/>
                <w:lang w:eastAsia="lt-LT"/>
              </w:rPr>
              <w:t xml:space="preserve">VIENKARTINĖS MEDICINOS  PRIEMONĖS. </w:t>
            </w:r>
            <w:r w:rsidRPr="00961FA2">
              <w:rPr>
                <w:rFonts w:eastAsia="LiberationSerif-Bold"/>
                <w:b/>
                <w:bCs/>
                <w:color w:val="4472C4" w:themeColor="accent5"/>
                <w:sz w:val="22"/>
                <w:szCs w:val="22"/>
                <w:lang w:eastAsia="lt-LT"/>
              </w:rPr>
              <w:t>HEMOSTATINĖS TITANINĖS KABUTĖS; HEMOSTATINĖ KEMPINĖLĖ</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209A49C9" w:rsidR="00D666A1" w:rsidRPr="00D57A89" w:rsidRDefault="00357F19" w:rsidP="00D666A1">
            <w:pPr>
              <w:autoSpaceDE w:val="0"/>
              <w:autoSpaceDN w:val="0"/>
              <w:adjustRightInd w:val="0"/>
              <w:rPr>
                <w:sz w:val="22"/>
                <w:szCs w:val="22"/>
              </w:rPr>
            </w:pPr>
            <w:r>
              <w:rPr>
                <w:rFonts w:eastAsia="Calibri"/>
                <w:sz w:val="22"/>
                <w:szCs w:val="22"/>
              </w:rPr>
              <w:t>Širdies ir kraujagyslių ligų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Jurga Mostytė</w:t>
            </w:r>
            <w:r w:rsidR="00D666A1" w:rsidRPr="00D57A89">
              <w:rPr>
                <w:rFonts w:eastAsia="Calibri"/>
                <w:sz w:val="22"/>
                <w:szCs w:val="22"/>
              </w:rPr>
              <w:t xml:space="preserve"> tel. +370 </w:t>
            </w:r>
            <w:r>
              <w:rPr>
                <w:rFonts w:eastAsia="Calibri"/>
                <w:sz w:val="22"/>
                <w:szCs w:val="22"/>
              </w:rPr>
              <w:t>46 491057</w:t>
            </w:r>
            <w:r w:rsidR="00D666A1" w:rsidRPr="00D57A89">
              <w:rPr>
                <w:rFonts w:eastAsia="Calibri"/>
                <w:sz w:val="22"/>
                <w:szCs w:val="22"/>
              </w:rPr>
              <w:t xml:space="preserve">, el. paštas:  </w:t>
            </w:r>
            <w:hyperlink r:id="rId11" w:history="1">
              <w:r w:rsidRPr="002D625B">
                <w:rPr>
                  <w:rStyle w:val="Hipersaitas"/>
                  <w:rFonts w:eastAsia="Calibri"/>
                </w:rPr>
                <w:t>jurga.mostyte</w:t>
              </w:r>
              <w:r w:rsidRPr="002D625B">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666D0118" w14:textId="77777777" w:rsidR="00961FA2" w:rsidRPr="00961FA2" w:rsidRDefault="00961FA2" w:rsidP="00961FA2">
            <w:pPr>
              <w:autoSpaceDE w:val="0"/>
              <w:autoSpaceDN w:val="0"/>
              <w:adjustRightInd w:val="0"/>
              <w:jc w:val="both"/>
              <w:rPr>
                <w:rFonts w:eastAsia="LiberationSerif-Bold"/>
                <w:sz w:val="22"/>
                <w:szCs w:val="22"/>
                <w:lang w:eastAsia="lt-LT"/>
              </w:rPr>
            </w:pPr>
            <w:r w:rsidRPr="00961FA2">
              <w:rPr>
                <w:rFonts w:eastAsia="LiberationSerif-Bold"/>
                <w:sz w:val="22"/>
                <w:szCs w:val="22"/>
                <w:lang w:eastAsia="lt-LT"/>
              </w:rPr>
              <w:t>Vienkartinės medicinos  priemonės. Hemostatinės titaninės kabutės; Hemostatinė kempinėlė</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4C3CF78F" w14:textId="0AD7F57D" w:rsidR="00961FA2" w:rsidRPr="00961FA2" w:rsidRDefault="00CC11BB" w:rsidP="00961FA2">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961FA2">
              <w:rPr>
                <w:color w:val="000000" w:themeColor="text1"/>
                <w:kern w:val="2"/>
                <w:sz w:val="22"/>
                <w:szCs w:val="22"/>
              </w:rPr>
              <w:t>as</w:t>
            </w:r>
            <w:r w:rsidRPr="00D666A1">
              <w:rPr>
                <w:color w:val="000000" w:themeColor="text1"/>
                <w:kern w:val="2"/>
                <w:sz w:val="22"/>
                <w:szCs w:val="22"/>
              </w:rPr>
              <w:t xml:space="preserve"> </w:t>
            </w:r>
            <w:r w:rsidR="00961FA2">
              <w:rPr>
                <w:color w:val="000000" w:themeColor="text1"/>
                <w:kern w:val="2"/>
                <w:sz w:val="22"/>
                <w:szCs w:val="22"/>
              </w:rPr>
              <w:t>v</w:t>
            </w:r>
            <w:r w:rsidR="00961FA2" w:rsidRPr="00961FA2">
              <w:rPr>
                <w:color w:val="000000" w:themeColor="text1"/>
                <w:kern w:val="2"/>
                <w:sz w:val="22"/>
                <w:szCs w:val="22"/>
              </w:rPr>
              <w:t>ienkartin</w:t>
            </w:r>
            <w:r w:rsidR="00961FA2">
              <w:rPr>
                <w:color w:val="000000" w:themeColor="text1"/>
                <w:kern w:val="2"/>
                <w:sz w:val="22"/>
                <w:szCs w:val="22"/>
              </w:rPr>
              <w:t>e</w:t>
            </w:r>
            <w:r w:rsidR="00961FA2" w:rsidRPr="00961FA2">
              <w:rPr>
                <w:color w:val="000000" w:themeColor="text1"/>
                <w:kern w:val="2"/>
                <w:sz w:val="22"/>
                <w:szCs w:val="22"/>
              </w:rPr>
              <w:t xml:space="preserve">s medicinos  priemonės. </w:t>
            </w:r>
            <w:r w:rsidR="00961FA2" w:rsidRPr="00961FA2">
              <w:rPr>
                <w:color w:val="4472C4" w:themeColor="accent5"/>
                <w:kern w:val="2"/>
                <w:sz w:val="22"/>
                <w:szCs w:val="22"/>
              </w:rPr>
              <w:t>Hemostatinės titaninės kabut</w:t>
            </w:r>
            <w:r w:rsidR="00961FA2" w:rsidRPr="00961FA2">
              <w:rPr>
                <w:color w:val="4472C4" w:themeColor="accent5"/>
                <w:kern w:val="2"/>
                <w:sz w:val="22"/>
                <w:szCs w:val="22"/>
              </w:rPr>
              <w:t>e</w:t>
            </w:r>
            <w:r w:rsidR="00961FA2" w:rsidRPr="00961FA2">
              <w:rPr>
                <w:color w:val="4472C4" w:themeColor="accent5"/>
                <w:kern w:val="2"/>
                <w:sz w:val="22"/>
                <w:szCs w:val="22"/>
              </w:rPr>
              <w:t>s; Hemostatinė kempinėl</w:t>
            </w:r>
            <w:r w:rsidR="00961FA2" w:rsidRPr="00961FA2">
              <w:rPr>
                <w:color w:val="4472C4" w:themeColor="accent5"/>
                <w:kern w:val="2"/>
                <w:sz w:val="22"/>
                <w:szCs w:val="22"/>
              </w:rPr>
              <w:t>es</w:t>
            </w:r>
          </w:p>
          <w:p w14:paraId="1D8F1B27" w14:textId="59F211C6" w:rsidR="00CC11BB" w:rsidRPr="00D666A1" w:rsidRDefault="00357F19" w:rsidP="00CC11BB">
            <w:pPr>
              <w:autoSpaceDE w:val="0"/>
              <w:autoSpaceDN w:val="0"/>
              <w:adjustRightInd w:val="0"/>
              <w:jc w:val="both"/>
              <w:rPr>
                <w:color w:val="000000" w:themeColor="text1"/>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583426"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1B1C2C8C" w:rsidR="00BE5A6B" w:rsidRPr="00357F19" w:rsidRDefault="00961FA2" w:rsidP="00961FA2">
            <w:pPr>
              <w:autoSpaceDE w:val="0"/>
              <w:autoSpaceDN w:val="0"/>
              <w:adjustRightInd w:val="0"/>
              <w:ind w:left="50"/>
              <w:rPr>
                <w:rFonts w:eastAsia="LiberationSerif-Bold"/>
                <w:sz w:val="22"/>
                <w:szCs w:val="22"/>
                <w:lang w:eastAsia="lt-LT"/>
              </w:rPr>
            </w:pPr>
            <w:r w:rsidRPr="00961FA2">
              <w:rPr>
                <w:rFonts w:eastAsia="LiberationSerif-Bold"/>
                <w:sz w:val="22"/>
                <w:szCs w:val="22"/>
                <w:lang w:eastAsia="lt-LT"/>
              </w:rPr>
              <w:t>Vienkartinės medicinos  priemonės. Hemostatinės titaninės kabutės; Hemostatinė kempinėlė</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7F54024A"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per </w:t>
            </w:r>
            <w:r w:rsidR="00FF77A9" w:rsidRPr="00FF77A9">
              <w:rPr>
                <w:sz w:val="22"/>
                <w:szCs w:val="22"/>
              </w:rPr>
              <w:t>5</w:t>
            </w:r>
            <w:r w:rsidRPr="00FF77A9">
              <w:rPr>
                <w:sz w:val="22"/>
                <w:szCs w:val="22"/>
              </w:rPr>
              <w:t xml:space="preserve"> darbo dien</w:t>
            </w:r>
            <w:r w:rsidR="00FF77A9" w:rsidRPr="00FF77A9">
              <w:rPr>
                <w:sz w:val="22"/>
                <w:szCs w:val="22"/>
              </w:rPr>
              <w:t>as</w:t>
            </w:r>
            <w:r w:rsidRPr="00FF77A9">
              <w:rPr>
                <w:sz w:val="22"/>
                <w:szCs w:val="22"/>
              </w:rPr>
              <w:t xml:space="preserve"> nuo užsakymo pateikimo dienos ši</w:t>
            </w:r>
            <w:r w:rsidR="00357F19">
              <w:rPr>
                <w:sz w:val="22"/>
                <w:szCs w:val="22"/>
              </w:rPr>
              <w:t>uo</w:t>
            </w:r>
            <w:r w:rsidRPr="00FF77A9">
              <w:rPr>
                <w:sz w:val="22"/>
                <w:szCs w:val="22"/>
              </w:rPr>
              <w:t xml:space="preserve"> adres</w:t>
            </w:r>
            <w:r w:rsidR="00357F19">
              <w:rPr>
                <w:sz w:val="22"/>
                <w:szCs w:val="22"/>
              </w:rPr>
              <w:t>u</w:t>
            </w:r>
            <w:r w:rsidRPr="00FF77A9">
              <w:rPr>
                <w:sz w:val="22"/>
                <w:szCs w:val="22"/>
              </w:rPr>
              <w:t>: Liepojos g. 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w:t>
            </w:r>
            <w:r>
              <w:rPr>
                <w:kern w:val="2"/>
                <w:sz w:val="22"/>
                <w:szCs w:val="22"/>
                <w14:ligatures w14:val="standardContextual"/>
              </w:rPr>
              <w:lastRenderedPageBreak/>
              <w:t xml:space="preserve">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961FA2"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lastRenderedPageBreak/>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w:t>
            </w:r>
            <w:r w:rsidRPr="00BE5A6B">
              <w:rPr>
                <w:b/>
                <w:bCs/>
                <w:color w:val="000000" w:themeColor="text1"/>
                <w:kern w:val="2"/>
                <w:sz w:val="22"/>
                <w:szCs w:val="22"/>
              </w:rPr>
              <w:lastRenderedPageBreak/>
              <w:t>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4C3B44F5"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961FA2">
              <w:rPr>
                <w:sz w:val="22"/>
                <w:szCs w:val="22"/>
              </w:rPr>
              <w:t>37</w:t>
            </w:r>
            <w:r w:rsidRPr="000E5F99">
              <w:rPr>
                <w:sz w:val="22"/>
                <w:szCs w:val="22"/>
              </w:rPr>
              <w:t xml:space="preserve"> (</w:t>
            </w:r>
            <w:r w:rsidR="00961FA2">
              <w:rPr>
                <w:sz w:val="22"/>
                <w:szCs w:val="22"/>
              </w:rPr>
              <w:t>trisdešimt septyni</w:t>
            </w:r>
            <w:r w:rsidRPr="000E5F99">
              <w:rPr>
                <w:sz w:val="22"/>
                <w:szCs w:val="22"/>
              </w:rPr>
              <w:t>) mėnesi</w:t>
            </w:r>
            <w:r w:rsidR="00961FA2">
              <w:rPr>
                <w:sz w:val="22"/>
                <w:szCs w:val="22"/>
              </w:rPr>
              <w:t>ai</w:t>
            </w:r>
            <w:r w:rsidRPr="000E5F99">
              <w:rPr>
                <w:sz w:val="22"/>
                <w:szCs w:val="22"/>
              </w:rPr>
              <w:t>, (</w:t>
            </w:r>
            <w:r w:rsidR="00961FA2">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73070DEA" w:rsidR="00256423" w:rsidRPr="00BE5A6B" w:rsidRDefault="00961FA2"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4"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1FA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66503</Words>
  <Characters>37907</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5</cp:revision>
  <dcterms:created xsi:type="dcterms:W3CDTF">2026-02-17T13:17:00Z</dcterms:created>
  <dcterms:modified xsi:type="dcterms:W3CDTF">2026-03-05T13:24:00Z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