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07CA" w14:textId="77777777" w:rsidR="00135E6C" w:rsidRPr="00E8392E"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Pr>
          <w:rFonts w:eastAsia="Calibri"/>
          <w:b/>
          <w:bCs/>
          <w:iCs/>
          <w:lang w:val="lt-LT"/>
        </w:rPr>
        <w:t>Sąlygų priedas Nr. 2</w:t>
      </w:r>
    </w:p>
    <w:p w14:paraId="05769073" w14:textId="77777777" w:rsidR="00A55EDE" w:rsidRPr="00135E6C"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30904ADE" w14:textId="77777777" w:rsidR="00702563" w:rsidRDefault="00E8392E" w:rsidP="00E8392E">
      <w:pPr>
        <w:jc w:val="center"/>
        <w:rPr>
          <w:b/>
          <w:lang w:val="lt-LT"/>
        </w:rPr>
      </w:pPr>
      <w:r w:rsidRPr="00E14808">
        <w:rPr>
          <w:b/>
          <w:lang w:val="lt-LT"/>
        </w:rPr>
        <w:t>TECHNINĖ SPECIFIKACIJA</w:t>
      </w:r>
    </w:p>
    <w:p w14:paraId="5C9ED583" w14:textId="77777777" w:rsidR="001A60C5" w:rsidRPr="008C6CE3" w:rsidRDefault="001A60C5" w:rsidP="001A60C5">
      <w:pPr>
        <w:rPr>
          <w:b/>
          <w:lang w:val="lt-LT"/>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8647"/>
        <w:gridCol w:w="1672"/>
      </w:tblGrid>
      <w:tr w:rsidR="001A60C5" w:rsidRPr="008C6CE3" w14:paraId="3452B3C4" w14:textId="77777777" w:rsidTr="005B4EBF">
        <w:trPr>
          <w:trHeight w:val="144"/>
        </w:trPr>
        <w:tc>
          <w:tcPr>
            <w:tcW w:w="562" w:type="dxa"/>
            <w:vAlign w:val="center"/>
          </w:tcPr>
          <w:p w14:paraId="5471E45F" w14:textId="77777777" w:rsidR="001A60C5" w:rsidRPr="008C6CE3" w:rsidRDefault="001A60C5" w:rsidP="005B4EBF">
            <w:pPr>
              <w:jc w:val="center"/>
              <w:rPr>
                <w:b/>
                <w:bCs/>
                <w:lang w:val="lt-LT"/>
              </w:rPr>
            </w:pPr>
            <w:r w:rsidRPr="008C6CE3">
              <w:rPr>
                <w:b/>
                <w:bCs/>
                <w:lang w:val="lt-LT"/>
              </w:rPr>
              <w:t>PO</w:t>
            </w:r>
          </w:p>
        </w:tc>
        <w:tc>
          <w:tcPr>
            <w:tcW w:w="3686" w:type="dxa"/>
            <w:vAlign w:val="center"/>
          </w:tcPr>
          <w:p w14:paraId="3052EBED" w14:textId="77777777" w:rsidR="001A60C5" w:rsidRPr="008C6CE3" w:rsidRDefault="001A60C5" w:rsidP="005B4EBF">
            <w:pPr>
              <w:jc w:val="center"/>
              <w:rPr>
                <w:b/>
                <w:bCs/>
                <w:lang w:val="lt-LT"/>
              </w:rPr>
            </w:pPr>
            <w:r w:rsidRPr="008C6CE3">
              <w:rPr>
                <w:b/>
                <w:bCs/>
                <w:lang w:val="lt-LT"/>
              </w:rPr>
              <w:t>Įrangos pavadinimas</w:t>
            </w:r>
          </w:p>
        </w:tc>
        <w:tc>
          <w:tcPr>
            <w:tcW w:w="8647" w:type="dxa"/>
            <w:vAlign w:val="center"/>
          </w:tcPr>
          <w:p w14:paraId="7831ADA6" w14:textId="77777777" w:rsidR="001A60C5" w:rsidRPr="008C6CE3" w:rsidRDefault="001A60C5" w:rsidP="005B4EBF">
            <w:pPr>
              <w:jc w:val="center"/>
              <w:rPr>
                <w:b/>
                <w:bCs/>
                <w:lang w:val="lt-LT"/>
              </w:rPr>
            </w:pPr>
            <w:r w:rsidRPr="008C6CE3">
              <w:rPr>
                <w:b/>
                <w:bCs/>
                <w:lang w:val="lt-LT"/>
              </w:rPr>
              <w:t>Paslaugos</w:t>
            </w:r>
          </w:p>
        </w:tc>
        <w:tc>
          <w:tcPr>
            <w:tcW w:w="1672" w:type="dxa"/>
            <w:vAlign w:val="center"/>
          </w:tcPr>
          <w:p w14:paraId="24DFAF3E" w14:textId="77777777" w:rsidR="001A60C5" w:rsidRPr="008C6CE3" w:rsidRDefault="001A60C5" w:rsidP="005B4EBF">
            <w:pPr>
              <w:keepNext/>
              <w:keepLines/>
              <w:spacing w:before="40"/>
              <w:jc w:val="center"/>
              <w:outlineLvl w:val="6"/>
              <w:rPr>
                <w:b/>
                <w:iCs/>
                <w:color w:val="000000"/>
                <w:lang w:val="lt-LT"/>
              </w:rPr>
            </w:pPr>
            <w:r w:rsidRPr="008C6CE3">
              <w:rPr>
                <w:b/>
                <w:iCs/>
                <w:color w:val="000000"/>
                <w:lang w:val="lt-LT"/>
              </w:rPr>
              <w:t>Paslaugų atlikimo vieta</w:t>
            </w:r>
          </w:p>
        </w:tc>
      </w:tr>
      <w:tr w:rsidR="001A60C5" w:rsidRPr="009338E4" w14:paraId="7DEBA056" w14:textId="77777777" w:rsidTr="005B4EBF">
        <w:trPr>
          <w:trHeight w:val="4385"/>
        </w:trPr>
        <w:tc>
          <w:tcPr>
            <w:tcW w:w="562" w:type="dxa"/>
            <w:vAlign w:val="center"/>
          </w:tcPr>
          <w:p w14:paraId="63C742AA" w14:textId="77777777" w:rsidR="001A60C5" w:rsidRPr="008C6CE3" w:rsidRDefault="001A60C5" w:rsidP="005B4EBF">
            <w:pPr>
              <w:jc w:val="center"/>
              <w:rPr>
                <w:lang w:val="lt-LT"/>
              </w:rPr>
            </w:pPr>
            <w:r w:rsidRPr="008C6CE3">
              <w:rPr>
                <w:lang w:val="lt-LT"/>
              </w:rPr>
              <w:t>1</w:t>
            </w:r>
          </w:p>
        </w:tc>
        <w:tc>
          <w:tcPr>
            <w:tcW w:w="3686" w:type="dxa"/>
            <w:vAlign w:val="center"/>
          </w:tcPr>
          <w:p w14:paraId="6E555324" w14:textId="77777777" w:rsidR="001A60C5" w:rsidRPr="008C6CE3" w:rsidRDefault="001A60C5" w:rsidP="005B4EBF">
            <w:pPr>
              <w:rPr>
                <w:lang w:val="lt-LT"/>
              </w:rPr>
            </w:pPr>
            <w:r w:rsidRPr="008C6CE3">
              <w:rPr>
                <w:lang w:val="lt-LT"/>
              </w:rPr>
              <w:t xml:space="preserve">REFRA – </w:t>
            </w:r>
            <w:r>
              <w:rPr>
                <w:lang w:val="lt-LT"/>
              </w:rPr>
              <w:t>4</w:t>
            </w:r>
            <w:r w:rsidRPr="008C6CE3">
              <w:rPr>
                <w:lang w:val="lt-LT"/>
              </w:rPr>
              <w:t xml:space="preserve"> vnt.</w:t>
            </w:r>
          </w:p>
          <w:p w14:paraId="5A636EAF" w14:textId="77777777" w:rsidR="001A60C5" w:rsidRPr="008C6CE3" w:rsidRDefault="001A60C5" w:rsidP="005B4EBF">
            <w:pPr>
              <w:rPr>
                <w:lang w:val="lt-LT"/>
              </w:rPr>
            </w:pPr>
            <w:r w:rsidRPr="008C6CE3">
              <w:rPr>
                <w:lang w:val="lt-LT"/>
              </w:rPr>
              <w:t xml:space="preserve">TRANE – 1 vnt. </w:t>
            </w:r>
          </w:p>
          <w:p w14:paraId="339A0AEA" w14:textId="77777777" w:rsidR="001A60C5" w:rsidRPr="008C6CE3" w:rsidRDefault="001A60C5" w:rsidP="005B4EBF">
            <w:pPr>
              <w:rPr>
                <w:lang w:val="lt-LT"/>
              </w:rPr>
            </w:pPr>
            <w:r w:rsidRPr="008C6CE3">
              <w:rPr>
                <w:lang w:val="lt-LT"/>
              </w:rPr>
              <w:t>WING (oro užsklanda) – 1 vnt.</w:t>
            </w:r>
          </w:p>
          <w:p w14:paraId="37A17698" w14:textId="77777777" w:rsidR="001A60C5" w:rsidRPr="008C6CE3" w:rsidRDefault="001A60C5" w:rsidP="005B4EBF">
            <w:pPr>
              <w:rPr>
                <w:lang w:val="lt-LT"/>
              </w:rPr>
            </w:pPr>
            <w:r w:rsidRPr="008C6CE3">
              <w:rPr>
                <w:lang w:val="lt-LT"/>
              </w:rPr>
              <w:t>GREE – 1 vnt.</w:t>
            </w:r>
          </w:p>
          <w:p w14:paraId="484F78EA" w14:textId="77777777" w:rsidR="001A60C5" w:rsidRPr="008C6CE3" w:rsidRDefault="001A60C5" w:rsidP="005B4EBF">
            <w:pPr>
              <w:rPr>
                <w:lang w:val="lt-LT"/>
              </w:rPr>
            </w:pPr>
            <w:r w:rsidRPr="008C6CE3">
              <w:rPr>
                <w:lang w:val="lt-LT"/>
              </w:rPr>
              <w:t>HAVACO (oro užsklanda) – 1 vnt.</w:t>
            </w:r>
          </w:p>
          <w:p w14:paraId="2BDE7EBA" w14:textId="77777777" w:rsidR="001A60C5" w:rsidRPr="008C6CE3" w:rsidRDefault="001A60C5" w:rsidP="005B4EBF">
            <w:pPr>
              <w:rPr>
                <w:lang w:val="lt-LT"/>
              </w:rPr>
            </w:pPr>
            <w:r w:rsidRPr="008C6CE3">
              <w:rPr>
                <w:lang w:val="lt-LT"/>
              </w:rPr>
              <w:t>ELECTROLUX – 2 vnt.</w:t>
            </w:r>
          </w:p>
          <w:p w14:paraId="11B0779F" w14:textId="77777777" w:rsidR="001A60C5" w:rsidRPr="008C6CE3" w:rsidRDefault="001A60C5" w:rsidP="005B4EBF">
            <w:pPr>
              <w:rPr>
                <w:lang w:val="lt-LT"/>
              </w:rPr>
            </w:pPr>
            <w:r w:rsidRPr="008C6CE3">
              <w:rPr>
                <w:lang w:val="lt-LT"/>
              </w:rPr>
              <w:t xml:space="preserve">MC QUAY – </w:t>
            </w:r>
            <w:r>
              <w:rPr>
                <w:lang w:val="lt-LT"/>
              </w:rPr>
              <w:t>7</w:t>
            </w:r>
            <w:r w:rsidRPr="008C6CE3">
              <w:rPr>
                <w:lang w:val="lt-LT"/>
              </w:rPr>
              <w:t xml:space="preserve"> vnt.</w:t>
            </w:r>
          </w:p>
          <w:p w14:paraId="39E9BE44" w14:textId="77777777" w:rsidR="001A60C5" w:rsidRPr="008C6CE3" w:rsidRDefault="001A60C5" w:rsidP="005B4EBF">
            <w:pPr>
              <w:rPr>
                <w:lang w:val="lt-LT"/>
              </w:rPr>
            </w:pPr>
            <w:r w:rsidRPr="008C6CE3">
              <w:rPr>
                <w:lang w:val="lt-LT"/>
              </w:rPr>
              <w:t>EXCEL – 1 vnt.</w:t>
            </w:r>
          </w:p>
          <w:p w14:paraId="573516AF" w14:textId="77777777" w:rsidR="001A60C5" w:rsidRPr="008C6CE3" w:rsidRDefault="001A60C5" w:rsidP="005B4EBF">
            <w:pPr>
              <w:rPr>
                <w:lang w:val="lt-LT"/>
              </w:rPr>
            </w:pPr>
            <w:r w:rsidRPr="008C6CE3">
              <w:rPr>
                <w:lang w:val="lt-LT"/>
              </w:rPr>
              <w:t>FUJITSU – 1 vnt.</w:t>
            </w:r>
          </w:p>
          <w:p w14:paraId="2AB42B91" w14:textId="77777777" w:rsidR="001A60C5" w:rsidRPr="008C6CE3" w:rsidRDefault="001A60C5" w:rsidP="005B4EBF">
            <w:pPr>
              <w:rPr>
                <w:lang w:val="lt-LT"/>
              </w:rPr>
            </w:pPr>
            <w:r w:rsidRPr="008C6CE3">
              <w:rPr>
                <w:lang w:val="lt-LT"/>
              </w:rPr>
              <w:t>MDV – 7 vnt.</w:t>
            </w:r>
          </w:p>
          <w:p w14:paraId="5CF8140B" w14:textId="77777777" w:rsidR="001A60C5" w:rsidRPr="008C6CE3" w:rsidRDefault="001A60C5" w:rsidP="005B4EBF">
            <w:pPr>
              <w:rPr>
                <w:lang w:val="lt-LT"/>
              </w:rPr>
            </w:pPr>
            <w:r w:rsidRPr="008C6CE3">
              <w:rPr>
                <w:lang w:val="lt-LT"/>
              </w:rPr>
              <w:t>ALPICAIR – 5 vnt.</w:t>
            </w:r>
          </w:p>
          <w:p w14:paraId="3425D6F1" w14:textId="77777777" w:rsidR="001A60C5" w:rsidRPr="008C6CE3" w:rsidRDefault="001A60C5" w:rsidP="005B4EBF">
            <w:pPr>
              <w:rPr>
                <w:lang w:val="lt-LT"/>
              </w:rPr>
            </w:pPr>
            <w:r w:rsidRPr="008C6CE3">
              <w:rPr>
                <w:lang w:val="lt-LT"/>
              </w:rPr>
              <w:t>AKAI – 2 vnt.</w:t>
            </w:r>
          </w:p>
          <w:p w14:paraId="2AB3B970" w14:textId="77777777" w:rsidR="001A60C5" w:rsidRPr="008C6CE3" w:rsidRDefault="001A60C5" w:rsidP="005B4EBF">
            <w:pPr>
              <w:rPr>
                <w:lang w:val="lt-LT"/>
              </w:rPr>
            </w:pPr>
            <w:r w:rsidRPr="008C6CE3">
              <w:rPr>
                <w:lang w:val="lt-LT"/>
              </w:rPr>
              <w:t>MITSUBISHI INVERTER – 2 vnt.</w:t>
            </w:r>
          </w:p>
          <w:p w14:paraId="4BDDC804" w14:textId="77777777" w:rsidR="001A60C5" w:rsidRPr="008C6CE3" w:rsidRDefault="001A60C5" w:rsidP="005B4EBF">
            <w:pPr>
              <w:rPr>
                <w:lang w:val="lt-LT"/>
              </w:rPr>
            </w:pPr>
            <w:r w:rsidRPr="008C6CE3">
              <w:rPr>
                <w:lang w:val="lt-LT"/>
              </w:rPr>
              <w:t>MITSUBISHI ELEKTRIC – 1 vnt.</w:t>
            </w:r>
          </w:p>
          <w:p w14:paraId="164F227D" w14:textId="77777777" w:rsidR="001A60C5" w:rsidRDefault="001A60C5" w:rsidP="005B4EBF">
            <w:pPr>
              <w:rPr>
                <w:lang w:val="lt-LT"/>
              </w:rPr>
            </w:pPr>
            <w:r w:rsidRPr="008C6CE3">
              <w:rPr>
                <w:lang w:val="lt-LT"/>
              </w:rPr>
              <w:t>ARTEL – 1 vnt.</w:t>
            </w:r>
          </w:p>
          <w:p w14:paraId="74EAD180" w14:textId="77777777" w:rsidR="001A60C5" w:rsidRDefault="001A60C5" w:rsidP="005B4EBF">
            <w:pPr>
              <w:rPr>
                <w:lang w:val="lt-LT"/>
              </w:rPr>
            </w:pPr>
            <w:r>
              <w:rPr>
                <w:lang w:val="lt-LT"/>
              </w:rPr>
              <w:t xml:space="preserve">ENOMI </w:t>
            </w:r>
            <w:r w:rsidRPr="008C6CE3">
              <w:rPr>
                <w:lang w:val="lt-LT"/>
              </w:rPr>
              <w:t>– 1 vnt.</w:t>
            </w:r>
          </w:p>
          <w:p w14:paraId="6F740F43" w14:textId="77777777" w:rsidR="001A60C5" w:rsidRPr="008C6CE3" w:rsidRDefault="001A60C5" w:rsidP="005B4EBF">
            <w:pPr>
              <w:rPr>
                <w:lang w:val="lt-LT"/>
              </w:rPr>
            </w:pPr>
            <w:r>
              <w:rPr>
                <w:lang w:val="lt-LT"/>
              </w:rPr>
              <w:t xml:space="preserve">MIDEA </w:t>
            </w:r>
            <w:r w:rsidRPr="008C6CE3">
              <w:rPr>
                <w:lang w:val="lt-LT"/>
              </w:rPr>
              <w:t xml:space="preserve">– </w:t>
            </w:r>
            <w:r>
              <w:rPr>
                <w:lang w:val="lt-LT"/>
              </w:rPr>
              <w:t>2</w:t>
            </w:r>
            <w:r w:rsidRPr="008C6CE3">
              <w:rPr>
                <w:lang w:val="lt-LT"/>
              </w:rPr>
              <w:t xml:space="preserve"> vnt.</w:t>
            </w:r>
          </w:p>
          <w:p w14:paraId="527A6F9B" w14:textId="77777777" w:rsidR="001A60C5" w:rsidRPr="008C6CE3" w:rsidRDefault="001A60C5" w:rsidP="005B4EBF">
            <w:pPr>
              <w:pStyle w:val="Sraopastraipa"/>
              <w:ind w:left="32"/>
              <w:rPr>
                <w:lang w:val="lt-LT"/>
              </w:rPr>
            </w:pPr>
            <w:r w:rsidRPr="008C6CE3">
              <w:rPr>
                <w:b/>
                <w:bCs/>
                <w:lang w:val="lt-LT"/>
              </w:rPr>
              <w:t>VISO:</w:t>
            </w:r>
            <w:r w:rsidRPr="008C6CE3">
              <w:rPr>
                <w:b/>
                <w:bCs/>
                <w:lang w:val="lt-LT"/>
              </w:rPr>
              <w:tab/>
            </w:r>
            <w:r>
              <w:rPr>
                <w:b/>
                <w:bCs/>
                <w:lang w:val="lt-LT"/>
              </w:rPr>
              <w:t>40</w:t>
            </w:r>
          </w:p>
        </w:tc>
        <w:tc>
          <w:tcPr>
            <w:tcW w:w="8647" w:type="dxa"/>
            <w:vAlign w:val="center"/>
          </w:tcPr>
          <w:p w14:paraId="3E18674C" w14:textId="77777777" w:rsidR="001A60C5" w:rsidRPr="008C6CE3" w:rsidRDefault="001A60C5" w:rsidP="005B4EBF">
            <w:pPr>
              <w:jc w:val="both"/>
              <w:rPr>
                <w:lang w:val="lt-LT"/>
              </w:rPr>
            </w:pPr>
            <w:r w:rsidRPr="008C6CE3">
              <w:rPr>
                <w:lang w:val="lt-LT"/>
              </w:rPr>
              <w:t xml:space="preserve">Techninę priežiūrą* (toliau – priežiūra) atlikti 1 kartą per metus. Techninė priežiūra vykdyti pagal iš anksto su Perkančiąja organizacija suderintą grafiką. </w:t>
            </w:r>
          </w:p>
          <w:p w14:paraId="493FAE38" w14:textId="77777777" w:rsidR="001A60C5" w:rsidRPr="008C6CE3" w:rsidRDefault="001A60C5" w:rsidP="005B4EBF">
            <w:pPr>
              <w:jc w:val="both"/>
              <w:rPr>
                <w:lang w:val="lt-LT"/>
              </w:rPr>
            </w:pPr>
            <w:r w:rsidRPr="008C6CE3">
              <w:rPr>
                <w:lang w:val="lt-LT"/>
              </w:rPr>
              <w:t>2. Suteikus Paslaugas pateikti Paslaugų atlikimo aktą bei įrangos techniniame pase ar techninės priežiūros protokole surašyti informaciją apie įrangos būklę ir tinkamumą naudoti.</w:t>
            </w:r>
          </w:p>
          <w:p w14:paraId="2B0B6B7E" w14:textId="77777777" w:rsidR="001A60C5" w:rsidRPr="008C6CE3" w:rsidRDefault="001A60C5" w:rsidP="005B4EBF">
            <w:pPr>
              <w:jc w:val="both"/>
              <w:rPr>
                <w:lang w:val="lt-LT"/>
              </w:rPr>
            </w:pPr>
            <w:r w:rsidRPr="008C6CE3">
              <w:rPr>
                <w:lang w:val="lt-LT"/>
              </w:rPr>
              <w:t>3. Įrangos gedimų nustatymas per 48 val. nuo raštiško pranešimo gavimo el. paštu.</w:t>
            </w:r>
          </w:p>
          <w:p w14:paraId="70278FBF" w14:textId="77777777" w:rsidR="001A60C5" w:rsidRPr="008C6CE3" w:rsidRDefault="001A60C5" w:rsidP="005B4EBF">
            <w:pPr>
              <w:jc w:val="both"/>
              <w:rPr>
                <w:lang w:val="lt-LT"/>
              </w:rPr>
            </w:pPr>
            <w:r w:rsidRPr="008C6CE3">
              <w:rPr>
                <w:lang w:val="lt-LT"/>
              </w:rPr>
              <w:t>4. Gedimo šalinimas per 3</w:t>
            </w:r>
            <w:r w:rsidRPr="008C6CE3">
              <w:rPr>
                <w:color w:val="FF0000"/>
                <w:lang w:val="lt-LT"/>
              </w:rPr>
              <w:t xml:space="preserve"> </w:t>
            </w:r>
            <w:r w:rsidRPr="008C6CE3">
              <w:rPr>
                <w:lang w:val="lt-LT"/>
              </w:rPr>
              <w:t xml:space="preserve">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38C27D76" w14:textId="77777777" w:rsidR="001A60C5" w:rsidRPr="008C6CE3" w:rsidRDefault="001A60C5" w:rsidP="005B4EBF">
            <w:pPr>
              <w:ind w:right="282"/>
              <w:jc w:val="both"/>
              <w:rPr>
                <w:lang w:val="lt-LT"/>
              </w:rPr>
            </w:pPr>
            <w:r w:rsidRPr="008C6CE3">
              <w:rPr>
                <w:lang w:val="lt-LT"/>
              </w:rPr>
              <w:t>5. Remonto darbams, keičiamoms detalėms suteikiama 6 mėn. Garantiją.</w:t>
            </w:r>
          </w:p>
          <w:p w14:paraId="1853E113" w14:textId="77777777" w:rsidR="001A60C5" w:rsidRPr="008C6CE3" w:rsidRDefault="001A60C5" w:rsidP="005B4EBF">
            <w:pPr>
              <w:ind w:right="282"/>
              <w:jc w:val="both"/>
              <w:rPr>
                <w:lang w:val="lt-LT"/>
              </w:rPr>
            </w:pPr>
            <w:r w:rsidRPr="008C6CE3">
              <w:rPr>
                <w:lang w:val="lt-LT"/>
              </w:rPr>
              <w:t>6. Avarinio iškvietimo / remonto darbų matavimo vienetas – valanda (perkama pagal poreikį).</w:t>
            </w:r>
          </w:p>
          <w:p w14:paraId="64EE5B22" w14:textId="77777777" w:rsidR="001A60C5" w:rsidRPr="008C6CE3" w:rsidRDefault="001A60C5" w:rsidP="005B4EBF">
            <w:pPr>
              <w:ind w:right="282"/>
              <w:jc w:val="both"/>
              <w:rPr>
                <w:color w:val="000000"/>
                <w:lang w:val="lt-LT"/>
              </w:rPr>
            </w:pPr>
            <w:r w:rsidRPr="008C6CE3">
              <w:rPr>
                <w:lang w:val="lt-LT"/>
              </w:rPr>
              <w:t xml:space="preserve">7. Maksimalus numatomas avarinio iškvietimo / remonto darbų kiekis sutarties galiojimo laikotarpiu - </w:t>
            </w:r>
            <w:r>
              <w:rPr>
                <w:lang w:val="lt-LT"/>
              </w:rPr>
              <w:t>240</w:t>
            </w:r>
            <w:r w:rsidRPr="008C6CE3">
              <w:rPr>
                <w:lang w:val="lt-LT"/>
              </w:rPr>
              <w:t xml:space="preserve"> val.</w:t>
            </w:r>
          </w:p>
          <w:p w14:paraId="272B2143" w14:textId="77777777" w:rsidR="001A60C5" w:rsidRPr="008C6CE3" w:rsidRDefault="001A60C5" w:rsidP="005B4EBF">
            <w:pPr>
              <w:jc w:val="both"/>
              <w:rPr>
                <w:lang w:val="lt-LT"/>
              </w:rPr>
            </w:pPr>
            <w:r w:rsidRPr="008C6CE3">
              <w:rPr>
                <w:color w:val="000000"/>
                <w:lang w:val="lt-LT"/>
              </w:rPr>
              <w:t xml:space="preserve">8. </w:t>
            </w:r>
            <w:r w:rsidRPr="008C6CE3">
              <w:rPr>
                <w:lang w:val="lt-LT"/>
              </w:rPr>
              <w:t>Faktiškai patiriamos išlaidos (perkama pagal poreikį): ne daugiau kaip 500</w:t>
            </w:r>
            <w:r>
              <w:rPr>
                <w:lang w:val="lt-LT"/>
              </w:rPr>
              <w:t>0</w:t>
            </w:r>
            <w:r w:rsidRPr="008C6CE3">
              <w:rPr>
                <w:lang w:val="lt-LT"/>
              </w:rPr>
              <w:t>,00 Eur.</w:t>
            </w:r>
          </w:p>
        </w:tc>
        <w:tc>
          <w:tcPr>
            <w:tcW w:w="1672" w:type="dxa"/>
            <w:vAlign w:val="center"/>
          </w:tcPr>
          <w:p w14:paraId="3CA7CF1F" w14:textId="77777777" w:rsidR="001A60C5" w:rsidRPr="008C6CE3" w:rsidRDefault="001A60C5" w:rsidP="005B4EBF">
            <w:pPr>
              <w:widowControl w:val="0"/>
              <w:autoSpaceDE w:val="0"/>
              <w:autoSpaceDN w:val="0"/>
              <w:adjustRightInd w:val="0"/>
              <w:jc w:val="center"/>
              <w:rPr>
                <w:sz w:val="23"/>
                <w:szCs w:val="23"/>
                <w:lang w:val="lt-LT"/>
              </w:rPr>
            </w:pPr>
            <w:r w:rsidRPr="008C6CE3">
              <w:rPr>
                <w:sz w:val="23"/>
                <w:szCs w:val="23"/>
                <w:lang w:val="lt-LT"/>
              </w:rPr>
              <w:t>Žolyno g. 34</w:t>
            </w:r>
            <w:r>
              <w:rPr>
                <w:sz w:val="23"/>
                <w:szCs w:val="23"/>
                <w:lang w:val="lt-LT"/>
              </w:rPr>
              <w:t xml:space="preserve"> ir </w:t>
            </w:r>
            <w:r w:rsidRPr="008C6CE3">
              <w:rPr>
                <w:sz w:val="23"/>
                <w:szCs w:val="23"/>
                <w:lang w:val="lt-LT"/>
              </w:rPr>
              <w:t>Upės g. 9, Vilnius</w:t>
            </w:r>
          </w:p>
          <w:p w14:paraId="0CC1B28E" w14:textId="77777777" w:rsidR="001A60C5" w:rsidRPr="008C6CE3" w:rsidRDefault="001A60C5" w:rsidP="005B4EBF">
            <w:pPr>
              <w:jc w:val="center"/>
              <w:rPr>
                <w:sz w:val="23"/>
                <w:szCs w:val="23"/>
                <w:lang w:val="lt-LT"/>
              </w:rPr>
            </w:pPr>
          </w:p>
        </w:tc>
      </w:tr>
      <w:tr w:rsidR="001A60C5" w:rsidRPr="008C6CE3" w14:paraId="4E49620C" w14:textId="77777777" w:rsidTr="005B4EBF">
        <w:trPr>
          <w:trHeight w:val="4385"/>
        </w:trPr>
        <w:tc>
          <w:tcPr>
            <w:tcW w:w="562" w:type="dxa"/>
            <w:vAlign w:val="center"/>
          </w:tcPr>
          <w:p w14:paraId="537310A2" w14:textId="77777777" w:rsidR="001A60C5" w:rsidRPr="008C6CE3" w:rsidRDefault="001A60C5" w:rsidP="005B4EBF">
            <w:pPr>
              <w:jc w:val="center"/>
              <w:rPr>
                <w:lang w:val="lt-LT"/>
              </w:rPr>
            </w:pPr>
            <w:r w:rsidRPr="008C6CE3">
              <w:rPr>
                <w:lang w:val="lt-LT"/>
              </w:rPr>
              <w:lastRenderedPageBreak/>
              <w:t>2</w:t>
            </w:r>
          </w:p>
        </w:tc>
        <w:tc>
          <w:tcPr>
            <w:tcW w:w="3686" w:type="dxa"/>
            <w:vAlign w:val="center"/>
          </w:tcPr>
          <w:p w14:paraId="0051E767" w14:textId="77777777" w:rsidR="001A60C5" w:rsidRPr="008C6CE3" w:rsidRDefault="001A60C5" w:rsidP="005B4EBF">
            <w:pPr>
              <w:rPr>
                <w:lang w:val="lt-LT"/>
              </w:rPr>
            </w:pPr>
            <w:r w:rsidRPr="008C6CE3">
              <w:rPr>
                <w:lang w:val="lt-LT"/>
              </w:rPr>
              <w:t xml:space="preserve">MDV – 1 vnt. </w:t>
            </w:r>
          </w:p>
          <w:p w14:paraId="61271802" w14:textId="77777777" w:rsidR="001A60C5" w:rsidRPr="008C6CE3" w:rsidRDefault="001A60C5" w:rsidP="005B4EBF">
            <w:pPr>
              <w:rPr>
                <w:lang w:val="lt-LT"/>
              </w:rPr>
            </w:pPr>
            <w:r w:rsidRPr="008C6CE3">
              <w:rPr>
                <w:lang w:val="lt-LT"/>
              </w:rPr>
              <w:t>ELECTROLUX – 1 vnt.</w:t>
            </w:r>
          </w:p>
          <w:p w14:paraId="33D0EA68" w14:textId="77777777" w:rsidR="001A60C5" w:rsidRPr="008C6CE3" w:rsidRDefault="001A60C5" w:rsidP="005B4EBF">
            <w:pPr>
              <w:rPr>
                <w:lang w:val="lt-LT"/>
              </w:rPr>
            </w:pPr>
            <w:r w:rsidRPr="008C6CE3">
              <w:rPr>
                <w:lang w:val="lt-LT"/>
              </w:rPr>
              <w:t>ALPICAIR – 4 vnt.</w:t>
            </w:r>
          </w:p>
          <w:p w14:paraId="70BD6C4C" w14:textId="77777777" w:rsidR="001A60C5" w:rsidRPr="008C6CE3" w:rsidRDefault="001A60C5" w:rsidP="005B4EBF">
            <w:pPr>
              <w:rPr>
                <w:lang w:val="lt-LT"/>
              </w:rPr>
            </w:pPr>
            <w:r w:rsidRPr="008C6CE3">
              <w:rPr>
                <w:lang w:val="lt-LT"/>
              </w:rPr>
              <w:t xml:space="preserve">SAMSUNG – 2 vnt. </w:t>
            </w:r>
          </w:p>
          <w:p w14:paraId="2DF09B9E" w14:textId="77777777" w:rsidR="001A60C5" w:rsidRPr="008C6CE3" w:rsidRDefault="001A60C5" w:rsidP="005B4EBF">
            <w:pPr>
              <w:rPr>
                <w:lang w:val="lt-LT"/>
              </w:rPr>
            </w:pPr>
            <w:r w:rsidRPr="008C6CE3">
              <w:rPr>
                <w:lang w:val="lt-LT"/>
              </w:rPr>
              <w:t>NOXA – 3 vnt.</w:t>
            </w:r>
          </w:p>
          <w:p w14:paraId="028EC78E" w14:textId="77777777" w:rsidR="001A60C5" w:rsidRPr="008C6CE3" w:rsidRDefault="001A60C5" w:rsidP="005B4EBF">
            <w:pPr>
              <w:rPr>
                <w:b/>
                <w:bCs/>
                <w:lang w:val="lt-LT"/>
              </w:rPr>
            </w:pPr>
            <w:r w:rsidRPr="008C6CE3">
              <w:rPr>
                <w:b/>
                <w:bCs/>
                <w:lang w:val="lt-LT"/>
              </w:rPr>
              <w:t>VISO:</w:t>
            </w:r>
            <w:r w:rsidRPr="008C6CE3">
              <w:rPr>
                <w:b/>
                <w:bCs/>
                <w:lang w:val="lt-LT"/>
              </w:rPr>
              <w:tab/>
              <w:t>11</w:t>
            </w:r>
          </w:p>
        </w:tc>
        <w:tc>
          <w:tcPr>
            <w:tcW w:w="8647" w:type="dxa"/>
            <w:vAlign w:val="center"/>
          </w:tcPr>
          <w:p w14:paraId="3A8A4D2E" w14:textId="77777777" w:rsidR="001A60C5" w:rsidRPr="008C6CE3" w:rsidRDefault="001A60C5" w:rsidP="005B4EBF">
            <w:pPr>
              <w:jc w:val="both"/>
              <w:rPr>
                <w:lang w:val="lt-LT"/>
              </w:rPr>
            </w:pPr>
            <w:r w:rsidRPr="008C6CE3">
              <w:rPr>
                <w:lang w:val="lt-LT"/>
              </w:rPr>
              <w:t xml:space="preserve">Techninę priežiūrą* (toliau – priežiūra) atlikti 1 kartą per metus. Techninė priežiūra vykdyti pagal iš anksto su Perkančiąja organizacija suderintą grafiką. </w:t>
            </w:r>
          </w:p>
          <w:p w14:paraId="66BFB933" w14:textId="77777777" w:rsidR="001A60C5" w:rsidRPr="008C6CE3" w:rsidRDefault="001A60C5" w:rsidP="005B4EBF">
            <w:pPr>
              <w:jc w:val="both"/>
              <w:rPr>
                <w:lang w:val="lt-LT"/>
              </w:rPr>
            </w:pPr>
            <w:r w:rsidRPr="008C6CE3">
              <w:rPr>
                <w:lang w:val="lt-LT"/>
              </w:rPr>
              <w:t>2. Suteikus Paslaugas pateikti Paslaugų atlikimo aktą bei įrangos techniniame pase ar techninės priežiūros protokole surašyti informaciją apie įrangos būklę ir tinkamumą naudoti.</w:t>
            </w:r>
          </w:p>
          <w:p w14:paraId="6430C20D" w14:textId="77777777" w:rsidR="001A60C5" w:rsidRPr="008C6CE3" w:rsidRDefault="001A60C5" w:rsidP="005B4EBF">
            <w:pPr>
              <w:jc w:val="both"/>
              <w:rPr>
                <w:lang w:val="lt-LT"/>
              </w:rPr>
            </w:pPr>
            <w:r w:rsidRPr="008C6CE3">
              <w:rPr>
                <w:lang w:val="lt-LT"/>
              </w:rPr>
              <w:t>3. Įrangos gedimų nustatymas per 48 val. nuo raštiško pranešimo gavimo el. paštu.</w:t>
            </w:r>
          </w:p>
          <w:p w14:paraId="3D915579" w14:textId="77777777" w:rsidR="001A60C5" w:rsidRPr="008C6CE3" w:rsidRDefault="001A60C5" w:rsidP="005B4EBF">
            <w:pPr>
              <w:jc w:val="both"/>
              <w:rPr>
                <w:lang w:val="lt-LT"/>
              </w:rPr>
            </w:pPr>
            <w:r w:rsidRPr="008C6CE3">
              <w:rPr>
                <w:lang w:val="lt-LT"/>
              </w:rPr>
              <w:t xml:space="preserve">4. Gedimo šalinimas per 3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0B88DA41" w14:textId="77777777" w:rsidR="001A60C5" w:rsidRPr="008C6CE3" w:rsidRDefault="001A60C5" w:rsidP="005B4EBF">
            <w:pPr>
              <w:jc w:val="both"/>
              <w:rPr>
                <w:lang w:val="lt-LT"/>
              </w:rPr>
            </w:pPr>
            <w:r w:rsidRPr="008C6CE3">
              <w:rPr>
                <w:lang w:val="lt-LT"/>
              </w:rPr>
              <w:t>5. Remonto darbams, keičiamoms detalėms suteikiama 6 mėn. Garantiją.</w:t>
            </w:r>
          </w:p>
          <w:p w14:paraId="1C29942E" w14:textId="77777777" w:rsidR="001A60C5" w:rsidRPr="008C6CE3" w:rsidRDefault="001A60C5" w:rsidP="005B4EBF">
            <w:pPr>
              <w:jc w:val="both"/>
              <w:rPr>
                <w:lang w:val="lt-LT"/>
              </w:rPr>
            </w:pPr>
            <w:r w:rsidRPr="008C6CE3">
              <w:rPr>
                <w:lang w:val="lt-LT"/>
              </w:rPr>
              <w:t>6. Avarinio iškvietimo / remonto darbų matavimo vienetas – valanda (perkama pagal poreikį).</w:t>
            </w:r>
          </w:p>
          <w:p w14:paraId="022674C4" w14:textId="77777777" w:rsidR="001A60C5" w:rsidRPr="008C6CE3" w:rsidRDefault="001A60C5" w:rsidP="005B4EBF">
            <w:pPr>
              <w:jc w:val="both"/>
              <w:rPr>
                <w:lang w:val="lt-LT"/>
              </w:rPr>
            </w:pPr>
            <w:r w:rsidRPr="008C6CE3">
              <w:rPr>
                <w:lang w:val="lt-LT"/>
              </w:rPr>
              <w:t xml:space="preserve">7. Maksimalus numatomas avarinio iškvietimo / remonto darbų kiekis sutarties galiojimo laikotarpiu - </w:t>
            </w:r>
            <w:r>
              <w:rPr>
                <w:lang w:val="lt-LT"/>
              </w:rPr>
              <w:t>3</w:t>
            </w:r>
            <w:r w:rsidRPr="008C6CE3">
              <w:rPr>
                <w:lang w:val="lt-LT"/>
              </w:rPr>
              <w:t>0 val.</w:t>
            </w:r>
          </w:p>
          <w:p w14:paraId="185A44B1" w14:textId="77777777" w:rsidR="001A60C5" w:rsidRPr="008C6CE3" w:rsidRDefault="001A60C5" w:rsidP="005B4EBF">
            <w:pPr>
              <w:jc w:val="both"/>
              <w:rPr>
                <w:lang w:val="lt-LT"/>
              </w:rPr>
            </w:pPr>
            <w:r w:rsidRPr="008C6CE3">
              <w:rPr>
                <w:lang w:val="lt-LT"/>
              </w:rPr>
              <w:t xml:space="preserve">8. Faktiškai patiriamos išlaidos (perkama pagal poreikį): ne daugiau kaip </w:t>
            </w:r>
            <w:r>
              <w:rPr>
                <w:lang w:val="lt-LT"/>
              </w:rPr>
              <w:t>5</w:t>
            </w:r>
            <w:r w:rsidRPr="008C6CE3">
              <w:rPr>
                <w:lang w:val="lt-LT"/>
              </w:rPr>
              <w:t>00,00 Eur.</w:t>
            </w:r>
          </w:p>
        </w:tc>
        <w:tc>
          <w:tcPr>
            <w:tcW w:w="1672" w:type="dxa"/>
            <w:vAlign w:val="center"/>
          </w:tcPr>
          <w:p w14:paraId="5A0A0AB3" w14:textId="77777777" w:rsidR="001A60C5" w:rsidRPr="008C6CE3" w:rsidRDefault="001A60C5" w:rsidP="005B4EBF">
            <w:pPr>
              <w:widowControl w:val="0"/>
              <w:autoSpaceDE w:val="0"/>
              <w:autoSpaceDN w:val="0"/>
              <w:adjustRightInd w:val="0"/>
              <w:jc w:val="center"/>
              <w:rPr>
                <w:sz w:val="23"/>
                <w:szCs w:val="23"/>
                <w:lang w:val="lt-LT"/>
              </w:rPr>
            </w:pPr>
            <w:r w:rsidRPr="008C6CE3">
              <w:rPr>
                <w:sz w:val="23"/>
                <w:szCs w:val="23"/>
                <w:lang w:val="lt-LT"/>
              </w:rPr>
              <w:t>Nemuno g. 75, Panevėžys</w:t>
            </w:r>
          </w:p>
        </w:tc>
      </w:tr>
      <w:tr w:rsidR="001A60C5" w:rsidRPr="008C6CE3" w14:paraId="2124F4D6" w14:textId="77777777" w:rsidTr="005B4EBF">
        <w:trPr>
          <w:trHeight w:val="4385"/>
        </w:trPr>
        <w:tc>
          <w:tcPr>
            <w:tcW w:w="562" w:type="dxa"/>
            <w:vAlign w:val="center"/>
          </w:tcPr>
          <w:p w14:paraId="70434B36" w14:textId="77777777" w:rsidR="001A60C5" w:rsidRPr="008C6CE3" w:rsidRDefault="001A60C5" w:rsidP="005B4EBF">
            <w:pPr>
              <w:jc w:val="center"/>
              <w:rPr>
                <w:lang w:val="lt-LT"/>
              </w:rPr>
            </w:pPr>
            <w:r w:rsidRPr="008C6CE3">
              <w:rPr>
                <w:lang w:val="lt-LT"/>
              </w:rPr>
              <w:t>3</w:t>
            </w:r>
          </w:p>
        </w:tc>
        <w:tc>
          <w:tcPr>
            <w:tcW w:w="3686" w:type="dxa"/>
            <w:vAlign w:val="center"/>
          </w:tcPr>
          <w:p w14:paraId="60A94330" w14:textId="77777777" w:rsidR="001A60C5" w:rsidRPr="008C6CE3" w:rsidRDefault="001A60C5" w:rsidP="005B4EBF">
            <w:pPr>
              <w:rPr>
                <w:lang w:val="lt-LT"/>
              </w:rPr>
            </w:pPr>
            <w:r>
              <w:rPr>
                <w:lang w:val="lt-LT"/>
              </w:rPr>
              <w:t>REFRA</w:t>
            </w:r>
            <w:r w:rsidRPr="008C6CE3">
              <w:rPr>
                <w:lang w:val="lt-LT"/>
              </w:rPr>
              <w:t xml:space="preserve"> – 1 vnt.</w:t>
            </w:r>
          </w:p>
          <w:p w14:paraId="588369EB" w14:textId="77777777" w:rsidR="001A60C5" w:rsidRPr="008C6CE3" w:rsidRDefault="001A60C5" w:rsidP="005B4EBF">
            <w:pPr>
              <w:rPr>
                <w:b/>
                <w:bCs/>
                <w:lang w:val="lt-LT"/>
              </w:rPr>
            </w:pPr>
            <w:r w:rsidRPr="008C6CE3">
              <w:rPr>
                <w:b/>
                <w:bCs/>
                <w:lang w:val="lt-LT"/>
              </w:rPr>
              <w:t>VISO:</w:t>
            </w:r>
            <w:r w:rsidRPr="008C6CE3">
              <w:rPr>
                <w:b/>
                <w:bCs/>
                <w:lang w:val="lt-LT"/>
              </w:rPr>
              <w:tab/>
              <w:t>1</w:t>
            </w:r>
          </w:p>
        </w:tc>
        <w:tc>
          <w:tcPr>
            <w:tcW w:w="8647" w:type="dxa"/>
            <w:vAlign w:val="center"/>
          </w:tcPr>
          <w:p w14:paraId="44834246" w14:textId="77777777" w:rsidR="001A60C5" w:rsidRPr="008C6CE3" w:rsidRDefault="001A60C5" w:rsidP="005B4EBF">
            <w:pPr>
              <w:jc w:val="both"/>
              <w:rPr>
                <w:lang w:val="lt-LT"/>
              </w:rPr>
            </w:pPr>
            <w:r w:rsidRPr="008C6CE3">
              <w:rPr>
                <w:lang w:val="lt-LT"/>
              </w:rPr>
              <w:t xml:space="preserve">Techninę priežiūrą* (toliau – priežiūra) atlikti 1 kartą per metus. Techninė priežiūra vykdyti pagal iš anksto su Perkančiąja organizacija suderintą grafiką. </w:t>
            </w:r>
          </w:p>
          <w:p w14:paraId="7A925277" w14:textId="77777777" w:rsidR="001A60C5" w:rsidRPr="008C6CE3" w:rsidRDefault="001A60C5" w:rsidP="005B4EBF">
            <w:pPr>
              <w:jc w:val="both"/>
              <w:rPr>
                <w:lang w:val="lt-LT"/>
              </w:rPr>
            </w:pPr>
            <w:r w:rsidRPr="008C6CE3">
              <w:rPr>
                <w:lang w:val="lt-LT"/>
              </w:rPr>
              <w:t>2. Suteikus Paslaugas pateikti Paslaugų atlikimo aktą bei įrangos techniniame pase ar techninės priežiūros protokole surašyti informaciją apie įrangos būklę ir tinkamumą naudoti.</w:t>
            </w:r>
          </w:p>
          <w:p w14:paraId="5A7293AB" w14:textId="77777777" w:rsidR="001A60C5" w:rsidRPr="008C6CE3" w:rsidRDefault="001A60C5" w:rsidP="005B4EBF">
            <w:pPr>
              <w:jc w:val="both"/>
              <w:rPr>
                <w:lang w:val="lt-LT"/>
              </w:rPr>
            </w:pPr>
            <w:r w:rsidRPr="008C6CE3">
              <w:rPr>
                <w:lang w:val="lt-LT"/>
              </w:rPr>
              <w:t>3. Įrangos gedimų nustatymas per 48 val. nuo raštiško pranešimo gavimo el. paštu.</w:t>
            </w:r>
          </w:p>
          <w:p w14:paraId="7897EB72" w14:textId="77777777" w:rsidR="001A60C5" w:rsidRPr="008C6CE3" w:rsidRDefault="001A60C5" w:rsidP="005B4EBF">
            <w:pPr>
              <w:jc w:val="both"/>
              <w:rPr>
                <w:lang w:val="lt-LT"/>
              </w:rPr>
            </w:pPr>
            <w:r w:rsidRPr="008C6CE3">
              <w:rPr>
                <w:lang w:val="lt-LT"/>
              </w:rPr>
              <w:t xml:space="preserve">4. Gedimo šalinimas per 3 darbo dienas arba Šalims raštu susitarus dėl kito gedimo pašalinimo laikotarpio. Terminas gedimo pašalinimui gali būti pratęstas, jei paslaugų teikėjas gedimo pašalinimui/remonto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darbo dienų. </w:t>
            </w:r>
          </w:p>
          <w:p w14:paraId="77307CEE" w14:textId="77777777" w:rsidR="001A60C5" w:rsidRPr="008C6CE3" w:rsidRDefault="001A60C5" w:rsidP="005B4EBF">
            <w:pPr>
              <w:jc w:val="both"/>
              <w:rPr>
                <w:lang w:val="lt-LT"/>
              </w:rPr>
            </w:pPr>
            <w:r w:rsidRPr="008C6CE3">
              <w:rPr>
                <w:lang w:val="lt-LT"/>
              </w:rPr>
              <w:t>5. Remonto darbams, keičiamoms detalėms suteikiama 6 mėn. Garantiją.</w:t>
            </w:r>
          </w:p>
          <w:p w14:paraId="1A35B4DE" w14:textId="77777777" w:rsidR="001A60C5" w:rsidRPr="008C6CE3" w:rsidRDefault="001A60C5" w:rsidP="005B4EBF">
            <w:pPr>
              <w:jc w:val="both"/>
              <w:rPr>
                <w:lang w:val="lt-LT"/>
              </w:rPr>
            </w:pPr>
            <w:r w:rsidRPr="008C6CE3">
              <w:rPr>
                <w:lang w:val="lt-LT"/>
              </w:rPr>
              <w:t>6. Avarinio iškvietimo / remonto darbų matavimo vienetas – valanda (perkama pagal poreikį).</w:t>
            </w:r>
          </w:p>
          <w:p w14:paraId="19686C9C" w14:textId="77777777" w:rsidR="001A60C5" w:rsidRPr="008C6CE3" w:rsidRDefault="001A60C5" w:rsidP="005B4EBF">
            <w:pPr>
              <w:jc w:val="both"/>
              <w:rPr>
                <w:lang w:val="lt-LT"/>
              </w:rPr>
            </w:pPr>
            <w:r w:rsidRPr="008C6CE3">
              <w:rPr>
                <w:lang w:val="lt-LT"/>
              </w:rPr>
              <w:t>7. Maksimalus numatomas avarinio iškvietimo / remonto darbų kiekis sutarties galiojimo laikotarpiu - 1</w:t>
            </w:r>
            <w:r>
              <w:rPr>
                <w:lang w:val="lt-LT"/>
              </w:rPr>
              <w:t>2</w:t>
            </w:r>
            <w:r w:rsidRPr="008C6CE3">
              <w:rPr>
                <w:lang w:val="lt-LT"/>
              </w:rPr>
              <w:t xml:space="preserve"> val.</w:t>
            </w:r>
          </w:p>
          <w:p w14:paraId="561B6CD8" w14:textId="77777777" w:rsidR="001A60C5" w:rsidRPr="008C6CE3" w:rsidRDefault="001A60C5" w:rsidP="005B4EBF">
            <w:pPr>
              <w:jc w:val="both"/>
              <w:rPr>
                <w:lang w:val="lt-LT"/>
              </w:rPr>
            </w:pPr>
            <w:r w:rsidRPr="008C6CE3">
              <w:rPr>
                <w:lang w:val="lt-LT"/>
              </w:rPr>
              <w:t xml:space="preserve">8. Faktiškai patiriamos išlaidos (perkama pagal poreikį): ne daugiau kaip </w:t>
            </w:r>
            <w:r>
              <w:rPr>
                <w:lang w:val="lt-LT"/>
              </w:rPr>
              <w:t>3</w:t>
            </w:r>
            <w:r w:rsidRPr="008C6CE3">
              <w:rPr>
                <w:lang w:val="lt-LT"/>
              </w:rPr>
              <w:t>00,00 Eur.</w:t>
            </w:r>
          </w:p>
        </w:tc>
        <w:tc>
          <w:tcPr>
            <w:tcW w:w="1672" w:type="dxa"/>
            <w:vAlign w:val="center"/>
          </w:tcPr>
          <w:p w14:paraId="752B81F1" w14:textId="77777777" w:rsidR="001A60C5" w:rsidRPr="008C6CE3" w:rsidRDefault="001A60C5" w:rsidP="005B4EBF">
            <w:pPr>
              <w:widowControl w:val="0"/>
              <w:autoSpaceDE w:val="0"/>
              <w:autoSpaceDN w:val="0"/>
              <w:adjustRightInd w:val="0"/>
              <w:jc w:val="center"/>
              <w:rPr>
                <w:sz w:val="23"/>
                <w:szCs w:val="23"/>
                <w:lang w:val="lt-LT"/>
              </w:rPr>
            </w:pPr>
            <w:r w:rsidRPr="008C6CE3">
              <w:rPr>
                <w:sz w:val="23"/>
                <w:szCs w:val="23"/>
                <w:lang w:val="lt-LT"/>
              </w:rPr>
              <w:t>S. Daukanto g. 90, Šiauliai</w:t>
            </w:r>
          </w:p>
        </w:tc>
      </w:tr>
    </w:tbl>
    <w:p w14:paraId="21D17A01" w14:textId="77777777" w:rsidR="001A60C5" w:rsidRPr="008C6CE3" w:rsidRDefault="001A60C5" w:rsidP="001A60C5">
      <w:pPr>
        <w:ind w:right="99" w:firstLine="567"/>
        <w:jc w:val="both"/>
        <w:rPr>
          <w:lang w:val="lt-LT"/>
        </w:rPr>
      </w:pPr>
      <w:r w:rsidRPr="008C6CE3">
        <w:rPr>
          <w:lang w:val="lt-LT"/>
        </w:rPr>
        <w:lastRenderedPageBreak/>
        <w:t>*</w:t>
      </w:r>
      <w:r w:rsidRPr="008C6CE3">
        <w:rPr>
          <w:lang w:val="lt-LT" w:eastAsia="lt-LT"/>
        </w:rPr>
        <w:t xml:space="preserve"> </w:t>
      </w:r>
      <w:r w:rsidRPr="008C6CE3">
        <w:rPr>
          <w:lang w:val="lt-LT"/>
        </w:rPr>
        <w:t xml:space="preserve">Techninę priežiūrą ir remontą gali atlikti tik įmonė, turinti tinkamos kvalifikacijos specialistų ir patirties. </w:t>
      </w:r>
      <w:r w:rsidRPr="008C6CE3">
        <w:rPr>
          <w:b/>
          <w:lang w:val="lt-LT"/>
        </w:rPr>
        <w:t>Pateikti tai patvirtinančius dokumentus</w:t>
      </w:r>
      <w:r w:rsidRPr="008C6CE3">
        <w:rPr>
          <w:lang w:val="lt-LT"/>
        </w:rPr>
        <w:t>.</w:t>
      </w:r>
      <w:r w:rsidRPr="008C6CE3">
        <w:rPr>
          <w:b/>
          <w:bCs/>
          <w:lang w:val="lt-LT"/>
        </w:rPr>
        <w:t xml:space="preserve"> </w:t>
      </w:r>
      <w:r w:rsidRPr="008C6CE3">
        <w:rPr>
          <w:lang w:val="lt-LT"/>
        </w:rPr>
        <w:t xml:space="preserve">Paslaugų teikėjas pateikia patvirtinimą raštu, jeigu, vykdant Sutartį, darbus atliks specialistas, kuris nėra Paslaugų teikėjo darbuotojas. Paslaugų tiekėjas privalo nurodyti specialisto vardą, pavardę ir pateikti susitarimo ar kito abipusiai pasirašyto dokumento kopiją, kuri patvirtintų, kad išteklius jam bus prieinamas visą sutarties galiojimo laikotarpį. </w:t>
      </w:r>
    </w:p>
    <w:p w14:paraId="7C423E0B" w14:textId="77777777" w:rsidR="001A60C5" w:rsidRPr="008C6CE3" w:rsidRDefault="001A60C5" w:rsidP="001A60C5">
      <w:pPr>
        <w:spacing w:line="252" w:lineRule="auto"/>
        <w:ind w:firstLine="567"/>
        <w:jc w:val="both"/>
        <w:rPr>
          <w:rFonts w:eastAsia="Calibri"/>
          <w:lang w:val="lt-LT"/>
        </w:rPr>
      </w:pPr>
      <w:r w:rsidRPr="008C6CE3">
        <w:rPr>
          <w:rFonts w:eastAsia="Calibri"/>
          <w:lang w:val="lt-LT"/>
        </w:rPr>
        <w:t>Sąlygos pateikiamos vadovaujantis ir atsižvelgiant į reikalavimus, nurodytus Gerosios praktikos gairių kraujo donorystės įstaigoms 8 punkto (Išorės subjektų valdymas) 8.2.1 papunktį (Užsakovas atsako už rangovo kompetencijos įvertinimą, kad pastarasis galėtų sėkmingai atlikti jam pavestą darbą ir už tai, kad sutartimi būtų užtikrintas Gerosios praktikos principų ir nuostatų laikymasis), 8.3.2 papunktį (Rangovas turėtų turėti atitinkamas patalpas, įrangą, žinias, patirtį ir kompetentingus darbuotojus, kad galėtų deramai atlikti tą darbą, kurio prašo užsakovas).</w:t>
      </w:r>
    </w:p>
    <w:p w14:paraId="1453295B" w14:textId="77777777" w:rsidR="001A60C5" w:rsidRPr="008C6CE3" w:rsidRDefault="001A60C5" w:rsidP="001A60C5">
      <w:pPr>
        <w:spacing w:line="252" w:lineRule="auto"/>
        <w:ind w:firstLine="567"/>
        <w:jc w:val="center"/>
        <w:rPr>
          <w:rFonts w:eastAsia="Calibri"/>
          <w:lang w:val="lt-LT"/>
        </w:rPr>
      </w:pPr>
    </w:p>
    <w:p w14:paraId="55663730" w14:textId="77777777" w:rsidR="001A60C5" w:rsidRPr="008C6CE3" w:rsidRDefault="001A60C5" w:rsidP="001A60C5">
      <w:pPr>
        <w:spacing w:line="252" w:lineRule="auto"/>
        <w:ind w:firstLine="567"/>
        <w:jc w:val="center"/>
        <w:rPr>
          <w:b/>
          <w:bCs/>
          <w:lang w:val="lt-LT" w:eastAsia="lt-LT"/>
        </w:rPr>
      </w:pPr>
      <w:r w:rsidRPr="008C6CE3">
        <w:rPr>
          <w:rFonts w:eastAsia="Calibri"/>
          <w:lang w:val="lt-LT"/>
        </w:rPr>
        <w:t>______________________________________________</w:t>
      </w:r>
    </w:p>
    <w:p w14:paraId="17607640" w14:textId="77777777" w:rsidR="00F13247" w:rsidRPr="00F94E71" w:rsidRDefault="00F13247" w:rsidP="00F13247">
      <w:pPr>
        <w:spacing w:line="252" w:lineRule="auto"/>
        <w:jc w:val="both"/>
        <w:rPr>
          <w:b/>
          <w:bCs/>
          <w:lang w:val="lt-LT" w:eastAsia="lt-LT"/>
        </w:rPr>
      </w:pPr>
    </w:p>
    <w:sectPr w:rsidR="00F13247" w:rsidRPr="00F94E71" w:rsidSect="00F13247">
      <w:pgSz w:w="16839" w:h="11907" w:orient="landscape" w:code="9"/>
      <w:pgMar w:top="1135" w:right="1134" w:bottom="79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D1FA" w14:textId="77777777" w:rsidR="00FD2CA3" w:rsidRDefault="00FD2CA3" w:rsidP="00770735">
      <w:r>
        <w:separator/>
      </w:r>
    </w:p>
  </w:endnote>
  <w:endnote w:type="continuationSeparator" w:id="0">
    <w:p w14:paraId="3B6E1F57" w14:textId="77777777" w:rsidR="00FD2CA3" w:rsidRDefault="00FD2CA3"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31A0" w14:textId="77777777" w:rsidR="00FD2CA3" w:rsidRDefault="00FD2CA3" w:rsidP="00770735">
      <w:r>
        <w:separator/>
      </w:r>
    </w:p>
  </w:footnote>
  <w:footnote w:type="continuationSeparator" w:id="0">
    <w:p w14:paraId="7CFECDF9" w14:textId="77777777" w:rsidR="00FD2CA3" w:rsidRDefault="00FD2CA3"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019980">
    <w:abstractNumId w:val="4"/>
  </w:num>
  <w:num w:numId="2" w16cid:durableId="1909805724">
    <w:abstractNumId w:val="2"/>
  </w:num>
  <w:num w:numId="3" w16cid:durableId="1661423943">
    <w:abstractNumId w:val="1"/>
  </w:num>
  <w:num w:numId="4" w16cid:durableId="973633836">
    <w:abstractNumId w:val="3"/>
  </w:num>
  <w:num w:numId="5" w16cid:durableId="1091968469">
    <w:abstractNumId w:val="5"/>
  </w:num>
  <w:num w:numId="6" w16cid:durableId="8893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76FA5"/>
    <w:rsid w:val="00082614"/>
    <w:rsid w:val="000A1FB2"/>
    <w:rsid w:val="000A6B9B"/>
    <w:rsid w:val="000C4EFD"/>
    <w:rsid w:val="000D0676"/>
    <w:rsid w:val="000D3804"/>
    <w:rsid w:val="000E250A"/>
    <w:rsid w:val="000E29D2"/>
    <w:rsid w:val="00107FF0"/>
    <w:rsid w:val="0011352B"/>
    <w:rsid w:val="00121949"/>
    <w:rsid w:val="00132F4F"/>
    <w:rsid w:val="001336F5"/>
    <w:rsid w:val="00135E6C"/>
    <w:rsid w:val="00141053"/>
    <w:rsid w:val="001555DD"/>
    <w:rsid w:val="00162580"/>
    <w:rsid w:val="00185A1B"/>
    <w:rsid w:val="001911D0"/>
    <w:rsid w:val="00191ADF"/>
    <w:rsid w:val="001A1F85"/>
    <w:rsid w:val="001A60C5"/>
    <w:rsid w:val="001B14C9"/>
    <w:rsid w:val="001C38BA"/>
    <w:rsid w:val="001E0157"/>
    <w:rsid w:val="001F4FC3"/>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C1933"/>
    <w:rsid w:val="004D33CD"/>
    <w:rsid w:val="004D34B1"/>
    <w:rsid w:val="004D7FB3"/>
    <w:rsid w:val="004E42DA"/>
    <w:rsid w:val="005059AF"/>
    <w:rsid w:val="005108A1"/>
    <w:rsid w:val="00513050"/>
    <w:rsid w:val="00514D34"/>
    <w:rsid w:val="00534761"/>
    <w:rsid w:val="00557E21"/>
    <w:rsid w:val="00594D25"/>
    <w:rsid w:val="005D47E1"/>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268EF"/>
    <w:rsid w:val="007308EC"/>
    <w:rsid w:val="007522BA"/>
    <w:rsid w:val="00764104"/>
    <w:rsid w:val="00770735"/>
    <w:rsid w:val="00775CC7"/>
    <w:rsid w:val="00791119"/>
    <w:rsid w:val="007950D9"/>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80348"/>
    <w:rsid w:val="0088210C"/>
    <w:rsid w:val="00885F9B"/>
    <w:rsid w:val="00891639"/>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7037F"/>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02011"/>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7E0B"/>
    <w:rsid w:val="00E14808"/>
    <w:rsid w:val="00E1773D"/>
    <w:rsid w:val="00E26372"/>
    <w:rsid w:val="00E31690"/>
    <w:rsid w:val="00E331CF"/>
    <w:rsid w:val="00E336DC"/>
    <w:rsid w:val="00E42937"/>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4493E"/>
    <w:rsid w:val="00F52381"/>
    <w:rsid w:val="00F54D3B"/>
    <w:rsid w:val="00F81DAF"/>
    <w:rsid w:val="00F94E71"/>
    <w:rsid w:val="00FB3777"/>
    <w:rsid w:val="00FD1314"/>
    <w:rsid w:val="00FD2CA3"/>
    <w:rsid w:val="00FD61A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specifikacija.dot</Template>
  <TotalTime>12</TotalTime>
  <Pages>3</Pages>
  <Words>3626</Words>
  <Characters>2067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4</cp:revision>
  <cp:lastPrinted>2022-04-13T09:47:00Z</cp:lastPrinted>
  <dcterms:created xsi:type="dcterms:W3CDTF">2023-08-08T12:55:00Z</dcterms:created>
  <dcterms:modified xsi:type="dcterms:W3CDTF">2026-03-02T13:14:00Z</dcterms:modified>
</cp:coreProperties>
</file>