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2DFC" w14:textId="1301CC32" w:rsidR="001B0B5A" w:rsidRDefault="001B0B5A" w:rsidP="001B0B5A">
      <w:pPr>
        <w:jc w:val="right"/>
        <w:rPr>
          <w:rFonts w:ascii="Calibri Light" w:hAnsi="Calibri Light" w:cs="Calibri Light"/>
          <w:b/>
          <w:bCs/>
        </w:rPr>
      </w:pPr>
      <w:r w:rsidRPr="001B0B5A">
        <w:rPr>
          <w:rFonts w:ascii="Calibri Light" w:hAnsi="Calibri Light" w:cs="Calibri Light"/>
          <w:b/>
          <w:bCs/>
        </w:rPr>
        <w:t>1 priedas</w:t>
      </w:r>
    </w:p>
    <w:p w14:paraId="6578B835" w14:textId="68F496AD" w:rsidR="00DC1374" w:rsidRPr="001B0B5A" w:rsidRDefault="00DC1374" w:rsidP="001B0B5A">
      <w:pPr>
        <w:jc w:val="center"/>
        <w:rPr>
          <w:rFonts w:ascii="Calibri Light" w:hAnsi="Calibri Light" w:cs="Calibri Light"/>
          <w:b/>
          <w:bCs/>
        </w:rPr>
      </w:pPr>
      <w:r w:rsidRPr="00535A25">
        <w:rPr>
          <w:rFonts w:ascii="Calibri Light" w:hAnsi="Calibri Light" w:cs="Calibri Light"/>
          <w:b/>
          <w:bCs/>
        </w:rPr>
        <w:t>DAUGKARTINIO VEIKIMO AUTOMATINI</w:t>
      </w:r>
      <w:r w:rsidR="001B0B5A">
        <w:rPr>
          <w:rFonts w:ascii="Calibri Light" w:hAnsi="Calibri Light" w:cs="Calibri Light"/>
          <w:b/>
          <w:bCs/>
        </w:rPr>
        <w:t>Ų</w:t>
      </w:r>
      <w:r w:rsidRPr="00535A25">
        <w:rPr>
          <w:rFonts w:ascii="Calibri Light" w:hAnsi="Calibri Light" w:cs="Calibri Light"/>
          <w:b/>
          <w:bCs/>
        </w:rPr>
        <w:t xml:space="preserve"> PRIEŠGAISRINĖS SIGNALIZACIJOS DAVIKLI</w:t>
      </w:r>
      <w:r w:rsidR="001B0B5A">
        <w:rPr>
          <w:rFonts w:ascii="Calibri Light" w:hAnsi="Calibri Light" w:cs="Calibri Light"/>
          <w:b/>
          <w:bCs/>
        </w:rPr>
        <w:t>Ų</w:t>
      </w:r>
      <w:r w:rsidRPr="00535A25">
        <w:rPr>
          <w:rFonts w:ascii="Calibri Light" w:hAnsi="Calibri Light" w:cs="Calibri Light"/>
          <w:b/>
          <w:bCs/>
        </w:rPr>
        <w:t xml:space="preserve"> SU MONTAVIMU</w:t>
      </w:r>
      <w:r w:rsidR="001B0B5A">
        <w:rPr>
          <w:rFonts w:ascii="Calibri Light" w:hAnsi="Calibri Light" w:cs="Calibri Light"/>
          <w:b/>
          <w:bCs/>
        </w:rPr>
        <w:t xml:space="preserve"> TECHNINĖ SPECIFIKACIJA</w:t>
      </w:r>
    </w:p>
    <w:p w14:paraId="633FBF44" w14:textId="70BEA960" w:rsidR="00DC1374" w:rsidRPr="00535A25" w:rsidRDefault="00DC1374" w:rsidP="00535A25">
      <w:pPr>
        <w:numPr>
          <w:ilvl w:val="0"/>
          <w:numId w:val="1"/>
        </w:numPr>
        <w:spacing w:after="0"/>
        <w:jc w:val="both"/>
        <w:rPr>
          <w:rFonts w:ascii="Calibri Light" w:hAnsi="Calibri Light" w:cs="Calibri Light"/>
        </w:rPr>
      </w:pPr>
      <w:r w:rsidRPr="00535A25">
        <w:rPr>
          <w:rFonts w:ascii="Calibri Light" w:hAnsi="Calibri Light" w:cs="Calibri Light"/>
        </w:rPr>
        <w:t>S</w:t>
      </w:r>
      <w:r w:rsidR="0062588B">
        <w:rPr>
          <w:rFonts w:ascii="Calibri Light" w:hAnsi="Calibri Light" w:cs="Calibri Light"/>
        </w:rPr>
        <w:t>avivaldybės įmonė</w:t>
      </w:r>
      <w:r w:rsidRPr="00535A25">
        <w:rPr>
          <w:rFonts w:ascii="Calibri Light" w:hAnsi="Calibri Light" w:cs="Calibri Light"/>
        </w:rPr>
        <w:t xml:space="preserve"> „Vilniaus miesto būstas“ (toliau – Užsakovas) numato pirkti daugkartinio veikimo automatinius priešgaisrinės signalizacijos daviklius su montavimu (toliau – Prekė) pagal pateiktą adresą Vilniaus mieste Sutarties vykdymo metu. </w:t>
      </w:r>
    </w:p>
    <w:p w14:paraId="1F9970C4" w14:textId="77777777" w:rsidR="00DC1374" w:rsidRPr="00535A25" w:rsidRDefault="00DC1374" w:rsidP="00535A25">
      <w:pPr>
        <w:numPr>
          <w:ilvl w:val="0"/>
          <w:numId w:val="1"/>
        </w:numPr>
        <w:spacing w:after="0"/>
        <w:jc w:val="both"/>
        <w:rPr>
          <w:rFonts w:ascii="Calibri Light" w:hAnsi="Calibri Light" w:cs="Calibri Light"/>
        </w:rPr>
      </w:pPr>
      <w:r w:rsidRPr="00535A25">
        <w:rPr>
          <w:rFonts w:ascii="Calibri Light" w:hAnsi="Calibri Light" w:cs="Calibri Light"/>
        </w:rPr>
        <w:t xml:space="preserve">Detektoriai skirti uždarose patalpose stebėti ir perspėti vartotoją apie galimą gaisro pavojų. </w:t>
      </w:r>
    </w:p>
    <w:p w14:paraId="5C87D99B" w14:textId="77777777" w:rsidR="00DC1374" w:rsidRPr="00535A25" w:rsidRDefault="00DC1374" w:rsidP="00535A25">
      <w:pPr>
        <w:numPr>
          <w:ilvl w:val="0"/>
          <w:numId w:val="1"/>
        </w:numPr>
        <w:spacing w:after="0"/>
        <w:jc w:val="both"/>
        <w:rPr>
          <w:rFonts w:ascii="Calibri Light" w:hAnsi="Calibri Light" w:cs="Calibri Light"/>
        </w:rPr>
      </w:pPr>
      <w:r w:rsidRPr="00535A25">
        <w:rPr>
          <w:rFonts w:ascii="Calibri Light" w:hAnsi="Calibri Light" w:cs="Calibri Light"/>
          <w:bCs/>
        </w:rPr>
        <w:t>Techniniai optinių dūmų detektorių parametrai:</w:t>
      </w:r>
      <w:r w:rsidRPr="00535A25">
        <w:rPr>
          <w:rFonts w:ascii="Calibri Light" w:hAnsi="Calibri Light" w:cs="Calibri Light"/>
          <w:b/>
          <w:bCs/>
        </w:rPr>
        <w:t xml:space="preserve"> </w:t>
      </w:r>
    </w:p>
    <w:p w14:paraId="62B3F74F" w14:textId="77777777" w:rsidR="00DC1374" w:rsidRPr="00535A25" w:rsidRDefault="00DC1374" w:rsidP="00535A25">
      <w:pPr>
        <w:numPr>
          <w:ilvl w:val="0"/>
          <w:numId w:val="2"/>
        </w:numPr>
        <w:spacing w:after="0"/>
        <w:jc w:val="both"/>
        <w:rPr>
          <w:rFonts w:ascii="Calibri Light" w:hAnsi="Calibri Light" w:cs="Calibri Light"/>
        </w:rPr>
      </w:pPr>
      <w:r w:rsidRPr="00535A25">
        <w:rPr>
          <w:rFonts w:ascii="Calibri Light" w:hAnsi="Calibri Light" w:cs="Calibri Light"/>
        </w:rPr>
        <w:t>optinis jutiklis dūmams aptikti;</w:t>
      </w:r>
    </w:p>
    <w:p w14:paraId="1E2CABE7" w14:textId="3C3E2580" w:rsidR="005542DA" w:rsidRPr="001B0B5A" w:rsidRDefault="005542DA" w:rsidP="00535A25">
      <w:pPr>
        <w:numPr>
          <w:ilvl w:val="0"/>
          <w:numId w:val="2"/>
        </w:numPr>
        <w:spacing w:after="0"/>
        <w:jc w:val="both"/>
        <w:rPr>
          <w:rFonts w:ascii="Calibri Light" w:hAnsi="Calibri Light" w:cs="Calibri Light"/>
        </w:rPr>
      </w:pPr>
      <w:r w:rsidRPr="001B0B5A">
        <w:rPr>
          <w:rFonts w:ascii="Calibri Light" w:hAnsi="Calibri Light" w:cs="Calibri Light"/>
        </w:rPr>
        <w:t>Kompaktiškas, modernaus dizaino autonominis dūmų detektorius su integruota, 10 metų veikiančia baterija (baterijos nereikia keisti visą detektoriaus gyvavimo laikotarpį). Dūmų detektorius turi testavimo ir nutildymo funkciją (pastaroji yra skirta išjungti signalizaciją, jei prietaisas įsijungė per klaidą, pavyzdžiui intensyvaus maisto ruošimo metu).</w:t>
      </w:r>
    </w:p>
    <w:p w14:paraId="438DD70C" w14:textId="77777777" w:rsidR="00DC1374" w:rsidRPr="00535A25" w:rsidRDefault="00DC1374" w:rsidP="00535A25">
      <w:pPr>
        <w:numPr>
          <w:ilvl w:val="0"/>
          <w:numId w:val="2"/>
        </w:numPr>
        <w:spacing w:after="0"/>
        <w:jc w:val="both"/>
        <w:rPr>
          <w:rFonts w:ascii="Calibri Light" w:hAnsi="Calibri Light" w:cs="Calibri Light"/>
        </w:rPr>
      </w:pPr>
      <w:r w:rsidRPr="00535A25">
        <w:rPr>
          <w:rFonts w:ascii="Calibri Light" w:hAnsi="Calibri Light" w:cs="Calibri Light"/>
        </w:rPr>
        <w:t>montuojami vidaus patalpose;</w:t>
      </w:r>
    </w:p>
    <w:p w14:paraId="337FAFAB" w14:textId="77777777" w:rsidR="00DC1374" w:rsidRPr="00535A25" w:rsidRDefault="00DC1374" w:rsidP="00535A25">
      <w:pPr>
        <w:numPr>
          <w:ilvl w:val="0"/>
          <w:numId w:val="2"/>
        </w:numPr>
        <w:spacing w:after="0"/>
        <w:jc w:val="both"/>
        <w:rPr>
          <w:rFonts w:ascii="Calibri Light" w:hAnsi="Calibri Light" w:cs="Calibri Light"/>
        </w:rPr>
      </w:pPr>
      <w:r w:rsidRPr="00535A25">
        <w:rPr>
          <w:rFonts w:ascii="Calibri Light" w:hAnsi="Calibri Light" w:cs="Calibri Light"/>
        </w:rPr>
        <w:t xml:space="preserve">85 </w:t>
      </w:r>
      <w:proofErr w:type="spellStart"/>
      <w:r w:rsidRPr="00535A25">
        <w:rPr>
          <w:rFonts w:ascii="Calibri Light" w:hAnsi="Calibri Light" w:cs="Calibri Light"/>
        </w:rPr>
        <w:t>mB</w:t>
      </w:r>
      <w:proofErr w:type="spellEnd"/>
      <w:r w:rsidRPr="00535A25">
        <w:rPr>
          <w:rFonts w:ascii="Calibri Light" w:hAnsi="Calibri Light" w:cs="Calibri Light"/>
        </w:rPr>
        <w:t xml:space="preserve"> garsas (paklaida apie 10 </w:t>
      </w:r>
      <w:proofErr w:type="spellStart"/>
      <w:r w:rsidRPr="00535A25">
        <w:rPr>
          <w:rFonts w:ascii="Calibri Light" w:hAnsi="Calibri Light" w:cs="Calibri Light"/>
        </w:rPr>
        <w:t>mB</w:t>
      </w:r>
      <w:proofErr w:type="spellEnd"/>
      <w:r w:rsidRPr="00535A25">
        <w:rPr>
          <w:rFonts w:ascii="Calibri Light" w:hAnsi="Calibri Light" w:cs="Calibri Light"/>
        </w:rPr>
        <w:t>);</w:t>
      </w:r>
    </w:p>
    <w:p w14:paraId="4482F176" w14:textId="77777777" w:rsidR="00DC1374" w:rsidRPr="00535A25" w:rsidRDefault="00DC1374" w:rsidP="00535A25">
      <w:pPr>
        <w:numPr>
          <w:ilvl w:val="0"/>
          <w:numId w:val="2"/>
        </w:numPr>
        <w:spacing w:after="0"/>
        <w:jc w:val="both"/>
        <w:rPr>
          <w:rFonts w:ascii="Calibri Light" w:hAnsi="Calibri Light" w:cs="Calibri Light"/>
        </w:rPr>
      </w:pPr>
      <w:r w:rsidRPr="00535A25">
        <w:rPr>
          <w:rFonts w:ascii="Calibri Light" w:hAnsi="Calibri Light" w:cs="Calibri Light"/>
        </w:rPr>
        <w:t>20-25 m dūmų aptikimo diapazonas;</w:t>
      </w:r>
    </w:p>
    <w:p w14:paraId="6E761A80" w14:textId="77777777" w:rsidR="00DC1374" w:rsidRPr="00535A25" w:rsidRDefault="00DC1374" w:rsidP="00535A25">
      <w:pPr>
        <w:numPr>
          <w:ilvl w:val="0"/>
          <w:numId w:val="2"/>
        </w:numPr>
        <w:spacing w:after="0"/>
        <w:jc w:val="both"/>
        <w:rPr>
          <w:rFonts w:ascii="Calibri Light" w:hAnsi="Calibri Light" w:cs="Calibri Light"/>
        </w:rPr>
      </w:pPr>
      <w:r w:rsidRPr="00535A25">
        <w:rPr>
          <w:rFonts w:ascii="Calibri Light" w:hAnsi="Calibri Light" w:cs="Calibri Light"/>
        </w:rPr>
        <w:t>testo mygtukas;</w:t>
      </w:r>
    </w:p>
    <w:p w14:paraId="43E38A26" w14:textId="77777777" w:rsidR="00DC1374" w:rsidRPr="00535A25" w:rsidRDefault="00DC1374" w:rsidP="00535A25">
      <w:pPr>
        <w:numPr>
          <w:ilvl w:val="0"/>
          <w:numId w:val="2"/>
        </w:numPr>
        <w:spacing w:after="0"/>
        <w:jc w:val="both"/>
        <w:rPr>
          <w:rFonts w:ascii="Calibri Light" w:hAnsi="Calibri Light" w:cs="Calibri Light"/>
        </w:rPr>
      </w:pPr>
      <w:r w:rsidRPr="00535A25">
        <w:rPr>
          <w:rFonts w:ascii="Calibri Light" w:hAnsi="Calibri Light" w:cs="Calibri Light"/>
        </w:rPr>
        <w:t>senkančios baterijos ar nepakankamos energijos indikatorius;</w:t>
      </w:r>
    </w:p>
    <w:p w14:paraId="0B37B225" w14:textId="77777777" w:rsidR="00DC1374" w:rsidRPr="00535A25" w:rsidRDefault="00DC1374" w:rsidP="00535A25">
      <w:pPr>
        <w:numPr>
          <w:ilvl w:val="0"/>
          <w:numId w:val="2"/>
        </w:numPr>
        <w:spacing w:after="0"/>
        <w:jc w:val="both"/>
        <w:rPr>
          <w:rFonts w:ascii="Calibri Light" w:hAnsi="Calibri Light" w:cs="Calibri Light"/>
        </w:rPr>
      </w:pPr>
      <w:r w:rsidRPr="00535A25">
        <w:rPr>
          <w:rFonts w:ascii="Calibri Light" w:hAnsi="Calibri Light" w:cs="Calibri Light"/>
        </w:rPr>
        <w:t>dūmų detektoriai turi atitikti LST EN 14604 galiojantį standartą, yra paženklinti CE ženklu, su eksploatavimo instrukcija.</w:t>
      </w:r>
    </w:p>
    <w:p w14:paraId="72B9DCDA" w14:textId="77777777" w:rsidR="00DC1374" w:rsidRPr="00535A25" w:rsidRDefault="00DC1374" w:rsidP="00535A25">
      <w:pPr>
        <w:numPr>
          <w:ilvl w:val="0"/>
          <w:numId w:val="1"/>
        </w:numPr>
        <w:spacing w:after="0"/>
        <w:jc w:val="both"/>
        <w:rPr>
          <w:rFonts w:ascii="Calibri Light" w:hAnsi="Calibri Light" w:cs="Calibri Light"/>
        </w:rPr>
      </w:pPr>
      <w:r w:rsidRPr="00535A25">
        <w:rPr>
          <w:rFonts w:ascii="Calibri Light" w:hAnsi="Calibri Light" w:cs="Calibri Light"/>
        </w:rPr>
        <w:t xml:space="preserve">Užsakovas Prekių pristatymui ir sumontavimui pateiks užsakymą elektroniniu būdu, nurodydamas kiekį ir pristatymo adresą. Gavęs užsakymą Tiekėjas turi patvirtinti užsakymą Prekėms teikti gavimą, atsiunčiant atsakymą į gautą el. laišką. Tiekėjas nuo užsakymo gavimo patvirtinimo dienos, įsipareigoja Prekes pristatyti ir sumontuoti objekte </w:t>
      </w:r>
      <w:r w:rsidRPr="00535A25">
        <w:rPr>
          <w:rFonts w:ascii="Calibri Light" w:hAnsi="Calibri Light" w:cs="Calibri Light"/>
          <w:b/>
          <w:bCs/>
        </w:rPr>
        <w:t>per 5 (penkias) darbo dienas</w:t>
      </w:r>
      <w:r w:rsidRPr="00535A25">
        <w:rPr>
          <w:rFonts w:ascii="Calibri Light" w:hAnsi="Calibri Light" w:cs="Calibri Light"/>
        </w:rPr>
        <w:t xml:space="preserve"> nurodytu adresu.</w:t>
      </w:r>
    </w:p>
    <w:p w14:paraId="5F5A85DD" w14:textId="77777777" w:rsidR="00DC1374" w:rsidRPr="00535A25" w:rsidRDefault="00DC1374" w:rsidP="00535A25">
      <w:pPr>
        <w:numPr>
          <w:ilvl w:val="0"/>
          <w:numId w:val="1"/>
        </w:numPr>
        <w:spacing w:after="0"/>
        <w:jc w:val="both"/>
        <w:rPr>
          <w:rFonts w:ascii="Calibri Light" w:hAnsi="Calibri Light" w:cs="Calibri Light"/>
        </w:rPr>
      </w:pPr>
      <w:r w:rsidRPr="00535A25">
        <w:rPr>
          <w:rFonts w:ascii="Calibri Light" w:hAnsi="Calibri Light" w:cs="Calibri Light"/>
          <w:bCs/>
        </w:rPr>
        <w:t>Prekėms turi būti suteikiama ne mažiau kaip 60 mėnesių garantija. Esant nekokybiškoms Prekėms, Tiekėjas privalo per 5 (penkias) darbo dienas jas pakeisti kitomis.</w:t>
      </w:r>
    </w:p>
    <w:p w14:paraId="74D0FB08" w14:textId="707EE14C" w:rsidR="00DC1374" w:rsidRPr="00535A25" w:rsidRDefault="00DC1374" w:rsidP="00535A25">
      <w:pPr>
        <w:numPr>
          <w:ilvl w:val="0"/>
          <w:numId w:val="1"/>
        </w:numPr>
        <w:spacing w:after="0"/>
        <w:jc w:val="both"/>
        <w:rPr>
          <w:rFonts w:ascii="Calibri Light" w:hAnsi="Calibri Light" w:cs="Calibri Light"/>
        </w:rPr>
      </w:pPr>
      <w:r w:rsidRPr="00535A25">
        <w:rPr>
          <w:rFonts w:ascii="Calibri Light" w:hAnsi="Calibri Light" w:cs="Calibri Light"/>
        </w:rPr>
        <w:t xml:space="preserve">Preliminarus kiekis </w:t>
      </w:r>
      <w:r w:rsidR="003C342D">
        <w:rPr>
          <w:rFonts w:ascii="Calibri Light" w:hAnsi="Calibri Light" w:cs="Calibri Light"/>
        </w:rPr>
        <w:t xml:space="preserve"> </w:t>
      </w:r>
      <w:r w:rsidRPr="00535A25">
        <w:rPr>
          <w:rFonts w:ascii="Calibri Light" w:hAnsi="Calibri Light" w:cs="Calibri Light"/>
        </w:rPr>
        <w:t>- 450 vnt. Užsakovas neįsipareigoja užsakyti viso nurodyto kiekio Sutarties vykdymo metu.</w:t>
      </w:r>
    </w:p>
    <w:p w14:paraId="103B66D5" w14:textId="77777777" w:rsidR="00DC1374" w:rsidRPr="00535A25" w:rsidRDefault="00DC1374" w:rsidP="00535A25">
      <w:pPr>
        <w:numPr>
          <w:ilvl w:val="0"/>
          <w:numId w:val="1"/>
        </w:numPr>
        <w:spacing w:after="0"/>
        <w:jc w:val="both"/>
        <w:rPr>
          <w:rFonts w:ascii="Calibri Light" w:hAnsi="Calibri Light" w:cs="Calibri Light"/>
        </w:rPr>
      </w:pPr>
      <w:r w:rsidRPr="00535A25">
        <w:rPr>
          <w:rFonts w:ascii="Calibri Light" w:hAnsi="Calibri Light" w:cs="Calibri Light"/>
        </w:rPr>
        <w:t xml:space="preserve">Perkančioji organizacija, siekdama įsigyti prekes, darančias kuo mažesnį poveikį aplinkai viename, keliuose ar visuose paslaugos gyvavimo ciklo etapuose, pirkimo objektui nustato šiuos reikalavimus:    </w:t>
      </w:r>
    </w:p>
    <w:p w14:paraId="51E4B5D8" w14:textId="77777777" w:rsidR="00DC1374" w:rsidRPr="00535A25" w:rsidRDefault="00DC1374" w:rsidP="00535A25">
      <w:pPr>
        <w:numPr>
          <w:ilvl w:val="1"/>
          <w:numId w:val="1"/>
        </w:numPr>
        <w:spacing w:after="0"/>
        <w:jc w:val="both"/>
        <w:rPr>
          <w:rFonts w:ascii="Calibri Light" w:hAnsi="Calibri Light" w:cs="Calibri Light"/>
        </w:rPr>
      </w:pPr>
      <w:r w:rsidRPr="00535A25">
        <w:rPr>
          <w:rFonts w:ascii="Calibri Light" w:hAnsi="Calibri Light" w:cs="Calibri Light"/>
        </w:rPr>
        <w:t>siekiant, kad kuo mažiau būtų teršiama aplinka (mažinamas CO2 išmetimas) prekės turi būti pristatomos pateiktame Užsakyme nurodytu adresu, ne piko valandomis pirmadieniais − ketvirtadieniais  nuo 10:00 iki 15:00 val., penktadieniais nuo 10:00 iki 14:00 val.</w:t>
      </w:r>
    </w:p>
    <w:p w14:paraId="4E210FB6" w14:textId="77777777" w:rsidR="00DC1374" w:rsidRPr="00535A25" w:rsidRDefault="00DC1374" w:rsidP="00535A25">
      <w:pPr>
        <w:numPr>
          <w:ilvl w:val="1"/>
          <w:numId w:val="1"/>
        </w:numPr>
        <w:spacing w:after="0"/>
        <w:jc w:val="both"/>
        <w:rPr>
          <w:rFonts w:ascii="Calibri Light" w:hAnsi="Calibri Light" w:cs="Calibri Light"/>
        </w:rPr>
      </w:pPr>
      <w:r w:rsidRPr="00535A25">
        <w:rPr>
          <w:rFonts w:ascii="Calibri Light" w:hAnsi="Calibri Light" w:cs="Calibri Light"/>
        </w:rPr>
        <w:t>Visi susirašinėjimai vykdomi elektroniniu paštu, ar kitomis elektroninėmis priemonėmis. Siunčiami raštai ar kiti dokumentai sutarties vykdymo metu pasirašomi tik elektroniniais parašais.</w:t>
      </w:r>
    </w:p>
    <w:p w14:paraId="656496B3" w14:textId="77777777" w:rsidR="00DC1374" w:rsidRPr="00535A25" w:rsidRDefault="00DC1374" w:rsidP="00535A25">
      <w:pPr>
        <w:numPr>
          <w:ilvl w:val="1"/>
          <w:numId w:val="1"/>
        </w:numPr>
        <w:spacing w:after="0"/>
        <w:jc w:val="both"/>
        <w:rPr>
          <w:rFonts w:ascii="Calibri Light" w:hAnsi="Calibri Light" w:cs="Calibri Light"/>
        </w:rPr>
      </w:pPr>
      <w:r w:rsidRPr="00535A25">
        <w:rPr>
          <w:rFonts w:ascii="Calibri Light" w:hAnsi="Calibri Light" w:cs="Calibri Light"/>
        </w:rPr>
        <w:lastRenderedPageBreak/>
        <w:t>Sutarties vykdymo metu pateikus laiškus ne elektroniniu paštu ar kitomis elektroninėmis priemonėmis ar pateikus raštus, kitus dokumentus pasirašytus ne elektroniniu parašu, tokie laiškai ir dokumentai bus laikomi neįteiktais.</w:t>
      </w:r>
    </w:p>
    <w:p w14:paraId="5EF64C35" w14:textId="77777777" w:rsidR="00DC1374" w:rsidRPr="00535A25" w:rsidRDefault="00DC1374" w:rsidP="00535A25">
      <w:pPr>
        <w:numPr>
          <w:ilvl w:val="1"/>
          <w:numId w:val="1"/>
        </w:numPr>
        <w:spacing w:after="0"/>
        <w:jc w:val="both"/>
        <w:rPr>
          <w:rFonts w:ascii="Calibri Light" w:hAnsi="Calibri Light" w:cs="Calibri Light"/>
        </w:rPr>
      </w:pPr>
      <w:r w:rsidRPr="00535A25">
        <w:rPr>
          <w:rFonts w:ascii="Calibri Light" w:hAnsi="Calibri Light" w:cs="Calibri Light"/>
        </w:rPr>
        <w:t>Aukščiau paminėti, savarankiškai nustatyti aplinkosaugos kriterijai atitinka Lietuvos Respublikos aplinkos ministro 2011 m. birželio 28 d. įsakymą Nr. D1-508 (aktualia redakcija) patvirtinto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4.4.4 p. nustatytą aplinkosauginį principą.</w:t>
      </w:r>
    </w:p>
    <w:p w14:paraId="3B7E7AA5" w14:textId="067C6CAF" w:rsidR="00A25E5A" w:rsidRPr="00DC1374" w:rsidRDefault="00A25E5A" w:rsidP="00535A25">
      <w:pPr>
        <w:spacing w:after="0"/>
      </w:pPr>
    </w:p>
    <w:sectPr w:rsidR="00A25E5A" w:rsidRPr="00DC13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39B"/>
    <w:multiLevelType w:val="multilevel"/>
    <w:tmpl w:val="2FDA2F30"/>
    <w:lvl w:ilvl="0">
      <w:start w:val="1"/>
      <w:numFmt w:val="decimal"/>
      <w:lvlText w:val="%1."/>
      <w:lvlJc w:val="left"/>
      <w:pPr>
        <w:ind w:left="720" w:hanging="360"/>
      </w:pPr>
    </w:lvl>
    <w:lvl w:ilvl="1">
      <w:start w:val="1"/>
      <w:numFmt w:val="decimal"/>
      <w:isLgl/>
      <w:lvlText w:val="%1.%2."/>
      <w:lvlJc w:val="left"/>
      <w:pPr>
        <w:ind w:left="1080" w:hanging="360"/>
      </w:pPr>
      <w:rPr>
        <w:rFonts w:ascii="Calibri Light" w:hAnsi="Calibri Light" w:cs="Calibri Light" w:hint="default"/>
      </w:rPr>
    </w:lvl>
    <w:lvl w:ilvl="2">
      <w:start w:val="1"/>
      <w:numFmt w:val="decimal"/>
      <w:isLgl/>
      <w:lvlText w:val="%1.%2.%3."/>
      <w:lvlJc w:val="left"/>
      <w:pPr>
        <w:ind w:left="1800" w:hanging="720"/>
      </w:pPr>
      <w:rPr>
        <w:rFonts w:ascii="Calibri Light" w:hAnsi="Calibri Light" w:cs="Calibri Light" w:hint="default"/>
      </w:rPr>
    </w:lvl>
    <w:lvl w:ilvl="3">
      <w:start w:val="1"/>
      <w:numFmt w:val="decimal"/>
      <w:isLgl/>
      <w:lvlText w:val="%1.%2.%3.%4."/>
      <w:lvlJc w:val="left"/>
      <w:pPr>
        <w:ind w:left="2160" w:hanging="720"/>
      </w:pPr>
      <w:rPr>
        <w:rFonts w:ascii="Calibri Light" w:hAnsi="Calibri Light" w:cs="Calibri Light" w:hint="default"/>
      </w:rPr>
    </w:lvl>
    <w:lvl w:ilvl="4">
      <w:start w:val="1"/>
      <w:numFmt w:val="decimal"/>
      <w:isLgl/>
      <w:lvlText w:val="%1.%2.%3.%4.%5."/>
      <w:lvlJc w:val="left"/>
      <w:pPr>
        <w:ind w:left="2880" w:hanging="1080"/>
      </w:pPr>
      <w:rPr>
        <w:rFonts w:ascii="Calibri Light" w:hAnsi="Calibri Light" w:cs="Calibri Light" w:hint="default"/>
      </w:rPr>
    </w:lvl>
    <w:lvl w:ilvl="5">
      <w:start w:val="1"/>
      <w:numFmt w:val="decimal"/>
      <w:isLgl/>
      <w:lvlText w:val="%1.%2.%3.%4.%5.%6."/>
      <w:lvlJc w:val="left"/>
      <w:pPr>
        <w:ind w:left="3240" w:hanging="1080"/>
      </w:pPr>
      <w:rPr>
        <w:rFonts w:ascii="Calibri Light" w:hAnsi="Calibri Light" w:cs="Calibri Light" w:hint="default"/>
      </w:rPr>
    </w:lvl>
    <w:lvl w:ilvl="6">
      <w:start w:val="1"/>
      <w:numFmt w:val="decimal"/>
      <w:isLgl/>
      <w:lvlText w:val="%1.%2.%3.%4.%5.%6.%7."/>
      <w:lvlJc w:val="left"/>
      <w:pPr>
        <w:ind w:left="3960" w:hanging="1440"/>
      </w:pPr>
      <w:rPr>
        <w:rFonts w:ascii="Calibri Light" w:hAnsi="Calibri Light" w:cs="Calibri Light" w:hint="default"/>
      </w:rPr>
    </w:lvl>
    <w:lvl w:ilvl="7">
      <w:start w:val="1"/>
      <w:numFmt w:val="decimal"/>
      <w:isLgl/>
      <w:lvlText w:val="%1.%2.%3.%4.%5.%6.%7.%8."/>
      <w:lvlJc w:val="left"/>
      <w:pPr>
        <w:ind w:left="4320" w:hanging="1440"/>
      </w:pPr>
      <w:rPr>
        <w:rFonts w:ascii="Calibri Light" w:hAnsi="Calibri Light" w:cs="Calibri Light" w:hint="default"/>
      </w:rPr>
    </w:lvl>
    <w:lvl w:ilvl="8">
      <w:start w:val="1"/>
      <w:numFmt w:val="decimal"/>
      <w:isLgl/>
      <w:lvlText w:val="%1.%2.%3.%4.%5.%6.%7.%8.%9."/>
      <w:lvlJc w:val="left"/>
      <w:pPr>
        <w:ind w:left="5040" w:hanging="1800"/>
      </w:pPr>
      <w:rPr>
        <w:rFonts w:ascii="Calibri Light" w:hAnsi="Calibri Light" w:cs="Calibri Light" w:hint="default"/>
      </w:rPr>
    </w:lvl>
  </w:abstractNum>
  <w:abstractNum w:abstractNumId="1" w15:restartNumberingAfterBreak="0">
    <w:nsid w:val="766F6237"/>
    <w:multiLevelType w:val="hybridMultilevel"/>
    <w:tmpl w:val="23BC3A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0497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432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CF"/>
    <w:rsid w:val="00186886"/>
    <w:rsid w:val="0019164A"/>
    <w:rsid w:val="001B0B5A"/>
    <w:rsid w:val="00226221"/>
    <w:rsid w:val="003C342D"/>
    <w:rsid w:val="00440432"/>
    <w:rsid w:val="00535A25"/>
    <w:rsid w:val="005542DA"/>
    <w:rsid w:val="0062588B"/>
    <w:rsid w:val="007B6864"/>
    <w:rsid w:val="009B4CF9"/>
    <w:rsid w:val="00A25E5A"/>
    <w:rsid w:val="00B25C19"/>
    <w:rsid w:val="00D83ACF"/>
    <w:rsid w:val="00DC13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EE2E"/>
  <w15:chartTrackingRefBased/>
  <w15:docId w15:val="{88F8ACCA-86A0-49C1-B289-5A5381A9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ACF"/>
    <w:rPr>
      <w:rFonts w:eastAsiaTheme="majorEastAsia" w:cstheme="majorBidi"/>
      <w:color w:val="272727" w:themeColor="text1" w:themeTint="D8"/>
    </w:rPr>
  </w:style>
  <w:style w:type="paragraph" w:styleId="Title">
    <w:name w:val="Title"/>
    <w:basedOn w:val="Normal"/>
    <w:next w:val="Normal"/>
    <w:link w:val="TitleChar"/>
    <w:uiPriority w:val="10"/>
    <w:qFormat/>
    <w:rsid w:val="00D83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ACF"/>
    <w:pPr>
      <w:spacing w:before="160"/>
      <w:jc w:val="center"/>
    </w:pPr>
    <w:rPr>
      <w:i/>
      <w:iCs/>
      <w:color w:val="404040" w:themeColor="text1" w:themeTint="BF"/>
    </w:rPr>
  </w:style>
  <w:style w:type="character" w:customStyle="1" w:styleId="QuoteChar">
    <w:name w:val="Quote Char"/>
    <w:basedOn w:val="DefaultParagraphFont"/>
    <w:link w:val="Quote"/>
    <w:uiPriority w:val="29"/>
    <w:rsid w:val="00D83ACF"/>
    <w:rPr>
      <w:i/>
      <w:iCs/>
      <w:color w:val="404040" w:themeColor="text1" w:themeTint="BF"/>
    </w:rPr>
  </w:style>
  <w:style w:type="paragraph" w:styleId="ListParagraph">
    <w:name w:val="List Paragraph"/>
    <w:basedOn w:val="Normal"/>
    <w:uiPriority w:val="34"/>
    <w:qFormat/>
    <w:rsid w:val="00D83ACF"/>
    <w:pPr>
      <w:ind w:left="720"/>
      <w:contextualSpacing/>
    </w:pPr>
  </w:style>
  <w:style w:type="character" w:styleId="IntenseEmphasis">
    <w:name w:val="Intense Emphasis"/>
    <w:basedOn w:val="DefaultParagraphFont"/>
    <w:uiPriority w:val="21"/>
    <w:qFormat/>
    <w:rsid w:val="00D83ACF"/>
    <w:rPr>
      <w:i/>
      <w:iCs/>
      <w:color w:val="0F4761" w:themeColor="accent1" w:themeShade="BF"/>
    </w:rPr>
  </w:style>
  <w:style w:type="paragraph" w:styleId="IntenseQuote">
    <w:name w:val="Intense Quote"/>
    <w:basedOn w:val="Normal"/>
    <w:next w:val="Normal"/>
    <w:link w:val="IntenseQuoteChar"/>
    <w:uiPriority w:val="30"/>
    <w:qFormat/>
    <w:rsid w:val="00D83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ACF"/>
    <w:rPr>
      <w:i/>
      <w:iCs/>
      <w:color w:val="0F4761" w:themeColor="accent1" w:themeShade="BF"/>
    </w:rPr>
  </w:style>
  <w:style w:type="character" w:styleId="IntenseReference">
    <w:name w:val="Intense Reference"/>
    <w:basedOn w:val="DefaultParagraphFont"/>
    <w:uiPriority w:val="32"/>
    <w:qFormat/>
    <w:rsid w:val="00D83A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2061</Words>
  <Characters>1175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Klopov</dc:creator>
  <cp:keywords/>
  <dc:description/>
  <cp:lastModifiedBy>Eglė Stonkutė-Saulė</cp:lastModifiedBy>
  <cp:revision>6</cp:revision>
  <dcterms:created xsi:type="dcterms:W3CDTF">2026-02-18T10:27:00Z</dcterms:created>
  <dcterms:modified xsi:type="dcterms:W3CDTF">2026-03-03T11:31:00Z</dcterms:modified>
</cp:coreProperties>
</file>