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635E" w14:textId="77777777" w:rsidR="00954916" w:rsidRDefault="00954916" w:rsidP="0024591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lt-LT"/>
        </w:rPr>
      </w:pPr>
    </w:p>
    <w:p w14:paraId="1FB13F2C" w14:textId="1F622E6A" w:rsidR="00954916" w:rsidRPr="00B068AB" w:rsidRDefault="00954916" w:rsidP="00954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lt-LT"/>
        </w:rPr>
      </w:pPr>
      <w:bookmarkStart w:id="0" w:name="_Hlk176868103"/>
      <w:r w:rsidRPr="00B068AB">
        <w:rPr>
          <w:rFonts w:ascii="Times New Roman" w:hAnsi="Times New Roman" w:cs="Times New Roman"/>
          <w:b/>
          <w:bCs/>
          <w:sz w:val="23"/>
          <w:szCs w:val="23"/>
          <w:lang w:val="lt-LT"/>
        </w:rPr>
        <w:t>Gyvų augalų skaitytuvo pirkimas</w:t>
      </w:r>
    </w:p>
    <w:p w14:paraId="2828ACE8" w14:textId="77777777" w:rsidR="00954916" w:rsidRPr="00B068AB" w:rsidRDefault="00954916" w:rsidP="0095491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bookmarkEnd w:id="0"/>
    <w:p w14:paraId="6DD1314E" w14:textId="77777777" w:rsidR="00954916" w:rsidRPr="00B068AB" w:rsidRDefault="00954916" w:rsidP="0095491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B068AB">
        <w:rPr>
          <w:rFonts w:ascii="Times New Roman" w:hAnsi="Times New Roman" w:cs="Times New Roman"/>
          <w:b/>
          <w:bCs/>
          <w:lang w:val="lt-LT"/>
        </w:rPr>
        <w:t>TECHNINĖ SPECIFIKACIJA</w:t>
      </w:r>
    </w:p>
    <w:p w14:paraId="0D5D71A1" w14:textId="77777777" w:rsidR="00954916" w:rsidRPr="00B068AB" w:rsidRDefault="00954916" w:rsidP="00954916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54DCDD5E" w14:textId="77777777" w:rsidR="00954916" w:rsidRPr="00B068AB" w:rsidRDefault="00954916" w:rsidP="00954916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76F08683" w14:textId="77777777" w:rsidR="00954916" w:rsidRPr="00B068AB" w:rsidRDefault="00954916" w:rsidP="00B53778">
      <w:pPr>
        <w:spacing w:after="0" w:line="240" w:lineRule="auto"/>
        <w:ind w:right="-613" w:firstLine="567"/>
        <w:jc w:val="both"/>
        <w:rPr>
          <w:rFonts w:ascii="Times New Roman" w:hAnsi="Times New Roman" w:cs="Times New Roman"/>
          <w:lang w:val="lt-LT"/>
        </w:rPr>
      </w:pPr>
      <w:r w:rsidRPr="00B068AB">
        <w:rPr>
          <w:rFonts w:ascii="Times New Roman" w:hAnsi="Times New Roman" w:cs="Times New Roman"/>
          <w:lang w:val="lt-LT"/>
        </w:rPr>
        <w:t xml:space="preserve">Pirkimą sudaro 1 dalis: </w:t>
      </w:r>
      <w:r w:rsidRPr="00B068AB">
        <w:rPr>
          <w:rFonts w:ascii="Times New Roman" w:hAnsi="Times New Roman" w:cs="Times New Roman"/>
          <w:sz w:val="23"/>
          <w:szCs w:val="23"/>
          <w:lang w:val="lt-LT"/>
        </w:rPr>
        <w:t>Gyvų augalų skaitytuvas</w:t>
      </w:r>
      <w:r w:rsidRPr="00B068AB">
        <w:rPr>
          <w:rFonts w:ascii="Times New Roman" w:hAnsi="Times New Roman" w:cs="Times New Roman"/>
          <w:lang w:val="lt-LT"/>
        </w:rPr>
        <w:t xml:space="preserve"> 1 vnt. </w:t>
      </w:r>
    </w:p>
    <w:p w14:paraId="5F50D83F" w14:textId="04653DD0" w:rsidR="00954916" w:rsidRPr="00B068AB" w:rsidRDefault="00954916" w:rsidP="00B53778">
      <w:pPr>
        <w:spacing w:after="0" w:line="240" w:lineRule="auto"/>
        <w:ind w:right="-613" w:firstLine="567"/>
        <w:jc w:val="both"/>
        <w:rPr>
          <w:rFonts w:ascii="Times New Roman" w:hAnsi="Times New Roman" w:cs="Times New Roman"/>
          <w:lang w:val="lt-LT"/>
        </w:rPr>
      </w:pPr>
      <w:r w:rsidRPr="00B068AB">
        <w:rPr>
          <w:rFonts w:ascii="Times New Roman" w:eastAsia="Times New Roman" w:hAnsi="Times New Roman" w:cs="Times New Roman"/>
          <w:lang w:val="lt-LT" w:eastAsia="ja-JP"/>
        </w:rPr>
        <w:t xml:space="preserve">Tiekėjas turi atlikti įrangos pristatymo, montavimo, instaliavimo bei testavimo darbus, turi įvykdyti paleidimą ir suderinimą, taip pat apmokyti naudotis įranga darbuotojus. </w:t>
      </w:r>
    </w:p>
    <w:p w14:paraId="3B84E1AC" w14:textId="77777777" w:rsidR="00954916" w:rsidRPr="00B068AB" w:rsidRDefault="00954916" w:rsidP="00B53778">
      <w:pPr>
        <w:spacing w:after="0" w:line="240" w:lineRule="auto"/>
        <w:ind w:right="-613" w:firstLine="567"/>
        <w:jc w:val="both"/>
        <w:rPr>
          <w:rFonts w:ascii="Times New Roman" w:eastAsia="Times New Roman" w:hAnsi="Times New Roman" w:cs="Times New Roman"/>
          <w:lang w:val="lt-LT" w:eastAsia="ja-JP"/>
        </w:rPr>
      </w:pPr>
      <w:r w:rsidRPr="00B068AB">
        <w:rPr>
          <w:rFonts w:ascii="Times New Roman" w:eastAsia="Times New Roman" w:hAnsi="Times New Roman" w:cs="Times New Roman"/>
          <w:lang w:val="lt-LT" w:eastAsia="ja-JP"/>
        </w:rPr>
        <w:t>Kartu su priėmimo – perdavimo aktu turi pateikti įrangos naudojimo ir priežiūros instrukciją (-</w:t>
      </w:r>
      <w:proofErr w:type="spellStart"/>
      <w:r w:rsidRPr="00B068AB">
        <w:rPr>
          <w:rFonts w:ascii="Times New Roman" w:eastAsia="Times New Roman" w:hAnsi="Times New Roman" w:cs="Times New Roman"/>
          <w:lang w:val="lt-LT" w:eastAsia="ja-JP"/>
        </w:rPr>
        <w:t>as</w:t>
      </w:r>
      <w:proofErr w:type="spellEnd"/>
      <w:r w:rsidRPr="00B068AB">
        <w:rPr>
          <w:rFonts w:ascii="Times New Roman" w:eastAsia="Times New Roman" w:hAnsi="Times New Roman" w:cs="Times New Roman"/>
          <w:lang w:val="lt-LT" w:eastAsia="ja-JP"/>
        </w:rPr>
        <w:t>) lietuvių ir/arba anglų kalbomis, kuriose būtų detaliai aprašyta, kaip naudoti, prižiūrėti, reguliuoti įrangą ar jos dalis.</w:t>
      </w:r>
    </w:p>
    <w:p w14:paraId="29590F97" w14:textId="77777777" w:rsidR="00954916" w:rsidRPr="00B068AB" w:rsidRDefault="00954916" w:rsidP="00B5377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lt-LT"/>
        </w:rPr>
      </w:pPr>
    </w:p>
    <w:p w14:paraId="6C1BE334" w14:textId="7B345694" w:rsidR="0024591D" w:rsidRPr="00B068AB" w:rsidRDefault="0024591D" w:rsidP="00B53778">
      <w:pPr>
        <w:spacing w:after="0" w:line="240" w:lineRule="auto"/>
        <w:rPr>
          <w:rFonts w:ascii="Times New Roman" w:hAnsi="Times New Roman" w:cs="Times New Roman"/>
          <w:sz w:val="23"/>
          <w:szCs w:val="23"/>
          <w:lang w:val="lt-LT"/>
        </w:rPr>
      </w:pPr>
      <w:r w:rsidRPr="00B068AB">
        <w:rPr>
          <w:rFonts w:ascii="Times New Roman" w:hAnsi="Times New Roman" w:cs="Times New Roman"/>
          <w:sz w:val="23"/>
          <w:szCs w:val="23"/>
          <w:lang w:val="lt-LT"/>
        </w:rPr>
        <w:t>Gyvų augalų skaitytuvas, 1 vnt.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50"/>
        <w:gridCol w:w="3342"/>
        <w:gridCol w:w="3686"/>
      </w:tblGrid>
      <w:tr w:rsidR="005C3D52" w:rsidRPr="00B068AB" w14:paraId="6D408CFD" w14:textId="2B8B8BC5" w:rsidTr="00AA59CF">
        <w:tc>
          <w:tcPr>
            <w:tcW w:w="540" w:type="dxa"/>
          </w:tcPr>
          <w:p w14:paraId="237DDF4E" w14:textId="39AEB229" w:rsidR="005C3D52" w:rsidRPr="00B068AB" w:rsidRDefault="005C3D52" w:rsidP="00B537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Eil. Nr.</w:t>
            </w:r>
          </w:p>
        </w:tc>
        <w:tc>
          <w:tcPr>
            <w:tcW w:w="2350" w:type="dxa"/>
          </w:tcPr>
          <w:p w14:paraId="2EEC8BE7" w14:textId="7DF5A5CF" w:rsidR="005C3D52" w:rsidRPr="00B068AB" w:rsidRDefault="005C3D52" w:rsidP="00B537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Parametrai</w:t>
            </w:r>
          </w:p>
        </w:tc>
        <w:tc>
          <w:tcPr>
            <w:tcW w:w="3342" w:type="dxa"/>
          </w:tcPr>
          <w:p w14:paraId="43BFEB38" w14:textId="7704041F" w:rsidR="005C3D52" w:rsidRPr="00B068AB" w:rsidRDefault="005C3D52" w:rsidP="00B537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 xml:space="preserve">Reikalaujami minimalūs reikalavimai 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(LT)</w:t>
            </w:r>
          </w:p>
        </w:tc>
        <w:tc>
          <w:tcPr>
            <w:tcW w:w="3686" w:type="dxa"/>
          </w:tcPr>
          <w:p w14:paraId="34AF9611" w14:textId="707B0A25" w:rsidR="005C3D52" w:rsidRPr="00B068AB" w:rsidRDefault="005C3D52" w:rsidP="00B537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Minimum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technical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requirements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(ENG)</w:t>
            </w:r>
          </w:p>
        </w:tc>
      </w:tr>
      <w:tr w:rsidR="005C3D52" w:rsidRPr="00B068AB" w14:paraId="4476FE1F" w14:textId="4F1CD208" w:rsidTr="00AA59CF">
        <w:tc>
          <w:tcPr>
            <w:tcW w:w="540" w:type="dxa"/>
          </w:tcPr>
          <w:p w14:paraId="1FB25E2A" w14:textId="1A230F3D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1</w:t>
            </w:r>
          </w:p>
        </w:tc>
        <w:tc>
          <w:tcPr>
            <w:tcW w:w="2350" w:type="dxa"/>
          </w:tcPr>
          <w:p w14:paraId="18D34242" w14:textId="4E0C4EAE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Paskirtis</w:t>
            </w:r>
          </w:p>
        </w:tc>
        <w:tc>
          <w:tcPr>
            <w:tcW w:w="3342" w:type="dxa"/>
          </w:tcPr>
          <w:p w14:paraId="7BA19F03" w14:textId="6C279002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Pusiau automatinė sistema, sumontuota ant mobilios konstrukcijos (su ratukais), skirta naudoti šiltnamyje ir turinti</w:t>
            </w:r>
            <w:r w:rsidR="00977A36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ne mažiau 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>du lazerinius skenerius.</w:t>
            </w:r>
          </w:p>
        </w:tc>
        <w:tc>
          <w:tcPr>
            <w:tcW w:w="3686" w:type="dxa"/>
          </w:tcPr>
          <w:p w14:paraId="025E2969" w14:textId="6E7D21A0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A semi-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automatic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system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mounted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a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mobile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wheeled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frame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for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greenhouse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use</w:t>
            </w:r>
            <w:proofErr w:type="spellEnd"/>
            <w:r w:rsidR="00E26EA3" w:rsidRPr="00B068AB">
              <w:rPr>
                <w:rFonts w:ascii="Times New Roman" w:eastAsia="Times New Roman" w:hAnsi="Times New Roman" w:cs="Times New Roman"/>
                <w:lang w:val="lt-LT"/>
              </w:rPr>
              <w:t>,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carrying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977A36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at </w:t>
            </w:r>
            <w:proofErr w:type="spellStart"/>
            <w:r w:rsidR="00977A36" w:rsidRPr="00B068AB">
              <w:rPr>
                <w:rFonts w:ascii="Times New Roman" w:eastAsia="Times New Roman" w:hAnsi="Times New Roman" w:cs="Times New Roman"/>
                <w:lang w:val="lt-LT"/>
              </w:rPr>
              <w:t>least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D22DDB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2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laser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scanners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</w:tr>
      <w:tr w:rsidR="005C3D52" w:rsidRPr="00B068AB" w14:paraId="6AABE346" w14:textId="7167433C" w:rsidTr="00AA59CF">
        <w:tc>
          <w:tcPr>
            <w:tcW w:w="540" w:type="dxa"/>
          </w:tcPr>
          <w:p w14:paraId="218B4771" w14:textId="512BF3BB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2</w:t>
            </w:r>
          </w:p>
        </w:tc>
        <w:tc>
          <w:tcPr>
            <w:tcW w:w="2350" w:type="dxa"/>
          </w:tcPr>
          <w:p w14:paraId="77408128" w14:textId="1E3240B3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Konfigūracija/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Configuration</w:t>
            </w:r>
            <w:proofErr w:type="spellEnd"/>
          </w:p>
        </w:tc>
        <w:tc>
          <w:tcPr>
            <w:tcW w:w="3342" w:type="dxa"/>
          </w:tcPr>
          <w:p w14:paraId="00A7C3D6" w14:textId="3FA57BB7" w:rsidR="0074444F" w:rsidRPr="00B068AB" w:rsidRDefault="005C3D52" w:rsidP="00ED2BE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>Ne mažiau kaip 2 jutikliai</w:t>
            </w:r>
            <w:r w:rsidR="00B816F7" w:rsidRPr="00B068AB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B816F7" w:rsidRPr="00B068AB">
              <w:rPr>
                <w:rFonts w:ascii="Times New Roman" w:eastAsia="Times New Roman" w:hAnsi="Times New Roman" w:cs="Times New Roman"/>
                <w:lang w:val="lt-LT"/>
              </w:rPr>
              <w:t>veikiantys poroje (</w:t>
            </w:r>
            <w:proofErr w:type="spellStart"/>
            <w:r w:rsidR="00B816F7" w:rsidRPr="00B068AB">
              <w:rPr>
                <w:rFonts w:ascii="Times New Roman" w:eastAsia="Times New Roman" w:hAnsi="Times New Roman" w:cs="Times New Roman"/>
                <w:lang w:val="lt-LT"/>
              </w:rPr>
              <w:t>DualScan</w:t>
            </w:r>
            <w:proofErr w:type="spellEnd"/>
            <w:r w:rsidR="00B816F7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principu arba lygiaverčiu metodu)</w:t>
            </w:r>
            <w:r w:rsidR="00DC07A7" w:rsidRPr="00B068AB">
              <w:rPr>
                <w:rFonts w:ascii="Times New Roman" w:eastAsia="Times New Roman" w:hAnsi="Times New Roman" w:cs="Times New Roman"/>
                <w:lang w:val="lt-LT"/>
              </w:rPr>
              <w:t>, užtikrinantys ne mažesnę nei 12 ir 13 punktuose nurodytą erdvinę raišką.</w:t>
            </w:r>
          </w:p>
        </w:tc>
        <w:tc>
          <w:tcPr>
            <w:tcW w:w="3686" w:type="dxa"/>
          </w:tcPr>
          <w:p w14:paraId="3F109639" w14:textId="7D7729C9" w:rsidR="005C3D52" w:rsidRPr="00B068AB" w:rsidRDefault="00E26EA3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At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least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2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high-resolution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sensors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operating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in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pairs (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based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DualScan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principle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equivalent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method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)</w:t>
            </w:r>
            <w:r w:rsidR="00327A22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r w:rsidR="00327A22" w:rsidRPr="00B068AB">
              <w:rPr>
                <w:rFonts w:ascii="Times New Roman" w:eastAsia="Times New Roman" w:hAnsi="Times New Roman" w:cs="Times New Roman"/>
              </w:rPr>
              <w:t>ensuring a spatial resolution not lower than that specified in points 12 and 13.</w:t>
            </w:r>
          </w:p>
        </w:tc>
      </w:tr>
      <w:tr w:rsidR="005C3D52" w:rsidRPr="00B068AB" w14:paraId="4F07EB74" w14:textId="7A5FEC5C" w:rsidTr="00AA59CF">
        <w:tc>
          <w:tcPr>
            <w:tcW w:w="540" w:type="dxa"/>
          </w:tcPr>
          <w:p w14:paraId="4CFB810E" w14:textId="210DAFF1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3</w:t>
            </w:r>
          </w:p>
        </w:tc>
        <w:tc>
          <w:tcPr>
            <w:tcW w:w="2350" w:type="dxa"/>
          </w:tcPr>
          <w:p w14:paraId="6792C4D5" w14:textId="25236707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Skenavimo technologija/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Scanning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technology</w:t>
            </w:r>
            <w:proofErr w:type="spellEnd"/>
          </w:p>
        </w:tc>
        <w:tc>
          <w:tcPr>
            <w:tcW w:w="3342" w:type="dxa"/>
          </w:tcPr>
          <w:p w14:paraId="290F1D9D" w14:textId="2D6C0A8C" w:rsidR="005C3D52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Jutiklių technologija: 3D lazerinis linijinis skenavimas +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multispektrinis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RGB ir NIR ar lygiavertis</w:t>
            </w:r>
          </w:p>
          <w:p w14:paraId="04961BEA" w14:textId="369263E5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Galimybė vertinti augalus saulės šviesoje, dirbtiniame apšvietime ir tamsoje.</w:t>
            </w:r>
          </w:p>
        </w:tc>
        <w:tc>
          <w:tcPr>
            <w:tcW w:w="3686" w:type="dxa"/>
          </w:tcPr>
          <w:p w14:paraId="6093C59B" w14:textId="2806DB7C" w:rsidR="005C3D52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Sensor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technology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: 3D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laser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line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scanning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+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multispectral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RGB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NIR</w:t>
            </w:r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>or</w:t>
            </w:r>
            <w:proofErr w:type="spellEnd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>equivalent</w:t>
            </w:r>
            <w:proofErr w:type="spellEnd"/>
          </w:p>
          <w:p w14:paraId="0DB98F24" w14:textId="43EFC635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Ability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to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assess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crops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in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sunlight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artificial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light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darkness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</w:tr>
      <w:tr w:rsidR="005C3D52" w:rsidRPr="00B068AB" w14:paraId="3FD56256" w14:textId="22B51539" w:rsidTr="00AA59CF">
        <w:tc>
          <w:tcPr>
            <w:tcW w:w="540" w:type="dxa"/>
          </w:tcPr>
          <w:p w14:paraId="17FBE794" w14:textId="7FB52FD8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4</w:t>
            </w:r>
          </w:p>
        </w:tc>
        <w:tc>
          <w:tcPr>
            <w:tcW w:w="2350" w:type="dxa"/>
          </w:tcPr>
          <w:p w14:paraId="35EFD143" w14:textId="695C00E6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Lazerio klasė/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Laser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class</w:t>
            </w:r>
            <w:proofErr w:type="spellEnd"/>
          </w:p>
        </w:tc>
        <w:tc>
          <w:tcPr>
            <w:tcW w:w="3342" w:type="dxa"/>
          </w:tcPr>
          <w:p w14:paraId="4C3BCF88" w14:textId="505127D1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1 klasė</w:t>
            </w:r>
          </w:p>
        </w:tc>
        <w:tc>
          <w:tcPr>
            <w:tcW w:w="3686" w:type="dxa"/>
          </w:tcPr>
          <w:p w14:paraId="2D95663B" w14:textId="547162FA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Class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1</w:t>
            </w:r>
          </w:p>
        </w:tc>
      </w:tr>
      <w:tr w:rsidR="005C3D52" w:rsidRPr="00B068AB" w14:paraId="387978BB" w14:textId="577FA665" w:rsidTr="00AA59CF">
        <w:tc>
          <w:tcPr>
            <w:tcW w:w="540" w:type="dxa"/>
          </w:tcPr>
          <w:p w14:paraId="571F5D09" w14:textId="1CEEF9CC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5</w:t>
            </w:r>
          </w:p>
        </w:tc>
        <w:tc>
          <w:tcPr>
            <w:tcW w:w="2350" w:type="dxa"/>
          </w:tcPr>
          <w:p w14:paraId="69411522" w14:textId="16F1CCF2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Bangos ilgiai/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Wavelengths</w:t>
            </w:r>
            <w:proofErr w:type="spellEnd"/>
          </w:p>
        </w:tc>
        <w:tc>
          <w:tcPr>
            <w:tcW w:w="3342" w:type="dxa"/>
          </w:tcPr>
          <w:p w14:paraId="49477A2E" w14:textId="5C2EFEB5" w:rsidR="005C3D52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RGB srities: 465–485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; 530–5</w:t>
            </w:r>
            <w:r w:rsidR="00CE3847" w:rsidRPr="00B068AB">
              <w:rPr>
                <w:rFonts w:ascii="Times New Roman" w:eastAsia="Times New Roman" w:hAnsi="Times New Roman" w:cs="Times New Roman"/>
                <w:lang w:val="lt-LT"/>
              </w:rPr>
              <w:t>5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0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; 624–634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1F3DCDA2" w14:textId="50651B33" w:rsidR="005C3D52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NIR srities: 720–750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; lazeris: 935–945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nm</w:t>
            </w:r>
            <w:proofErr w:type="spellEnd"/>
          </w:p>
          <w:p w14:paraId="00D4A4A7" w14:textId="71AE1D43" w:rsidR="00A57298" w:rsidRPr="00B068AB" w:rsidRDefault="005C3D52" w:rsidP="00ED2BE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>arba lygiavertis spektrinis pasiskirstymas, leidžiantis apskaičiuoti nurodytus fiziologinius indeksus</w:t>
            </w:r>
          </w:p>
        </w:tc>
        <w:tc>
          <w:tcPr>
            <w:tcW w:w="3686" w:type="dxa"/>
          </w:tcPr>
          <w:p w14:paraId="70459C5D" w14:textId="7FE18FA8" w:rsidR="005C3D52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RGB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area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: 465–485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; 530–5</w:t>
            </w:r>
            <w:r w:rsidR="00CE3847" w:rsidRPr="00B068AB">
              <w:rPr>
                <w:rFonts w:ascii="Times New Roman" w:eastAsia="Times New Roman" w:hAnsi="Times New Roman" w:cs="Times New Roman"/>
                <w:lang w:val="lt-LT"/>
              </w:rPr>
              <w:t>5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0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; 624–634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; NIR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area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: 720–750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;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laser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: 935–945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nm</w:t>
            </w:r>
            <w:proofErr w:type="spellEnd"/>
          </w:p>
          <w:p w14:paraId="78BD5256" w14:textId="557041FE" w:rsidR="00AA59CF" w:rsidRPr="00B068AB" w:rsidRDefault="00E26EA3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equivalent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spectral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distribution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enabling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calculation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of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specified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physiological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indices</w:t>
            </w:r>
            <w:proofErr w:type="spellEnd"/>
          </w:p>
        </w:tc>
      </w:tr>
      <w:tr w:rsidR="005C3D52" w:rsidRPr="00B068AB" w14:paraId="484D831E" w14:textId="120CABE0" w:rsidTr="00AA59CF">
        <w:tc>
          <w:tcPr>
            <w:tcW w:w="540" w:type="dxa"/>
          </w:tcPr>
          <w:p w14:paraId="0B2A6E58" w14:textId="1C55D236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6</w:t>
            </w:r>
          </w:p>
        </w:tc>
        <w:tc>
          <w:tcPr>
            <w:tcW w:w="2350" w:type="dxa"/>
          </w:tcPr>
          <w:p w14:paraId="75D7E1C2" w14:textId="236E1AA4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Skenavimo greitis/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Scanning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speed</w:t>
            </w:r>
            <w:proofErr w:type="spellEnd"/>
          </w:p>
        </w:tc>
        <w:tc>
          <w:tcPr>
            <w:tcW w:w="3342" w:type="dxa"/>
          </w:tcPr>
          <w:p w14:paraId="215D22A9" w14:textId="1ABFC332" w:rsidR="005C3D52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Ne mažesnis kaip </w:t>
            </w:r>
            <w:r w:rsidR="00CE3847" w:rsidRPr="00B068AB">
              <w:rPr>
                <w:rFonts w:ascii="Times New Roman" w:eastAsia="Times New Roman" w:hAnsi="Times New Roman" w:cs="Times New Roman"/>
                <w:lang w:val="lt-LT"/>
              </w:rPr>
              <w:t>100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mm/s</w:t>
            </w:r>
          </w:p>
          <w:p w14:paraId="75FCCDBA" w14:textId="4478C10C" w:rsidR="0085338F" w:rsidRPr="00B068AB" w:rsidRDefault="0085338F" w:rsidP="008F6425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686" w:type="dxa"/>
          </w:tcPr>
          <w:p w14:paraId="7E6D5B51" w14:textId="1A1C2309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less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CE3847" w:rsidRPr="00B068AB">
              <w:rPr>
                <w:rFonts w:ascii="Times New Roman" w:eastAsia="Times New Roman" w:hAnsi="Times New Roman" w:cs="Times New Roman"/>
                <w:lang w:val="lt-LT"/>
              </w:rPr>
              <w:t>100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mm/s</w:t>
            </w:r>
          </w:p>
        </w:tc>
      </w:tr>
      <w:tr w:rsidR="005C3D52" w:rsidRPr="00B068AB" w14:paraId="69DD133E" w14:textId="44553148" w:rsidTr="00AA59CF">
        <w:tc>
          <w:tcPr>
            <w:tcW w:w="540" w:type="dxa"/>
          </w:tcPr>
          <w:p w14:paraId="13505E91" w14:textId="7EA59412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7</w:t>
            </w:r>
          </w:p>
        </w:tc>
        <w:tc>
          <w:tcPr>
            <w:tcW w:w="2350" w:type="dxa"/>
          </w:tcPr>
          <w:p w14:paraId="0D489820" w14:textId="312E709A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Grįžtamasis greitis/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Return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speed</w:t>
            </w:r>
            <w:proofErr w:type="spellEnd"/>
          </w:p>
        </w:tc>
        <w:tc>
          <w:tcPr>
            <w:tcW w:w="3342" w:type="dxa"/>
          </w:tcPr>
          <w:p w14:paraId="3500C6FD" w14:textId="5DA28A4D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Ne mažesnis kaip 250 mm/s</w:t>
            </w:r>
          </w:p>
        </w:tc>
        <w:tc>
          <w:tcPr>
            <w:tcW w:w="3686" w:type="dxa"/>
          </w:tcPr>
          <w:p w14:paraId="79DE96B2" w14:textId="3FA09B51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less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250 mm/s</w:t>
            </w:r>
          </w:p>
        </w:tc>
      </w:tr>
      <w:tr w:rsidR="005C3D52" w:rsidRPr="00B068AB" w14:paraId="7B60EE0F" w14:textId="6B48331B" w:rsidTr="00AA59CF">
        <w:tc>
          <w:tcPr>
            <w:tcW w:w="540" w:type="dxa"/>
          </w:tcPr>
          <w:p w14:paraId="4BDD8A2B" w14:textId="0F73491F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8</w:t>
            </w:r>
          </w:p>
        </w:tc>
        <w:tc>
          <w:tcPr>
            <w:tcW w:w="2350" w:type="dxa"/>
          </w:tcPr>
          <w:p w14:paraId="0D0A7B1A" w14:textId="54C8E3CE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Vieno skenavimo ciklas/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Single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scan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cycle</w:t>
            </w:r>
            <w:proofErr w:type="spellEnd"/>
          </w:p>
        </w:tc>
        <w:tc>
          <w:tcPr>
            <w:tcW w:w="3342" w:type="dxa"/>
          </w:tcPr>
          <w:p w14:paraId="55317AAF" w14:textId="6B4E8A98" w:rsidR="005C3D52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Ne ilgesnis kaip </w:t>
            </w:r>
            <w:r w:rsidR="00E26EA3" w:rsidRPr="00B068AB">
              <w:rPr>
                <w:rFonts w:ascii="Times New Roman" w:eastAsia="Times New Roman" w:hAnsi="Times New Roman" w:cs="Times New Roman"/>
                <w:lang w:val="lt-LT"/>
              </w:rPr>
              <w:t>60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sekundžių</w:t>
            </w:r>
          </w:p>
          <w:p w14:paraId="390802C8" w14:textId="77777777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66214200" w14:textId="015A44D9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686" w:type="dxa"/>
          </w:tcPr>
          <w:p w14:paraId="24EDE4A0" w14:textId="7638E853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longer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E26EA3" w:rsidRPr="00B068AB">
              <w:rPr>
                <w:rFonts w:ascii="Times New Roman" w:eastAsia="Times New Roman" w:hAnsi="Times New Roman" w:cs="Times New Roman"/>
                <w:lang w:val="lt-LT"/>
              </w:rPr>
              <w:t>6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0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seconds</w:t>
            </w:r>
            <w:proofErr w:type="spellEnd"/>
          </w:p>
        </w:tc>
      </w:tr>
      <w:tr w:rsidR="005C3D52" w:rsidRPr="00B068AB" w14:paraId="2A64BA4D" w14:textId="556893CF" w:rsidTr="00AA59CF">
        <w:tc>
          <w:tcPr>
            <w:tcW w:w="540" w:type="dxa"/>
          </w:tcPr>
          <w:p w14:paraId="27FB4331" w14:textId="154198B8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9</w:t>
            </w:r>
          </w:p>
        </w:tc>
        <w:tc>
          <w:tcPr>
            <w:tcW w:w="2350" w:type="dxa"/>
          </w:tcPr>
          <w:p w14:paraId="6D4D8437" w14:textId="108C85E4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Skenavimo ilgis/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Scanning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length</w:t>
            </w:r>
            <w:proofErr w:type="spellEnd"/>
          </w:p>
        </w:tc>
        <w:tc>
          <w:tcPr>
            <w:tcW w:w="3342" w:type="dxa"/>
          </w:tcPr>
          <w:p w14:paraId="51D634E1" w14:textId="0419ED38" w:rsidR="006A5926" w:rsidRPr="00B068AB" w:rsidRDefault="005C3D52" w:rsidP="00ED2BE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Ne mažesnis kaip 19</w:t>
            </w:r>
            <w:r w:rsidR="00977A36" w:rsidRPr="00B068AB">
              <w:rPr>
                <w:rFonts w:ascii="Times New Roman" w:eastAsia="Times New Roman" w:hAnsi="Times New Roman" w:cs="Times New Roman"/>
                <w:lang w:val="lt-LT"/>
              </w:rPr>
              <w:t>0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>0 mm ir ne didesnė kaip 2500 mm</w:t>
            </w:r>
          </w:p>
        </w:tc>
        <w:tc>
          <w:tcPr>
            <w:tcW w:w="3686" w:type="dxa"/>
          </w:tcPr>
          <w:p w14:paraId="21B7822B" w14:textId="5D7509A1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less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19</w:t>
            </w:r>
            <w:r w:rsidR="00977A36" w:rsidRPr="00B068AB">
              <w:rPr>
                <w:rFonts w:ascii="Times New Roman" w:eastAsia="Times New Roman" w:hAnsi="Times New Roman" w:cs="Times New Roman"/>
                <w:lang w:val="lt-LT"/>
              </w:rPr>
              <w:t>0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0 mm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more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2500mm</w:t>
            </w:r>
          </w:p>
        </w:tc>
      </w:tr>
      <w:tr w:rsidR="005C3D52" w:rsidRPr="00B068AB" w14:paraId="1BACC3CF" w14:textId="18096AB7" w:rsidTr="00AA59CF">
        <w:tc>
          <w:tcPr>
            <w:tcW w:w="540" w:type="dxa"/>
          </w:tcPr>
          <w:p w14:paraId="3C4F9FB5" w14:textId="2E4D67D5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2350" w:type="dxa"/>
          </w:tcPr>
          <w:p w14:paraId="55AEC98E" w14:textId="6A9525A7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Nuskaitymo plotas/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Scanning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area</w:t>
            </w:r>
            <w:proofErr w:type="spellEnd"/>
          </w:p>
        </w:tc>
        <w:tc>
          <w:tcPr>
            <w:tcW w:w="3342" w:type="dxa"/>
          </w:tcPr>
          <w:p w14:paraId="2D772E85" w14:textId="24382A2A" w:rsidR="00A57298" w:rsidRPr="00B068AB" w:rsidRDefault="005C3D52" w:rsidP="00ED2BE4">
            <w:pPr>
              <w:spacing w:after="0" w:line="240" w:lineRule="auto"/>
              <w:rPr>
                <w:rFonts w:ascii="Times New Roman" w:hAnsi="Times New Roman" w:cs="Times New Roman"/>
                <w:lang w:val="fi-FI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Ne mažesnis kaip 0,</w:t>
            </w:r>
            <w:r w:rsidR="00CE3847" w:rsidRPr="00B068AB">
              <w:rPr>
                <w:rFonts w:ascii="Times New Roman" w:eastAsia="Times New Roman" w:hAnsi="Times New Roman" w:cs="Times New Roman"/>
                <w:lang w:val="lt-LT"/>
              </w:rPr>
              <w:t>85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m² vienam jutikliui</w:t>
            </w:r>
          </w:p>
        </w:tc>
        <w:tc>
          <w:tcPr>
            <w:tcW w:w="3686" w:type="dxa"/>
          </w:tcPr>
          <w:p w14:paraId="5040674D" w14:textId="7CB9AEFD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less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0.</w:t>
            </w:r>
            <w:r w:rsidR="00CE3847" w:rsidRPr="00B068AB">
              <w:rPr>
                <w:rFonts w:ascii="Times New Roman" w:eastAsia="Times New Roman" w:hAnsi="Times New Roman" w:cs="Times New Roman"/>
                <w:lang w:val="lt-LT"/>
              </w:rPr>
              <w:t>85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m² per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sensor</w:t>
            </w:r>
            <w:proofErr w:type="spellEnd"/>
          </w:p>
        </w:tc>
      </w:tr>
      <w:tr w:rsidR="005C3D52" w:rsidRPr="00B068AB" w14:paraId="291F8075" w14:textId="51C7DDA6" w:rsidTr="00AA59CF">
        <w:tc>
          <w:tcPr>
            <w:tcW w:w="540" w:type="dxa"/>
          </w:tcPr>
          <w:p w14:paraId="7B8EF9A0" w14:textId="05E2C01C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11</w:t>
            </w:r>
          </w:p>
        </w:tc>
        <w:tc>
          <w:tcPr>
            <w:tcW w:w="2350" w:type="dxa"/>
          </w:tcPr>
          <w:p w14:paraId="370B648A" w14:textId="66F09576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Linijinio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aktuatoriaus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eiga/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Linear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actuator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stroke</w:t>
            </w:r>
            <w:proofErr w:type="spellEnd"/>
          </w:p>
        </w:tc>
        <w:tc>
          <w:tcPr>
            <w:tcW w:w="3342" w:type="dxa"/>
          </w:tcPr>
          <w:p w14:paraId="34CF8F0E" w14:textId="7685D0F7" w:rsidR="005C3D52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Ne mažesnė kaip </w:t>
            </w:r>
            <w:r w:rsidR="002C6C61" w:rsidRPr="00B068AB">
              <w:rPr>
                <w:rFonts w:ascii="Times New Roman" w:eastAsia="Times New Roman" w:hAnsi="Times New Roman" w:cs="Times New Roman"/>
                <w:lang w:val="lt-LT"/>
              </w:rPr>
              <w:t>1900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mm ir ne didesnė kaip </w:t>
            </w:r>
            <w:r w:rsidR="00CE3847" w:rsidRPr="00B068AB">
              <w:rPr>
                <w:rFonts w:ascii="Times New Roman" w:eastAsia="Times New Roman" w:hAnsi="Times New Roman" w:cs="Times New Roman"/>
                <w:lang w:val="lt-LT"/>
              </w:rPr>
              <w:t>25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>00</w:t>
            </w:r>
            <w:r w:rsidR="00977A36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>mm</w:t>
            </w:r>
          </w:p>
          <w:p w14:paraId="4B1CCDE3" w14:textId="0F6D4988" w:rsidR="006A5926" w:rsidRPr="00B068AB" w:rsidRDefault="006A5926" w:rsidP="006A592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686" w:type="dxa"/>
          </w:tcPr>
          <w:p w14:paraId="2B134972" w14:textId="5A4E7863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less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2C6C61" w:rsidRPr="00B068AB">
              <w:rPr>
                <w:rFonts w:ascii="Times New Roman" w:eastAsia="Times New Roman" w:hAnsi="Times New Roman" w:cs="Times New Roman"/>
                <w:lang w:val="lt-LT"/>
              </w:rPr>
              <w:t>1900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mm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more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CE3847" w:rsidRPr="00B068AB">
              <w:rPr>
                <w:rFonts w:ascii="Times New Roman" w:eastAsia="Times New Roman" w:hAnsi="Times New Roman" w:cs="Times New Roman"/>
                <w:lang w:val="lt-LT"/>
              </w:rPr>
              <w:t>25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>00</w:t>
            </w:r>
            <w:r w:rsidR="00977A36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>mm</w:t>
            </w:r>
          </w:p>
        </w:tc>
      </w:tr>
      <w:tr w:rsidR="005C3D52" w:rsidRPr="00B068AB" w14:paraId="27A26EF7" w14:textId="1DF554EF" w:rsidTr="00AA59CF">
        <w:tc>
          <w:tcPr>
            <w:tcW w:w="540" w:type="dxa"/>
          </w:tcPr>
          <w:p w14:paraId="67C82957" w14:textId="61B87C0B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12</w:t>
            </w:r>
          </w:p>
        </w:tc>
        <w:tc>
          <w:tcPr>
            <w:tcW w:w="2350" w:type="dxa"/>
          </w:tcPr>
          <w:p w14:paraId="04E6EA9E" w14:textId="7D7B9D84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Rezoliucija X ašyje/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Resolution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X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axis</w:t>
            </w:r>
            <w:proofErr w:type="spellEnd"/>
          </w:p>
        </w:tc>
        <w:tc>
          <w:tcPr>
            <w:tcW w:w="3342" w:type="dxa"/>
          </w:tcPr>
          <w:p w14:paraId="29C3541D" w14:textId="1A7C0E2A" w:rsidR="007510C1" w:rsidRPr="00B068AB" w:rsidRDefault="00F54ECC" w:rsidP="00ED2B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Ne didesnė kaip</w:t>
            </w:r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0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>.</w:t>
            </w:r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>7</w:t>
            </w:r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mm (400 mm atstumu) arba lygiavertė</w:t>
            </w:r>
          </w:p>
        </w:tc>
        <w:tc>
          <w:tcPr>
            <w:tcW w:w="3686" w:type="dxa"/>
          </w:tcPr>
          <w:p w14:paraId="457EB686" w14:textId="6C2DAA65" w:rsidR="005C3D52" w:rsidRPr="00B068AB" w:rsidRDefault="00F54ECC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more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0.27 mm</w:t>
            </w:r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(at 400 mm </w:t>
            </w:r>
            <w:proofErr w:type="spellStart"/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>distance</w:t>
            </w:r>
            <w:proofErr w:type="spellEnd"/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>)</w:t>
            </w:r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>or</w:t>
            </w:r>
            <w:proofErr w:type="spellEnd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>equivalent</w:t>
            </w:r>
            <w:proofErr w:type="spellEnd"/>
          </w:p>
        </w:tc>
      </w:tr>
      <w:tr w:rsidR="005C3D52" w:rsidRPr="00B068AB" w14:paraId="7A3A7CDE" w14:textId="292D124A" w:rsidTr="00AA59CF">
        <w:tc>
          <w:tcPr>
            <w:tcW w:w="540" w:type="dxa"/>
          </w:tcPr>
          <w:p w14:paraId="41237208" w14:textId="2297D660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13</w:t>
            </w:r>
          </w:p>
        </w:tc>
        <w:tc>
          <w:tcPr>
            <w:tcW w:w="2350" w:type="dxa"/>
          </w:tcPr>
          <w:p w14:paraId="07DA6BE2" w14:textId="3607F146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Rezoliucija Z ašyje/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Resolution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Z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axis</w:t>
            </w:r>
            <w:proofErr w:type="spellEnd"/>
          </w:p>
        </w:tc>
        <w:tc>
          <w:tcPr>
            <w:tcW w:w="3342" w:type="dxa"/>
          </w:tcPr>
          <w:p w14:paraId="616981CF" w14:textId="1E14AEA1" w:rsidR="00714F8D" w:rsidRPr="00B068AB" w:rsidRDefault="00F54ECC" w:rsidP="00ED2B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Ne didesnė kaip</w:t>
            </w:r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0,0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>5</w:t>
            </w:r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mm (400 mm atstumu)</w:t>
            </w:r>
            <w:r w:rsidR="005C3D52"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>arba lygiavertė</w:t>
            </w:r>
          </w:p>
        </w:tc>
        <w:tc>
          <w:tcPr>
            <w:tcW w:w="3686" w:type="dxa"/>
          </w:tcPr>
          <w:p w14:paraId="27A5D1B2" w14:textId="2EF989C0" w:rsidR="005C3D52" w:rsidRPr="00B068AB" w:rsidRDefault="00F54ECC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more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>0.0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>5</w:t>
            </w:r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mm (at 400 mm </w:t>
            </w:r>
            <w:proofErr w:type="spellStart"/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>distance</w:t>
            </w:r>
            <w:proofErr w:type="spellEnd"/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>)</w:t>
            </w:r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>or</w:t>
            </w:r>
            <w:proofErr w:type="spellEnd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>equivalent</w:t>
            </w:r>
            <w:proofErr w:type="spellEnd"/>
          </w:p>
        </w:tc>
      </w:tr>
      <w:tr w:rsidR="005C3D52" w:rsidRPr="00B068AB" w14:paraId="04F2EC34" w14:textId="1F6A57EF" w:rsidTr="00AA59CF">
        <w:tc>
          <w:tcPr>
            <w:tcW w:w="540" w:type="dxa"/>
          </w:tcPr>
          <w:p w14:paraId="4DBC1D20" w14:textId="39799FA0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14</w:t>
            </w:r>
          </w:p>
        </w:tc>
        <w:tc>
          <w:tcPr>
            <w:tcW w:w="2350" w:type="dxa"/>
          </w:tcPr>
          <w:p w14:paraId="44B64265" w14:textId="09ED9E9D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Profiliai per sekundę/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Profiles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per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second</w:t>
            </w:r>
            <w:proofErr w:type="spellEnd"/>
          </w:p>
        </w:tc>
        <w:tc>
          <w:tcPr>
            <w:tcW w:w="3342" w:type="dxa"/>
          </w:tcPr>
          <w:p w14:paraId="123E0A6C" w14:textId="77777777" w:rsidR="005C3D52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Ne mažiau kaip 16</w:t>
            </w:r>
            <w:r w:rsidR="00977A36" w:rsidRPr="00B068AB">
              <w:rPr>
                <w:rFonts w:ascii="Times New Roman" w:eastAsia="Times New Roman" w:hAnsi="Times New Roman" w:cs="Times New Roman"/>
                <w:lang w:val="lt-LT"/>
              </w:rPr>
              <w:t>0</w:t>
            </w:r>
          </w:p>
          <w:p w14:paraId="1F1DFA81" w14:textId="7CF78502" w:rsidR="00474B1C" w:rsidRPr="00B068AB" w:rsidRDefault="00474B1C" w:rsidP="00474B1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</w:p>
        </w:tc>
        <w:tc>
          <w:tcPr>
            <w:tcW w:w="3686" w:type="dxa"/>
          </w:tcPr>
          <w:p w14:paraId="5C1FEA39" w14:textId="1D3E600A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less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16</w:t>
            </w:r>
            <w:r w:rsidR="00977A36" w:rsidRPr="00B068AB">
              <w:rPr>
                <w:rFonts w:ascii="Times New Roman" w:eastAsia="Times New Roman" w:hAnsi="Times New Roman" w:cs="Times New Roman"/>
                <w:lang w:val="lt-LT"/>
              </w:rPr>
              <w:t>0</w:t>
            </w:r>
          </w:p>
        </w:tc>
      </w:tr>
      <w:tr w:rsidR="005C3D52" w:rsidRPr="00B068AB" w14:paraId="3A8FE05D" w14:textId="4F6971DC" w:rsidTr="00AA59CF">
        <w:tc>
          <w:tcPr>
            <w:tcW w:w="540" w:type="dxa"/>
          </w:tcPr>
          <w:p w14:paraId="1B41E701" w14:textId="5FD46460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15</w:t>
            </w:r>
          </w:p>
        </w:tc>
        <w:tc>
          <w:tcPr>
            <w:tcW w:w="2350" w:type="dxa"/>
          </w:tcPr>
          <w:p w14:paraId="4A47E249" w14:textId="721BAE15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Duomenų perdavimas/ Data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transfer</w:t>
            </w:r>
            <w:proofErr w:type="spellEnd"/>
          </w:p>
        </w:tc>
        <w:tc>
          <w:tcPr>
            <w:tcW w:w="3342" w:type="dxa"/>
          </w:tcPr>
          <w:p w14:paraId="4C0DF833" w14:textId="77777777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Gigabit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Ethernet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B068AB">
              <w:rPr>
                <w:rFonts w:ascii="Times New Roman" w:hAnsi="Times New Roman" w:cs="Times New Roman"/>
                <w:lang w:val="lt-LT"/>
              </w:rPr>
              <w:t>arba lygiavertė</w:t>
            </w:r>
          </w:p>
          <w:p w14:paraId="42C0EAF4" w14:textId="41C3D102" w:rsidR="00474B1C" w:rsidRPr="00B068AB" w:rsidRDefault="00474B1C" w:rsidP="00474B1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686" w:type="dxa"/>
          </w:tcPr>
          <w:p w14:paraId="7E0263B6" w14:textId="1966F70E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Gigabit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Ethernet</w:t>
            </w:r>
            <w:proofErr w:type="spellEnd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>or</w:t>
            </w:r>
            <w:proofErr w:type="spellEnd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>equivalent</w:t>
            </w:r>
            <w:proofErr w:type="spellEnd"/>
          </w:p>
        </w:tc>
      </w:tr>
      <w:tr w:rsidR="005C3D52" w:rsidRPr="00B068AB" w14:paraId="4D75B58D" w14:textId="3CB82B7D" w:rsidTr="00AA59CF">
        <w:tc>
          <w:tcPr>
            <w:tcW w:w="540" w:type="dxa"/>
          </w:tcPr>
          <w:p w14:paraId="00692352" w14:textId="017B9667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16</w:t>
            </w:r>
          </w:p>
        </w:tc>
        <w:tc>
          <w:tcPr>
            <w:tcW w:w="2350" w:type="dxa"/>
          </w:tcPr>
          <w:p w14:paraId="5C7CAA26" w14:textId="7D45B186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Programinė įranga/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Software</w:t>
            </w:r>
            <w:proofErr w:type="spellEnd"/>
          </w:p>
        </w:tc>
        <w:tc>
          <w:tcPr>
            <w:tcW w:w="3342" w:type="dxa"/>
          </w:tcPr>
          <w:p w14:paraId="0CFAABFD" w14:textId="77777777" w:rsidR="005C3D52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Automatizuotas 3D vaizdinimas ir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multispektrinis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apdorojimas bei augalų parametrų generavimas.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br/>
              <w:t>Failų išvestis: .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ply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ir .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csv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.</w:t>
            </w:r>
            <w:r w:rsidRPr="00B068AB">
              <w:rPr>
                <w:rFonts w:ascii="Times New Roman" w:hAnsi="Times New Roman" w:cs="Times New Roman"/>
                <w:lang w:val="lt-LT"/>
              </w:rPr>
              <w:t xml:space="preserve"> arba lygiavertė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br/>
              <w:t>Programinės įrangos funkcijos: automatizuotas mokymasis, koreliacija, dėžutės diagrama.</w:t>
            </w:r>
          </w:p>
          <w:p w14:paraId="359857D6" w14:textId="02E17365" w:rsidR="00DC07A7" w:rsidRPr="00B068AB" w:rsidRDefault="00482062" w:rsidP="00ED2BE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 xml:space="preserve">Programinė įranga privalo automatiškai skaičiuoti 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>šiuos rodiklius</w:t>
            </w:r>
            <w:r w:rsidRPr="00B068AB">
              <w:rPr>
                <w:rFonts w:ascii="Times New Roman" w:hAnsi="Times New Roman" w:cs="Times New Roman"/>
                <w:lang w:val="lt-LT"/>
              </w:rPr>
              <w:t xml:space="preserve">: skaitmeninę biomasę, augalo aukštį, 3D lapų plotą, projekcinį lapų plotą bei ne mažiau kaip 3 fiziologinius indeksus (NDVI, NPCI, PSRI ar lygiaverčius) </w:t>
            </w:r>
          </w:p>
        </w:tc>
        <w:tc>
          <w:tcPr>
            <w:tcW w:w="3686" w:type="dxa"/>
          </w:tcPr>
          <w:p w14:paraId="3E33D0F1" w14:textId="64E8A3D9" w:rsidR="005C3D52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Automated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3D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imaging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&amp;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multispectral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processing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plant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parameters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generation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. File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output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: .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ply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.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csv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.</w:t>
            </w:r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>or</w:t>
            </w:r>
            <w:proofErr w:type="spellEnd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>equivalent</w:t>
            </w:r>
            <w:proofErr w:type="spellEnd"/>
          </w:p>
          <w:p w14:paraId="183C1B7F" w14:textId="77777777" w:rsidR="005C3D52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Software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features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: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machine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learning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correlation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boxplot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14:paraId="306E816A" w14:textId="4E9F4122" w:rsidR="00F54ECC" w:rsidRPr="00B068AB" w:rsidRDefault="00F54ECC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software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must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automatically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calculate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following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indicators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: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digital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biomass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plant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height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, 3D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leaf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area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projected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leaf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area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at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least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3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physiological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indices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(NDVI, NPCI, PSRI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or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hAnsi="Times New Roman" w:cs="Times New Roman"/>
                <w:lang w:val="lt-LT"/>
              </w:rPr>
              <w:t>equivalent</w:t>
            </w:r>
            <w:proofErr w:type="spellEnd"/>
            <w:r w:rsidRPr="00B068AB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5C3D52" w:rsidRPr="00B068AB" w14:paraId="6DD219DF" w14:textId="1A677CBA" w:rsidTr="00AA59CF">
        <w:tc>
          <w:tcPr>
            <w:tcW w:w="540" w:type="dxa"/>
          </w:tcPr>
          <w:p w14:paraId="0F28AE69" w14:textId="06E2239C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17</w:t>
            </w:r>
          </w:p>
        </w:tc>
        <w:tc>
          <w:tcPr>
            <w:tcW w:w="2350" w:type="dxa"/>
          </w:tcPr>
          <w:p w14:paraId="26B7A685" w14:textId="2C7CC35B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Duomenų saugojimas/ Data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storage</w:t>
            </w:r>
            <w:proofErr w:type="spellEnd"/>
          </w:p>
        </w:tc>
        <w:tc>
          <w:tcPr>
            <w:tcW w:w="3342" w:type="dxa"/>
          </w:tcPr>
          <w:p w14:paraId="6E7C14E1" w14:textId="00C6CEC3" w:rsidR="00C44E87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Ne mažiau kaip 1.</w:t>
            </w:r>
            <w:r w:rsidR="00482062" w:rsidRPr="00B068AB">
              <w:rPr>
                <w:rFonts w:ascii="Times New Roman" w:eastAsia="Times New Roman" w:hAnsi="Times New Roman" w:cs="Times New Roman"/>
                <w:lang w:val="lt-LT"/>
              </w:rPr>
              <w:t>5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TB serverio talpa</w:t>
            </w:r>
          </w:p>
        </w:tc>
        <w:tc>
          <w:tcPr>
            <w:tcW w:w="3686" w:type="dxa"/>
          </w:tcPr>
          <w:p w14:paraId="2939F067" w14:textId="57710A01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At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least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1.</w:t>
            </w:r>
            <w:r w:rsidR="00482062" w:rsidRPr="00B068AB">
              <w:rPr>
                <w:rFonts w:ascii="Times New Roman" w:eastAsia="Times New Roman" w:hAnsi="Times New Roman" w:cs="Times New Roman"/>
                <w:lang w:val="lt-LT"/>
              </w:rPr>
              <w:t>5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TB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server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storage</w:t>
            </w:r>
            <w:proofErr w:type="spellEnd"/>
          </w:p>
        </w:tc>
      </w:tr>
      <w:tr w:rsidR="005C3D52" w:rsidRPr="00B068AB" w14:paraId="1CE6F2FC" w14:textId="2EC87237" w:rsidTr="00AA59CF">
        <w:tc>
          <w:tcPr>
            <w:tcW w:w="540" w:type="dxa"/>
          </w:tcPr>
          <w:p w14:paraId="5AD276CE" w14:textId="14A44E42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18</w:t>
            </w:r>
          </w:p>
        </w:tc>
        <w:tc>
          <w:tcPr>
            <w:tcW w:w="2350" w:type="dxa"/>
          </w:tcPr>
          <w:p w14:paraId="572499F9" w14:textId="7E5AF458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Elektros maitinimas/ Power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supply</w:t>
            </w:r>
            <w:proofErr w:type="spellEnd"/>
          </w:p>
        </w:tc>
        <w:tc>
          <w:tcPr>
            <w:tcW w:w="3342" w:type="dxa"/>
          </w:tcPr>
          <w:p w14:paraId="3233B6D5" w14:textId="025CC0EB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230 VAC, 1 fazė, 50–60 Hz</w:t>
            </w:r>
          </w:p>
        </w:tc>
        <w:tc>
          <w:tcPr>
            <w:tcW w:w="3686" w:type="dxa"/>
          </w:tcPr>
          <w:p w14:paraId="04F9C6E6" w14:textId="3B61AF0B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230 VAC,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single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phase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, 50–60 Hz</w:t>
            </w:r>
          </w:p>
        </w:tc>
      </w:tr>
      <w:tr w:rsidR="005C3D52" w:rsidRPr="00B068AB" w14:paraId="6F741C33" w14:textId="7D501DE6" w:rsidTr="00AA59CF">
        <w:tc>
          <w:tcPr>
            <w:tcW w:w="540" w:type="dxa"/>
          </w:tcPr>
          <w:p w14:paraId="0597F12D" w14:textId="2D851144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19</w:t>
            </w:r>
          </w:p>
        </w:tc>
        <w:tc>
          <w:tcPr>
            <w:tcW w:w="2350" w:type="dxa"/>
          </w:tcPr>
          <w:p w14:paraId="310BFF20" w14:textId="64F42722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Energijos sąnaudos/ Power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consumption</w:t>
            </w:r>
            <w:proofErr w:type="spellEnd"/>
          </w:p>
        </w:tc>
        <w:tc>
          <w:tcPr>
            <w:tcW w:w="3342" w:type="dxa"/>
          </w:tcPr>
          <w:p w14:paraId="1977742D" w14:textId="7813C9E0" w:rsidR="005C3D52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Ne didesnės kaip </w:t>
            </w:r>
            <w:r w:rsidR="00482062" w:rsidRPr="00B068AB">
              <w:rPr>
                <w:rFonts w:ascii="Times New Roman" w:eastAsia="Times New Roman" w:hAnsi="Times New Roman" w:cs="Times New Roman"/>
                <w:lang w:val="lt-LT"/>
              </w:rPr>
              <w:t>700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W</w:t>
            </w:r>
          </w:p>
          <w:p w14:paraId="344735CF" w14:textId="16AB8E54" w:rsidR="00977A36" w:rsidRPr="00B068AB" w:rsidRDefault="00977A36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686" w:type="dxa"/>
          </w:tcPr>
          <w:p w14:paraId="2AE80F1B" w14:textId="12F68727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greater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482062" w:rsidRPr="00B068AB">
              <w:rPr>
                <w:rFonts w:ascii="Times New Roman" w:eastAsia="Times New Roman" w:hAnsi="Times New Roman" w:cs="Times New Roman"/>
                <w:lang w:val="lt-LT"/>
              </w:rPr>
              <w:t>700</w:t>
            </w: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W</w:t>
            </w:r>
          </w:p>
        </w:tc>
      </w:tr>
      <w:tr w:rsidR="005C3D52" w:rsidRPr="00B068AB" w14:paraId="6FBDBA78" w14:textId="23984E89" w:rsidTr="00AA59CF">
        <w:tc>
          <w:tcPr>
            <w:tcW w:w="540" w:type="dxa"/>
          </w:tcPr>
          <w:p w14:paraId="25099B70" w14:textId="139F4CEA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20</w:t>
            </w:r>
          </w:p>
        </w:tc>
        <w:tc>
          <w:tcPr>
            <w:tcW w:w="2350" w:type="dxa"/>
          </w:tcPr>
          <w:p w14:paraId="7C9CDDF8" w14:textId="6156565E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Apsaugos klasė/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Protection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rating</w:t>
            </w:r>
            <w:proofErr w:type="spellEnd"/>
          </w:p>
        </w:tc>
        <w:tc>
          <w:tcPr>
            <w:tcW w:w="3342" w:type="dxa"/>
          </w:tcPr>
          <w:p w14:paraId="28FC5B78" w14:textId="162A6A6B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Ne mažesnė kaip IP65 (jutikliai IP67) ar lygiavertė</w:t>
            </w:r>
          </w:p>
        </w:tc>
        <w:tc>
          <w:tcPr>
            <w:tcW w:w="3686" w:type="dxa"/>
          </w:tcPr>
          <w:p w14:paraId="744DE57B" w14:textId="3A1EFC80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lower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IP65 (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sensors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IP67)</w:t>
            </w:r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>or</w:t>
            </w:r>
            <w:proofErr w:type="spellEnd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>equivalent</w:t>
            </w:r>
            <w:proofErr w:type="spellEnd"/>
          </w:p>
        </w:tc>
      </w:tr>
      <w:tr w:rsidR="005C3D52" w:rsidRPr="00B068AB" w14:paraId="52E44597" w14:textId="6B69862F" w:rsidTr="00AA59CF">
        <w:tc>
          <w:tcPr>
            <w:tcW w:w="540" w:type="dxa"/>
          </w:tcPr>
          <w:p w14:paraId="4A4DA57F" w14:textId="5133B2A6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21</w:t>
            </w:r>
          </w:p>
        </w:tc>
        <w:tc>
          <w:tcPr>
            <w:tcW w:w="2350" w:type="dxa"/>
          </w:tcPr>
          <w:p w14:paraId="1FD2CCAF" w14:textId="4759651E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Darbinė temperatūra/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Operating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temperature</w:t>
            </w:r>
            <w:proofErr w:type="spellEnd"/>
          </w:p>
        </w:tc>
        <w:tc>
          <w:tcPr>
            <w:tcW w:w="3342" w:type="dxa"/>
          </w:tcPr>
          <w:p w14:paraId="75031D5A" w14:textId="16932834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Ne mažesnės ribos kaip 5–40 °C</w:t>
            </w:r>
          </w:p>
        </w:tc>
        <w:tc>
          <w:tcPr>
            <w:tcW w:w="3686" w:type="dxa"/>
          </w:tcPr>
          <w:p w14:paraId="138A065A" w14:textId="4EA59CDF" w:rsidR="005C3D52" w:rsidRPr="00B068AB" w:rsidRDefault="00AA59CF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Minimum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range </w:t>
            </w:r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>5–40 °C</w:t>
            </w:r>
          </w:p>
        </w:tc>
      </w:tr>
      <w:tr w:rsidR="005C3D52" w:rsidRPr="00B068AB" w14:paraId="00A56BAD" w14:textId="31225987" w:rsidTr="00AA59CF">
        <w:tc>
          <w:tcPr>
            <w:tcW w:w="540" w:type="dxa"/>
          </w:tcPr>
          <w:p w14:paraId="0DD157AE" w14:textId="02882AF6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22</w:t>
            </w:r>
          </w:p>
        </w:tc>
        <w:tc>
          <w:tcPr>
            <w:tcW w:w="2350" w:type="dxa"/>
          </w:tcPr>
          <w:p w14:paraId="331D5433" w14:textId="3CE4E3B4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Darbinė drėgmė/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Operating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humidity</w:t>
            </w:r>
            <w:proofErr w:type="spellEnd"/>
          </w:p>
        </w:tc>
        <w:tc>
          <w:tcPr>
            <w:tcW w:w="3342" w:type="dxa"/>
          </w:tcPr>
          <w:p w14:paraId="073405E4" w14:textId="34003D0C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0–90 % RH (nekondensuojanti)</w:t>
            </w:r>
          </w:p>
        </w:tc>
        <w:tc>
          <w:tcPr>
            <w:tcW w:w="3686" w:type="dxa"/>
          </w:tcPr>
          <w:p w14:paraId="71D2BBBD" w14:textId="0832B8E0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0–90 % RH (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non-condensing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</w:tr>
      <w:tr w:rsidR="005C3D52" w:rsidRPr="00B068AB" w14:paraId="59F86E5A" w14:textId="3C793F8A" w:rsidTr="00AA59CF">
        <w:tc>
          <w:tcPr>
            <w:tcW w:w="540" w:type="dxa"/>
          </w:tcPr>
          <w:p w14:paraId="128770F8" w14:textId="1CEB0FBE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23</w:t>
            </w:r>
          </w:p>
        </w:tc>
        <w:tc>
          <w:tcPr>
            <w:tcW w:w="2350" w:type="dxa"/>
          </w:tcPr>
          <w:p w14:paraId="710599C8" w14:textId="00C79F81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Konstrukcija/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Construction</w:t>
            </w:r>
            <w:proofErr w:type="spellEnd"/>
          </w:p>
        </w:tc>
        <w:tc>
          <w:tcPr>
            <w:tcW w:w="3342" w:type="dxa"/>
          </w:tcPr>
          <w:p w14:paraId="7EE976A1" w14:textId="59A24BF9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Mobilus aliuminio ar lygiavertės medžiagos rėmas su ratukais</w:t>
            </w:r>
          </w:p>
        </w:tc>
        <w:tc>
          <w:tcPr>
            <w:tcW w:w="3686" w:type="dxa"/>
          </w:tcPr>
          <w:p w14:paraId="5D78EAC2" w14:textId="14FF34A5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Mobile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aluminum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(</w:t>
            </w:r>
            <w:proofErr w:type="spellStart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>or</w:t>
            </w:r>
            <w:proofErr w:type="spellEnd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>equivalent</w:t>
            </w:r>
            <w:proofErr w:type="spellEnd"/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)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frame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with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wheels</w:t>
            </w:r>
            <w:proofErr w:type="spellEnd"/>
          </w:p>
        </w:tc>
      </w:tr>
      <w:tr w:rsidR="005C3D52" w:rsidRPr="00B068AB" w14:paraId="0D2784D6" w14:textId="02D30074" w:rsidTr="00AA59CF">
        <w:tc>
          <w:tcPr>
            <w:tcW w:w="540" w:type="dxa"/>
          </w:tcPr>
          <w:p w14:paraId="73C50BCC" w14:textId="452F6499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24</w:t>
            </w:r>
          </w:p>
        </w:tc>
        <w:tc>
          <w:tcPr>
            <w:tcW w:w="2350" w:type="dxa"/>
          </w:tcPr>
          <w:p w14:paraId="69629103" w14:textId="46331461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Matmenys/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Dimensions</w:t>
            </w:r>
            <w:proofErr w:type="spellEnd"/>
          </w:p>
        </w:tc>
        <w:tc>
          <w:tcPr>
            <w:tcW w:w="3342" w:type="dxa"/>
          </w:tcPr>
          <w:p w14:paraId="05621342" w14:textId="0CFA8C35" w:rsidR="00714F8D" w:rsidRPr="00B068AB" w:rsidRDefault="005C3D52" w:rsidP="00ED2BE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Ne didesni kaip 3000 × 800 × 2000 mm</w:t>
            </w:r>
          </w:p>
        </w:tc>
        <w:tc>
          <w:tcPr>
            <w:tcW w:w="3686" w:type="dxa"/>
          </w:tcPr>
          <w:p w14:paraId="1E89856C" w14:textId="1FEC392B" w:rsidR="005C3D52" w:rsidRPr="00B068AB" w:rsidRDefault="00AA59CF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exceeding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5C3D52" w:rsidRPr="00B068AB">
              <w:rPr>
                <w:rFonts w:ascii="Times New Roman" w:eastAsia="Times New Roman" w:hAnsi="Times New Roman" w:cs="Times New Roman"/>
                <w:lang w:val="lt-LT"/>
              </w:rPr>
              <w:t>3000 × 800 × 2000 mm</w:t>
            </w:r>
          </w:p>
        </w:tc>
      </w:tr>
      <w:tr w:rsidR="005C3D52" w:rsidRPr="00B068AB" w14:paraId="70C52996" w14:textId="1CD04DCA" w:rsidTr="00AA59CF">
        <w:tc>
          <w:tcPr>
            <w:tcW w:w="540" w:type="dxa"/>
          </w:tcPr>
          <w:p w14:paraId="7E44F1C8" w14:textId="1697B1A7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25</w:t>
            </w:r>
          </w:p>
        </w:tc>
        <w:tc>
          <w:tcPr>
            <w:tcW w:w="2350" w:type="dxa"/>
          </w:tcPr>
          <w:p w14:paraId="35FC76B9" w14:textId="5487112F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Garantija/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Warranty</w:t>
            </w:r>
            <w:proofErr w:type="spellEnd"/>
          </w:p>
        </w:tc>
        <w:tc>
          <w:tcPr>
            <w:tcW w:w="3342" w:type="dxa"/>
          </w:tcPr>
          <w:p w14:paraId="316374CB" w14:textId="5CAB16C8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>Ne trumpesnė kaip 24 mėn.</w:t>
            </w:r>
          </w:p>
        </w:tc>
        <w:tc>
          <w:tcPr>
            <w:tcW w:w="3686" w:type="dxa"/>
          </w:tcPr>
          <w:p w14:paraId="4F846490" w14:textId="2A95E746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Minimum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24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months</w:t>
            </w:r>
            <w:proofErr w:type="spellEnd"/>
          </w:p>
        </w:tc>
      </w:tr>
      <w:tr w:rsidR="005C3D52" w:rsidRPr="00B068AB" w14:paraId="52D2EDB0" w14:textId="2512D9D5" w:rsidTr="00AA59CF">
        <w:tc>
          <w:tcPr>
            <w:tcW w:w="540" w:type="dxa"/>
          </w:tcPr>
          <w:p w14:paraId="5F3B7AF9" w14:textId="53D6427E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>26</w:t>
            </w:r>
          </w:p>
        </w:tc>
        <w:tc>
          <w:tcPr>
            <w:tcW w:w="2350" w:type="dxa"/>
          </w:tcPr>
          <w:p w14:paraId="07E97DF3" w14:textId="5DC1C259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>Diegimas</w:t>
            </w:r>
          </w:p>
        </w:tc>
        <w:tc>
          <w:tcPr>
            <w:tcW w:w="3342" w:type="dxa"/>
          </w:tcPr>
          <w:p w14:paraId="0F670B69" w14:textId="77777777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 xml:space="preserve">Tiekėjas turi atlikti įrangos montavimo, instaliavimo darbus, turi įvykdyti paleidimą bei konfigūraciją bei perduoti įrangos naudojimo instrukcijas ir kt. reikalingus dokumentus. </w:t>
            </w:r>
          </w:p>
          <w:p w14:paraId="23917E70" w14:textId="488DD223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>Prekių pristatymo vieta: Liepų g. 1, Girionys, 53101 Kauno r., Lietuva</w:t>
            </w:r>
          </w:p>
        </w:tc>
        <w:tc>
          <w:tcPr>
            <w:tcW w:w="3686" w:type="dxa"/>
          </w:tcPr>
          <w:p w14:paraId="1FAC5A25" w14:textId="3FF4195D" w:rsidR="005C3D52" w:rsidRPr="00B068AB" w:rsidRDefault="005C3D52" w:rsidP="00B537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supplier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must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perform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equipment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installation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perform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commissioning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configuration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provide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equipment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user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manuals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other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required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documentation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.</w:t>
            </w:r>
            <w:r w:rsidR="00AA59CF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Place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of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delivery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of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goods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: 1 Liepų St., Girionys, LT-53101 Kaunas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District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, Lithuania</w:t>
            </w:r>
          </w:p>
        </w:tc>
      </w:tr>
      <w:tr w:rsidR="005C3D52" w:rsidRPr="00B068AB" w14:paraId="1E979557" w14:textId="320AED8C" w:rsidTr="00AA59CF">
        <w:tc>
          <w:tcPr>
            <w:tcW w:w="540" w:type="dxa"/>
          </w:tcPr>
          <w:p w14:paraId="6847DEDC" w14:textId="3C7DA379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>27</w:t>
            </w:r>
          </w:p>
        </w:tc>
        <w:tc>
          <w:tcPr>
            <w:tcW w:w="2350" w:type="dxa"/>
          </w:tcPr>
          <w:p w14:paraId="283D974F" w14:textId="3AF53B57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>Darbuotojų apmokymas vietoje</w:t>
            </w:r>
          </w:p>
        </w:tc>
        <w:tc>
          <w:tcPr>
            <w:tcW w:w="3342" w:type="dxa"/>
          </w:tcPr>
          <w:p w14:paraId="5DE26F10" w14:textId="62338B3E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 xml:space="preserve">Turi būti apmokyti ne mažiau kaip 3 laboratorijos darbuotojai gyvai ne mažiau kaip </w:t>
            </w:r>
            <w:r w:rsidR="00977A36" w:rsidRPr="00B068AB">
              <w:rPr>
                <w:rFonts w:ascii="Times New Roman" w:hAnsi="Times New Roman" w:cs="Times New Roman"/>
                <w:lang w:val="lt-LT"/>
              </w:rPr>
              <w:t xml:space="preserve">36 val. </w:t>
            </w:r>
            <w:r w:rsidRPr="00B068AB">
              <w:rPr>
                <w:rFonts w:ascii="Times New Roman" w:hAnsi="Times New Roman" w:cs="Times New Roman"/>
                <w:lang w:val="lt-LT"/>
              </w:rPr>
              <w:t xml:space="preserve">(kaip tinkamai paruošti eksperimentus ir efektyviai naudotis ir prižiūrėti prietaisą bei kaip valdyti ir analizuoti gautus duomenis ir kt.) </w:t>
            </w:r>
          </w:p>
        </w:tc>
        <w:tc>
          <w:tcPr>
            <w:tcW w:w="3686" w:type="dxa"/>
          </w:tcPr>
          <w:p w14:paraId="52CBAFF3" w14:textId="6E71AE86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At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least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three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laboratory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staff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members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must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be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trained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in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person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for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at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least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977A36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36 </w:t>
            </w:r>
            <w:proofErr w:type="spellStart"/>
            <w:r w:rsidR="00977A36" w:rsidRPr="00B068AB">
              <w:rPr>
                <w:rFonts w:ascii="Times New Roman" w:eastAsia="Times New Roman" w:hAnsi="Times New Roman" w:cs="Times New Roman"/>
                <w:lang w:val="lt-LT"/>
              </w:rPr>
              <w:t>hours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(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including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how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to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properly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prepare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experiments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efficiently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operate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maintain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device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manage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analyze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resulting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data, etc.).</w:t>
            </w:r>
          </w:p>
        </w:tc>
      </w:tr>
      <w:tr w:rsidR="005C3D52" w:rsidRPr="00B068AB" w14:paraId="5C427F3B" w14:textId="6B29CFC5" w:rsidTr="00AA59CF">
        <w:tc>
          <w:tcPr>
            <w:tcW w:w="540" w:type="dxa"/>
          </w:tcPr>
          <w:p w14:paraId="3E14B83F" w14:textId="72C650C6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>28</w:t>
            </w:r>
          </w:p>
        </w:tc>
        <w:tc>
          <w:tcPr>
            <w:tcW w:w="2350" w:type="dxa"/>
          </w:tcPr>
          <w:p w14:paraId="3BED1025" w14:textId="3D15A32E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>Nuotolinės pagalbos paketas</w:t>
            </w:r>
          </w:p>
        </w:tc>
        <w:tc>
          <w:tcPr>
            <w:tcW w:w="3342" w:type="dxa"/>
          </w:tcPr>
          <w:p w14:paraId="10912B51" w14:textId="739F28CB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>Turi būti valandinis nuotolinis palaikymas. Tiekėjas privalo užtikrinti nuotolinę pagalbą garantiniu laikotarpiu, darbo dienomis, per ne ilgiau kaip per 8 darbo valandas. Paslauga apima valandines konsultacijas, diagnostiką ir smulkius programinės įrangos nustatymų koregavimo darbus.</w:t>
            </w:r>
          </w:p>
        </w:tc>
        <w:tc>
          <w:tcPr>
            <w:tcW w:w="3686" w:type="dxa"/>
          </w:tcPr>
          <w:p w14:paraId="2C378E08" w14:textId="6D965FB8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Hourly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remote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support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must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be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provided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supplier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shall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provide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remote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assistance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during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warranty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period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working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days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with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a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response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time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of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no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more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than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8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working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hours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service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includes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hourly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consultations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diagnostics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minor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software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configuration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adjustments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</w:tr>
      <w:tr w:rsidR="005C3D52" w:rsidRPr="00B53778" w14:paraId="0EC56024" w14:textId="6A5086F2" w:rsidTr="00AA59CF">
        <w:tc>
          <w:tcPr>
            <w:tcW w:w="540" w:type="dxa"/>
          </w:tcPr>
          <w:p w14:paraId="2E55DB0A" w14:textId="3CE2F887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>29</w:t>
            </w:r>
          </w:p>
        </w:tc>
        <w:tc>
          <w:tcPr>
            <w:tcW w:w="2350" w:type="dxa"/>
          </w:tcPr>
          <w:p w14:paraId="6A6525FC" w14:textId="77777777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 xml:space="preserve">Priežiūra vietoje </w:t>
            </w:r>
          </w:p>
          <w:p w14:paraId="456F37AC" w14:textId="77777777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2EC0E267" w14:textId="77777777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342" w:type="dxa"/>
          </w:tcPr>
          <w:p w14:paraId="38BA661B" w14:textId="2CB0F98C" w:rsidR="005C3D52" w:rsidRPr="00B068AB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68AB">
              <w:rPr>
                <w:rFonts w:ascii="Times New Roman" w:hAnsi="Times New Roman" w:cs="Times New Roman"/>
                <w:lang w:val="lt-LT"/>
              </w:rPr>
              <w:t xml:space="preserve">Garantiniu laikotarpiu turi įtraukta prietaiso techninė priežiūrą vietoje ne mažiau </w:t>
            </w:r>
            <w:r w:rsidR="00977A36" w:rsidRPr="00B068AB">
              <w:rPr>
                <w:rFonts w:ascii="Times New Roman" w:hAnsi="Times New Roman" w:cs="Times New Roman"/>
                <w:lang w:val="lt-LT"/>
              </w:rPr>
              <w:t>36 valandos</w:t>
            </w:r>
            <w:r w:rsidRPr="00B068AB">
              <w:rPr>
                <w:rFonts w:ascii="Times New Roman" w:hAnsi="Times New Roman" w:cs="Times New Roman"/>
                <w:lang w:val="lt-LT"/>
              </w:rPr>
              <w:t xml:space="preserve"> ir turi apimti visus gamintojo numatytus patikros algoritmus (jutiklių kalibravimą, mechaninių dalių patikrą, programinės įrangos atnaujinimus bei  specialisto kelionės ir pragyvenimo, darbo išlaidas)</w:t>
            </w:r>
          </w:p>
        </w:tc>
        <w:tc>
          <w:tcPr>
            <w:tcW w:w="3686" w:type="dxa"/>
          </w:tcPr>
          <w:p w14:paraId="61EBE7BB" w14:textId="512C5A92" w:rsidR="005C3D52" w:rsidRPr="00B53778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During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warranty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period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on-site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technical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maintenance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of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device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for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a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minimum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of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977A36"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36 </w:t>
            </w:r>
            <w:proofErr w:type="spellStart"/>
            <w:r w:rsidR="00977A36" w:rsidRPr="00B068AB">
              <w:rPr>
                <w:rFonts w:ascii="Times New Roman" w:eastAsia="Times New Roman" w:hAnsi="Times New Roman" w:cs="Times New Roman"/>
                <w:lang w:val="lt-LT"/>
              </w:rPr>
              <w:t>hours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must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be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included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shall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cover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all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inspection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procedures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specified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by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manufacturer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(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including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sensor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calibration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inspection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of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mechanical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components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software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updates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specialist’s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travel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accommodation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labor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B068AB">
              <w:rPr>
                <w:rFonts w:ascii="Times New Roman" w:eastAsia="Times New Roman" w:hAnsi="Times New Roman" w:cs="Times New Roman"/>
                <w:lang w:val="lt-LT"/>
              </w:rPr>
              <w:t>costs</w:t>
            </w:r>
            <w:proofErr w:type="spellEnd"/>
            <w:r w:rsidRPr="00B068AB">
              <w:rPr>
                <w:rFonts w:ascii="Times New Roman" w:eastAsia="Times New Roman" w:hAnsi="Times New Roman" w:cs="Times New Roman"/>
                <w:lang w:val="lt-LT"/>
              </w:rPr>
              <w:t>).</w:t>
            </w:r>
          </w:p>
        </w:tc>
      </w:tr>
      <w:tr w:rsidR="005C3D52" w:rsidRPr="00B53778" w14:paraId="6FA959C8" w14:textId="3225ED8A" w:rsidTr="00AA59CF">
        <w:tc>
          <w:tcPr>
            <w:tcW w:w="540" w:type="dxa"/>
          </w:tcPr>
          <w:p w14:paraId="7416A397" w14:textId="77777777" w:rsidR="005C3D52" w:rsidRPr="00B53778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50" w:type="dxa"/>
          </w:tcPr>
          <w:p w14:paraId="238EDD9B" w14:textId="77777777" w:rsidR="005C3D52" w:rsidRPr="00B53778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342" w:type="dxa"/>
          </w:tcPr>
          <w:p w14:paraId="3AD83FA0" w14:textId="107165F9" w:rsidR="005C3D52" w:rsidRPr="00B53778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686" w:type="dxa"/>
          </w:tcPr>
          <w:p w14:paraId="150DBF6F" w14:textId="77777777" w:rsidR="005C3D52" w:rsidRPr="00B53778" w:rsidRDefault="005C3D52" w:rsidP="00B5377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56D94265" w14:textId="77777777" w:rsidR="00D6187F" w:rsidRPr="0024591D" w:rsidRDefault="00D6187F" w:rsidP="00B53778">
      <w:pPr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D6187F" w:rsidRPr="0024591D" w:rsidSect="005C3D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65633F"/>
    <w:multiLevelType w:val="multilevel"/>
    <w:tmpl w:val="A81254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10" w15:restartNumberingAfterBreak="0">
    <w:nsid w:val="2ACF737D"/>
    <w:multiLevelType w:val="multilevel"/>
    <w:tmpl w:val="CBD6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E6C2B"/>
    <w:multiLevelType w:val="multilevel"/>
    <w:tmpl w:val="0A2E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F49EA"/>
    <w:multiLevelType w:val="multilevel"/>
    <w:tmpl w:val="D6DE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A0629"/>
    <w:multiLevelType w:val="hybridMultilevel"/>
    <w:tmpl w:val="4586A010"/>
    <w:lvl w:ilvl="0" w:tplc="719CF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E37820"/>
    <w:multiLevelType w:val="multilevel"/>
    <w:tmpl w:val="762A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006633">
    <w:abstractNumId w:val="8"/>
  </w:num>
  <w:num w:numId="2" w16cid:durableId="578439254">
    <w:abstractNumId w:val="6"/>
  </w:num>
  <w:num w:numId="3" w16cid:durableId="709959304">
    <w:abstractNumId w:val="5"/>
  </w:num>
  <w:num w:numId="4" w16cid:durableId="1307776611">
    <w:abstractNumId w:val="4"/>
  </w:num>
  <w:num w:numId="5" w16cid:durableId="1666082435">
    <w:abstractNumId w:val="7"/>
  </w:num>
  <w:num w:numId="6" w16cid:durableId="1749880599">
    <w:abstractNumId w:val="3"/>
  </w:num>
  <w:num w:numId="7" w16cid:durableId="2010522188">
    <w:abstractNumId w:val="2"/>
  </w:num>
  <w:num w:numId="8" w16cid:durableId="432288473">
    <w:abstractNumId w:val="1"/>
  </w:num>
  <w:num w:numId="9" w16cid:durableId="1322582366">
    <w:abstractNumId w:val="0"/>
  </w:num>
  <w:num w:numId="10" w16cid:durableId="2080128913">
    <w:abstractNumId w:val="14"/>
  </w:num>
  <w:num w:numId="11" w16cid:durableId="1464541185">
    <w:abstractNumId w:val="10"/>
  </w:num>
  <w:num w:numId="12" w16cid:durableId="207646491">
    <w:abstractNumId w:val="9"/>
  </w:num>
  <w:num w:numId="13" w16cid:durableId="299770938">
    <w:abstractNumId w:val="12"/>
  </w:num>
  <w:num w:numId="14" w16cid:durableId="402139058">
    <w:abstractNumId w:val="11"/>
  </w:num>
  <w:num w:numId="15" w16cid:durableId="6382689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3C5"/>
    <w:rsid w:val="000F509F"/>
    <w:rsid w:val="0015074B"/>
    <w:rsid w:val="001D454F"/>
    <w:rsid w:val="001E4DA5"/>
    <w:rsid w:val="00225A93"/>
    <w:rsid w:val="00244442"/>
    <w:rsid w:val="0024591D"/>
    <w:rsid w:val="00257572"/>
    <w:rsid w:val="0029639D"/>
    <w:rsid w:val="002C6C61"/>
    <w:rsid w:val="00326F90"/>
    <w:rsid w:val="00327A22"/>
    <w:rsid w:val="0039453B"/>
    <w:rsid w:val="0040406F"/>
    <w:rsid w:val="0043320B"/>
    <w:rsid w:val="00446554"/>
    <w:rsid w:val="00474B1C"/>
    <w:rsid w:val="00482062"/>
    <w:rsid w:val="004A7BAB"/>
    <w:rsid w:val="004F7273"/>
    <w:rsid w:val="00547467"/>
    <w:rsid w:val="00552AC2"/>
    <w:rsid w:val="0055336D"/>
    <w:rsid w:val="005C3D52"/>
    <w:rsid w:val="005D4FBC"/>
    <w:rsid w:val="00600A8C"/>
    <w:rsid w:val="006410C3"/>
    <w:rsid w:val="00690191"/>
    <w:rsid w:val="00694A72"/>
    <w:rsid w:val="006976FB"/>
    <w:rsid w:val="006A5926"/>
    <w:rsid w:val="006B265F"/>
    <w:rsid w:val="006D4937"/>
    <w:rsid w:val="00714F8D"/>
    <w:rsid w:val="00715C99"/>
    <w:rsid w:val="0074444F"/>
    <w:rsid w:val="00744D94"/>
    <w:rsid w:val="007510C1"/>
    <w:rsid w:val="008521A6"/>
    <w:rsid w:val="0085338F"/>
    <w:rsid w:val="00891A21"/>
    <w:rsid w:val="008F6425"/>
    <w:rsid w:val="00954916"/>
    <w:rsid w:val="0097024D"/>
    <w:rsid w:val="00977A36"/>
    <w:rsid w:val="009B3CF7"/>
    <w:rsid w:val="009C3732"/>
    <w:rsid w:val="009D293E"/>
    <w:rsid w:val="009D67EF"/>
    <w:rsid w:val="009F4C6E"/>
    <w:rsid w:val="00A07A71"/>
    <w:rsid w:val="00A57298"/>
    <w:rsid w:val="00AA1D8D"/>
    <w:rsid w:val="00AA59CF"/>
    <w:rsid w:val="00B068AB"/>
    <w:rsid w:val="00B11289"/>
    <w:rsid w:val="00B407F4"/>
    <w:rsid w:val="00B47730"/>
    <w:rsid w:val="00B5019C"/>
    <w:rsid w:val="00B51EC8"/>
    <w:rsid w:val="00B53778"/>
    <w:rsid w:val="00B56931"/>
    <w:rsid w:val="00B74B92"/>
    <w:rsid w:val="00B816F7"/>
    <w:rsid w:val="00BB2D37"/>
    <w:rsid w:val="00BB66D9"/>
    <w:rsid w:val="00BC4305"/>
    <w:rsid w:val="00C041DF"/>
    <w:rsid w:val="00C208B6"/>
    <w:rsid w:val="00C44E87"/>
    <w:rsid w:val="00C643ED"/>
    <w:rsid w:val="00C71F0F"/>
    <w:rsid w:val="00CB0664"/>
    <w:rsid w:val="00CE36E8"/>
    <w:rsid w:val="00CE3847"/>
    <w:rsid w:val="00D22DDB"/>
    <w:rsid w:val="00D6187F"/>
    <w:rsid w:val="00DC07A7"/>
    <w:rsid w:val="00E06CF8"/>
    <w:rsid w:val="00E26EA3"/>
    <w:rsid w:val="00E96BA8"/>
    <w:rsid w:val="00EA34ED"/>
    <w:rsid w:val="00ED2BE4"/>
    <w:rsid w:val="00F51DCF"/>
    <w:rsid w:val="00F54ECC"/>
    <w:rsid w:val="00F736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31BD0"/>
  <w14:defaultImageDpi w14:val="300"/>
  <w15:docId w15:val="{C4A2F635-3044-4CDB-8399-199E99B9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aliases w:val="Sąrašo pastraipa1,List Paragraph1,Medium Grid 1 - Accent 21,Sąrašo pastra,List Paragraph21,Buletai,Bullet EY,List Paragraph2,lp1,Bullet 1,Use Case List Paragraph,Numbering,ERP-List Paragraph,List Paragraph11,List Paragraph111,Paragraph"/>
    <w:basedOn w:val="prastasis"/>
    <w:link w:val="SraopastraipaDiagrama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SraopastraipaDiagrama">
    <w:name w:val="Sąrašo pastraipa Diagrama"/>
    <w:aliases w:val="Sąrašo pastraipa1 Diagrama,List Paragraph1 Diagrama,Medium Grid 1 - Accent 21 Diagrama,Sąrašo pastra Diagrama,List Paragraph21 Diagrama,Buletai Diagrama,Bullet EY Diagrama,List Paragraph2 Diagrama,lp1 Diagrama,Bullet 1 Diagrama"/>
    <w:link w:val="Sraopastraipa"/>
    <w:uiPriority w:val="34"/>
    <w:locked/>
    <w:rsid w:val="00257572"/>
  </w:style>
  <w:style w:type="character" w:styleId="Hipersaitas">
    <w:name w:val="Hyperlink"/>
    <w:basedOn w:val="Numatytasispastraiposriftas"/>
    <w:uiPriority w:val="99"/>
    <w:unhideWhenUsed/>
    <w:rsid w:val="009B3CF7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3CF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36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E36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E36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36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36E8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36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4722</Words>
  <Characters>2693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Neringa Bartuševičiūtė</cp:lastModifiedBy>
  <cp:revision>3</cp:revision>
  <cp:lastPrinted>2026-02-17T13:10:00Z</cp:lastPrinted>
  <dcterms:created xsi:type="dcterms:W3CDTF">2026-02-27T08:02:00Z</dcterms:created>
  <dcterms:modified xsi:type="dcterms:W3CDTF">2026-03-03T13:52:00Z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7115bd70-9c5c-4589-beed-b65883dba576</vt:lpwstr>
  </property>
</Properties>
</file>