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7839" w14:textId="288EBA9C" w:rsidR="008C30D7" w:rsidRPr="00422CC8" w:rsidRDefault="006E61AC" w:rsidP="00A57F2B">
      <w:pPr>
        <w:ind w:firstLine="284"/>
        <w:jc w:val="center"/>
        <w:rPr>
          <w:b/>
          <w:bCs/>
          <w:caps/>
        </w:rPr>
      </w:pPr>
      <w:r w:rsidRPr="00422CC8">
        <w:rPr>
          <w:rFonts w:eastAsia="Times New Roman" w:cs="Times New Roman"/>
          <w:b/>
          <w:caps/>
          <w:color w:val="000000" w:themeColor="text1"/>
          <w:szCs w:val="24"/>
          <w:lang w:eastAsia="lt-LT"/>
        </w:rPr>
        <w:t xml:space="preserve">NEĮGALIŲJŲ </w:t>
      </w:r>
      <w:r w:rsidR="00FE5C7F" w:rsidRPr="00422CC8">
        <w:rPr>
          <w:rFonts w:eastAsia="Times New Roman" w:cs="Times New Roman"/>
          <w:b/>
          <w:caps/>
          <w:color w:val="000000" w:themeColor="text1"/>
          <w:szCs w:val="24"/>
          <w:lang w:eastAsia="lt-LT"/>
        </w:rPr>
        <w:t xml:space="preserve">KELTUVO </w:t>
      </w:r>
      <w:r w:rsidR="00422CC8" w:rsidRPr="00422CC8">
        <w:rPr>
          <w:rFonts w:eastAsia="Times New Roman" w:cs="Times New Roman"/>
          <w:b/>
          <w:caps/>
          <w:color w:val="000000" w:themeColor="text1"/>
          <w:szCs w:val="24"/>
          <w:lang w:eastAsia="lt-LT"/>
        </w:rPr>
        <w:t xml:space="preserve">ir jo </w:t>
      </w:r>
      <w:r w:rsidR="00422CC8">
        <w:rPr>
          <w:rFonts w:eastAsia="Times New Roman" w:cs="Times New Roman"/>
          <w:b/>
          <w:caps/>
          <w:color w:val="000000" w:themeColor="text1"/>
          <w:szCs w:val="24"/>
          <w:lang w:eastAsia="lt-LT"/>
        </w:rPr>
        <w:t>įrengimo</w:t>
      </w:r>
      <w:r w:rsidR="00422CC8" w:rsidRPr="00422CC8">
        <w:rPr>
          <w:rFonts w:eastAsia="Times New Roman" w:cs="Times New Roman"/>
          <w:b/>
          <w:caps/>
          <w:color w:val="000000" w:themeColor="text1"/>
          <w:szCs w:val="24"/>
          <w:lang w:eastAsia="lt-LT"/>
        </w:rPr>
        <w:t xml:space="preserve"> darbų</w:t>
      </w:r>
      <w:r w:rsidR="00A57F2B" w:rsidRPr="00422CC8">
        <w:rPr>
          <w:b/>
          <w:bCs/>
          <w:caps/>
        </w:rPr>
        <w:t xml:space="preserve"> </w:t>
      </w:r>
    </w:p>
    <w:p w14:paraId="75DCB1FD" w14:textId="04A2CF39" w:rsidR="00A57F2B" w:rsidRPr="001A449A" w:rsidRDefault="00A57F2B" w:rsidP="00A57F2B">
      <w:pPr>
        <w:ind w:firstLine="284"/>
        <w:jc w:val="center"/>
        <w:rPr>
          <w:b/>
          <w:bCs/>
        </w:rPr>
      </w:pPr>
      <w:r w:rsidRPr="001A449A">
        <w:rPr>
          <w:b/>
          <w:bCs/>
        </w:rPr>
        <w:t>TECHNINĖ SPECIFIKACIJA</w:t>
      </w:r>
    </w:p>
    <w:p w14:paraId="16C77F9D" w14:textId="77777777" w:rsidR="002B6486" w:rsidRDefault="002B6486" w:rsidP="00C62013">
      <w:pPr>
        <w:spacing w:after="0" w:line="360" w:lineRule="auto"/>
        <w:jc w:val="both"/>
        <w:rPr>
          <w:rFonts w:eastAsia="Times New Roman" w:cs="Times New Roman"/>
          <w:b/>
          <w:color w:val="000000" w:themeColor="text1"/>
          <w:szCs w:val="24"/>
          <w:lang w:eastAsia="lt-LT"/>
        </w:rPr>
      </w:pPr>
    </w:p>
    <w:p w14:paraId="17367159" w14:textId="7A9DC2B4" w:rsidR="00EE55D8" w:rsidRDefault="00422CC8" w:rsidP="00C62013">
      <w:pPr>
        <w:spacing w:after="0" w:line="360" w:lineRule="auto"/>
        <w:jc w:val="both"/>
        <w:rPr>
          <w:szCs w:val="24"/>
        </w:rPr>
      </w:pPr>
      <w:r>
        <w:rPr>
          <w:rFonts w:eastAsia="Times New Roman" w:cs="Times New Roman"/>
          <w:b/>
          <w:color w:val="000000" w:themeColor="text1"/>
          <w:szCs w:val="24"/>
          <w:lang w:eastAsia="lt-LT"/>
        </w:rPr>
        <w:t xml:space="preserve">Užsakovas – </w:t>
      </w:r>
      <w:r>
        <w:rPr>
          <w:szCs w:val="24"/>
        </w:rPr>
        <w:t>BĮ „Vilniaus Lakštingalos namai</w:t>
      </w:r>
      <w:r w:rsidR="007D5FBF">
        <w:rPr>
          <w:szCs w:val="24"/>
        </w:rPr>
        <w:t>“</w:t>
      </w:r>
    </w:p>
    <w:p w14:paraId="08EC37D8" w14:textId="77777777" w:rsidR="000F31D4" w:rsidRDefault="000F31D4" w:rsidP="00C62013">
      <w:pPr>
        <w:spacing w:after="0" w:line="360" w:lineRule="auto"/>
        <w:jc w:val="both"/>
        <w:rPr>
          <w:rFonts w:eastAsia="Times New Roman" w:cs="Times New Roman"/>
          <w:bCs/>
          <w:color w:val="000000" w:themeColor="text1"/>
          <w:szCs w:val="24"/>
          <w:lang w:eastAsia="lt-LT"/>
        </w:rPr>
      </w:pPr>
      <w:r w:rsidRPr="000F31D4">
        <w:rPr>
          <w:rFonts w:eastAsia="Times New Roman" w:cs="Times New Roman"/>
          <w:b/>
          <w:color w:val="000000" w:themeColor="text1"/>
          <w:szCs w:val="24"/>
          <w:lang w:eastAsia="lt-LT"/>
        </w:rPr>
        <w:t xml:space="preserve">Pirkimo objektas </w:t>
      </w:r>
      <w:r w:rsidRPr="000F31D4">
        <w:rPr>
          <w:rFonts w:eastAsia="Times New Roman" w:cs="Times New Roman"/>
          <w:bCs/>
          <w:color w:val="000000" w:themeColor="text1"/>
          <w:szCs w:val="24"/>
          <w:lang w:eastAsia="lt-LT"/>
        </w:rPr>
        <w:t>– neįgaliųjų keltuvas ir jo įrengimo darbai.</w:t>
      </w:r>
    </w:p>
    <w:p w14:paraId="58ADB657" w14:textId="79E3AEC4" w:rsidR="001D3697" w:rsidRDefault="00B42208" w:rsidP="001D3697">
      <w:pPr>
        <w:spacing w:after="0" w:line="360" w:lineRule="auto"/>
        <w:jc w:val="both"/>
        <w:rPr>
          <w:szCs w:val="24"/>
        </w:rPr>
      </w:pPr>
      <w:r w:rsidRPr="00C62013">
        <w:rPr>
          <w:b/>
          <w:bCs/>
          <w:szCs w:val="24"/>
        </w:rPr>
        <w:t>Atliekamų darbų tikslas</w:t>
      </w:r>
      <w:r w:rsidRPr="00CD7AAC">
        <w:rPr>
          <w:szCs w:val="24"/>
        </w:rPr>
        <w:t xml:space="preserve"> – pakeisti </w:t>
      </w:r>
      <w:r w:rsidR="00CF27E4">
        <w:rPr>
          <w:szCs w:val="24"/>
        </w:rPr>
        <w:t>BĮ</w:t>
      </w:r>
      <w:r w:rsidR="00FE5C7F">
        <w:rPr>
          <w:szCs w:val="24"/>
        </w:rPr>
        <w:t xml:space="preserve"> „Vilniaus Lakštingalos namai“</w:t>
      </w:r>
      <w:r w:rsidRPr="00CD7AAC">
        <w:rPr>
          <w:szCs w:val="24"/>
        </w:rPr>
        <w:t>, esanči</w:t>
      </w:r>
      <w:r w:rsidR="000F31D4">
        <w:rPr>
          <w:szCs w:val="24"/>
        </w:rPr>
        <w:t>os</w:t>
      </w:r>
      <w:r w:rsidRPr="00CD7AAC">
        <w:rPr>
          <w:szCs w:val="24"/>
        </w:rPr>
        <w:t xml:space="preserve"> </w:t>
      </w:r>
      <w:r w:rsidR="007D5FBF">
        <w:rPr>
          <w:szCs w:val="24"/>
        </w:rPr>
        <w:t xml:space="preserve">adresu </w:t>
      </w:r>
      <w:r w:rsidR="00FE5C7F">
        <w:rPr>
          <w:szCs w:val="24"/>
        </w:rPr>
        <w:t>Lakštingalų</w:t>
      </w:r>
      <w:r w:rsidRPr="00CD7AAC">
        <w:rPr>
          <w:szCs w:val="24"/>
        </w:rPr>
        <w:t xml:space="preserve"> g. 7,</w:t>
      </w:r>
      <w:r w:rsidR="00FE5C7F">
        <w:rPr>
          <w:szCs w:val="24"/>
        </w:rPr>
        <w:t xml:space="preserve"> Vilniuje</w:t>
      </w:r>
      <w:r w:rsidR="00421939">
        <w:rPr>
          <w:szCs w:val="24"/>
        </w:rPr>
        <w:t>,</w:t>
      </w:r>
      <w:r w:rsidR="00FE5C7F">
        <w:rPr>
          <w:szCs w:val="24"/>
        </w:rPr>
        <w:t xml:space="preserve"> </w:t>
      </w:r>
      <w:r w:rsidRPr="00CD7AAC">
        <w:rPr>
          <w:szCs w:val="24"/>
        </w:rPr>
        <w:t xml:space="preserve">seną </w:t>
      </w:r>
      <w:r w:rsidR="006E61AC">
        <w:rPr>
          <w:szCs w:val="24"/>
        </w:rPr>
        <w:t xml:space="preserve">neįgaliųjų </w:t>
      </w:r>
      <w:r w:rsidR="00FE5C7F">
        <w:rPr>
          <w:szCs w:val="24"/>
        </w:rPr>
        <w:t>keltuvą</w:t>
      </w:r>
      <w:r w:rsidRPr="00CD7AAC">
        <w:rPr>
          <w:szCs w:val="24"/>
        </w:rPr>
        <w:t xml:space="preserve"> nauju. </w:t>
      </w:r>
    </w:p>
    <w:p w14:paraId="05A07691" w14:textId="3F12DC0E" w:rsidR="00C62013" w:rsidRDefault="0062586F" w:rsidP="00C62013">
      <w:pPr>
        <w:spacing w:after="0" w:line="360" w:lineRule="auto"/>
        <w:jc w:val="both"/>
        <w:rPr>
          <w:szCs w:val="24"/>
        </w:rPr>
      </w:pPr>
      <w:r w:rsidRPr="00CD7AAC">
        <w:rPr>
          <w:szCs w:val="24"/>
        </w:rPr>
        <w:t>Darbai vykdomi veiklą vykdančioje įstaigoje.</w:t>
      </w:r>
    </w:p>
    <w:p w14:paraId="0D195D1C" w14:textId="77777777" w:rsidR="00065518" w:rsidRDefault="00065518" w:rsidP="008C30D7">
      <w:pPr>
        <w:spacing w:after="0" w:line="276" w:lineRule="auto"/>
        <w:ind w:firstLine="851"/>
        <w:jc w:val="both"/>
        <w:rPr>
          <w:szCs w:val="24"/>
        </w:rPr>
      </w:pPr>
    </w:p>
    <w:tbl>
      <w:tblPr>
        <w:tblStyle w:val="Lentelstinklelis"/>
        <w:tblW w:w="0" w:type="auto"/>
        <w:tblLook w:val="04A0" w:firstRow="1" w:lastRow="0" w:firstColumn="1" w:lastColumn="0" w:noHBand="0" w:noVBand="1"/>
      </w:tblPr>
      <w:tblGrid>
        <w:gridCol w:w="3539"/>
        <w:gridCol w:w="6089"/>
      </w:tblGrid>
      <w:tr w:rsidR="001C13C7" w:rsidRPr="001C13C7" w14:paraId="5CFA3894" w14:textId="77777777" w:rsidTr="00D60BE5">
        <w:trPr>
          <w:trHeight w:val="315"/>
        </w:trPr>
        <w:tc>
          <w:tcPr>
            <w:tcW w:w="3539" w:type="dxa"/>
            <w:noWrap/>
          </w:tcPr>
          <w:p w14:paraId="1E3494B6" w14:textId="2631E81C" w:rsidR="001C13C7" w:rsidRPr="009224D4" w:rsidRDefault="00D60BE5" w:rsidP="008C30D7">
            <w:pPr>
              <w:spacing w:line="276" w:lineRule="auto"/>
              <w:jc w:val="both"/>
              <w:rPr>
                <w:rFonts w:cs="Times New Roman"/>
                <w:szCs w:val="24"/>
              </w:rPr>
            </w:pPr>
            <w:r w:rsidRPr="009224D4">
              <w:rPr>
                <w:rFonts w:cs="Times New Roman"/>
                <w:szCs w:val="24"/>
              </w:rPr>
              <w:t>Tipas</w:t>
            </w:r>
          </w:p>
        </w:tc>
        <w:tc>
          <w:tcPr>
            <w:tcW w:w="6089" w:type="dxa"/>
          </w:tcPr>
          <w:p w14:paraId="6239C2FC" w14:textId="4C88E3CD" w:rsidR="001C13C7" w:rsidRPr="00EE2DBE" w:rsidRDefault="00EE2DBE" w:rsidP="008C30D7">
            <w:pPr>
              <w:spacing w:line="276" w:lineRule="auto"/>
              <w:jc w:val="both"/>
              <w:rPr>
                <w:rFonts w:cs="Times New Roman"/>
                <w:szCs w:val="24"/>
              </w:rPr>
            </w:pPr>
            <w:r w:rsidRPr="00EE2DBE">
              <w:rPr>
                <w:rFonts w:cs="Times New Roman"/>
                <w:szCs w:val="24"/>
              </w:rPr>
              <w:t>Vertikaliojo kėlimo platforma sumažėjusio judumo asmenims</w:t>
            </w:r>
          </w:p>
        </w:tc>
      </w:tr>
      <w:tr w:rsidR="00D60BE5" w:rsidRPr="001C13C7" w14:paraId="6BC13C22" w14:textId="77777777" w:rsidTr="00D60BE5">
        <w:trPr>
          <w:trHeight w:val="315"/>
        </w:trPr>
        <w:tc>
          <w:tcPr>
            <w:tcW w:w="3539" w:type="dxa"/>
            <w:noWrap/>
          </w:tcPr>
          <w:p w14:paraId="5C14A434" w14:textId="3C5D1732" w:rsidR="00D60BE5" w:rsidRPr="009224D4" w:rsidRDefault="00D60BE5" w:rsidP="008C30D7">
            <w:pPr>
              <w:spacing w:line="276" w:lineRule="auto"/>
              <w:jc w:val="both"/>
              <w:rPr>
                <w:rFonts w:cs="Times New Roman"/>
                <w:szCs w:val="24"/>
              </w:rPr>
            </w:pPr>
            <w:r w:rsidRPr="009224D4">
              <w:rPr>
                <w:rFonts w:cs="Times New Roman"/>
                <w:szCs w:val="24"/>
              </w:rPr>
              <w:t>Montavimo vieta</w:t>
            </w:r>
          </w:p>
        </w:tc>
        <w:tc>
          <w:tcPr>
            <w:tcW w:w="6089" w:type="dxa"/>
          </w:tcPr>
          <w:p w14:paraId="1EEC568E" w14:textId="75938B40" w:rsidR="00D60BE5" w:rsidRPr="009224D4" w:rsidRDefault="00D60BE5" w:rsidP="008C30D7">
            <w:pPr>
              <w:spacing w:line="276" w:lineRule="auto"/>
              <w:jc w:val="both"/>
              <w:rPr>
                <w:rFonts w:cs="Times New Roman"/>
                <w:szCs w:val="24"/>
              </w:rPr>
            </w:pPr>
            <w:r w:rsidRPr="009224D4">
              <w:rPr>
                <w:rFonts w:cs="Times New Roman"/>
                <w:szCs w:val="24"/>
              </w:rPr>
              <w:t>Pastato viduje</w:t>
            </w:r>
          </w:p>
        </w:tc>
      </w:tr>
      <w:tr w:rsidR="00D60BE5" w:rsidRPr="001C13C7" w14:paraId="5CF1C413" w14:textId="77777777" w:rsidTr="001C13C7">
        <w:trPr>
          <w:trHeight w:val="315"/>
        </w:trPr>
        <w:tc>
          <w:tcPr>
            <w:tcW w:w="3539" w:type="dxa"/>
            <w:noWrap/>
          </w:tcPr>
          <w:p w14:paraId="595E79AA" w14:textId="4B710483" w:rsidR="00D60BE5" w:rsidRPr="009224D4" w:rsidRDefault="00D60BE5" w:rsidP="008C30D7">
            <w:pPr>
              <w:spacing w:line="276" w:lineRule="auto"/>
              <w:jc w:val="both"/>
              <w:rPr>
                <w:rFonts w:cs="Times New Roman"/>
                <w:szCs w:val="24"/>
              </w:rPr>
            </w:pPr>
            <w:r w:rsidRPr="009224D4">
              <w:rPr>
                <w:rFonts w:cs="Times New Roman"/>
                <w:szCs w:val="24"/>
              </w:rPr>
              <w:t>Keliamoji galia, kg</w:t>
            </w:r>
          </w:p>
        </w:tc>
        <w:tc>
          <w:tcPr>
            <w:tcW w:w="6089" w:type="dxa"/>
          </w:tcPr>
          <w:p w14:paraId="186E5CFB" w14:textId="78D337B9" w:rsidR="00D60BE5" w:rsidRPr="009224D4" w:rsidRDefault="00D60BE5" w:rsidP="008C30D7">
            <w:pPr>
              <w:spacing w:line="276" w:lineRule="auto"/>
              <w:jc w:val="both"/>
              <w:rPr>
                <w:rFonts w:cs="Times New Roman"/>
                <w:szCs w:val="24"/>
              </w:rPr>
            </w:pPr>
            <w:r w:rsidRPr="009224D4">
              <w:rPr>
                <w:rFonts w:cs="Times New Roman"/>
                <w:szCs w:val="24"/>
              </w:rPr>
              <w:t>Ne mažiau kaip 400 kg</w:t>
            </w:r>
          </w:p>
        </w:tc>
      </w:tr>
      <w:tr w:rsidR="00012539" w:rsidRPr="001C13C7" w14:paraId="1B0D5DBD" w14:textId="77777777" w:rsidTr="001C13C7">
        <w:trPr>
          <w:trHeight w:val="315"/>
        </w:trPr>
        <w:tc>
          <w:tcPr>
            <w:tcW w:w="3539" w:type="dxa"/>
            <w:noWrap/>
          </w:tcPr>
          <w:p w14:paraId="7F76E6EB" w14:textId="4C099E06" w:rsidR="00012539" w:rsidRPr="009224D4" w:rsidRDefault="00012539" w:rsidP="008C30D7">
            <w:pPr>
              <w:spacing w:line="276" w:lineRule="auto"/>
              <w:jc w:val="both"/>
              <w:rPr>
                <w:rFonts w:cs="Times New Roman"/>
                <w:szCs w:val="24"/>
              </w:rPr>
            </w:pPr>
            <w:r w:rsidRPr="009224D4">
              <w:rPr>
                <w:rFonts w:cs="Times New Roman"/>
                <w:szCs w:val="24"/>
              </w:rPr>
              <w:t>Greitis</w:t>
            </w:r>
            <w:r w:rsidR="00C83945" w:rsidRPr="009224D4">
              <w:rPr>
                <w:rFonts w:cs="Times New Roman"/>
                <w:szCs w:val="24"/>
              </w:rPr>
              <w:t>, m/s</w:t>
            </w:r>
          </w:p>
        </w:tc>
        <w:tc>
          <w:tcPr>
            <w:tcW w:w="6089" w:type="dxa"/>
          </w:tcPr>
          <w:p w14:paraId="0F85CCC5" w14:textId="5F82A1FE" w:rsidR="00012539" w:rsidRPr="009224D4" w:rsidRDefault="001D3697" w:rsidP="008C30D7">
            <w:pPr>
              <w:spacing w:line="276" w:lineRule="auto"/>
              <w:jc w:val="both"/>
              <w:rPr>
                <w:rFonts w:cs="Times New Roman"/>
                <w:szCs w:val="24"/>
              </w:rPr>
            </w:pPr>
            <w:r>
              <w:rPr>
                <w:rFonts w:cs="Times New Roman"/>
                <w:szCs w:val="24"/>
              </w:rPr>
              <w:t xml:space="preserve">Ne daugiau kaip </w:t>
            </w:r>
            <w:r w:rsidR="00C83945" w:rsidRPr="009224D4">
              <w:rPr>
                <w:rFonts w:cs="Times New Roman"/>
                <w:szCs w:val="24"/>
              </w:rPr>
              <w:t>0,15</w:t>
            </w:r>
          </w:p>
        </w:tc>
      </w:tr>
      <w:tr w:rsidR="00D60BE5" w:rsidRPr="001C13C7" w14:paraId="28FCD25C" w14:textId="77777777" w:rsidTr="001C13C7">
        <w:trPr>
          <w:trHeight w:val="315"/>
        </w:trPr>
        <w:tc>
          <w:tcPr>
            <w:tcW w:w="3539" w:type="dxa"/>
            <w:noWrap/>
            <w:hideMark/>
          </w:tcPr>
          <w:p w14:paraId="06596959" w14:textId="77777777" w:rsidR="00D60BE5" w:rsidRPr="009224D4" w:rsidRDefault="00D60BE5" w:rsidP="008C30D7">
            <w:pPr>
              <w:spacing w:line="276" w:lineRule="auto"/>
              <w:jc w:val="both"/>
              <w:rPr>
                <w:rFonts w:cs="Times New Roman"/>
                <w:szCs w:val="24"/>
              </w:rPr>
            </w:pPr>
            <w:r w:rsidRPr="009224D4">
              <w:rPr>
                <w:rFonts w:cs="Times New Roman"/>
                <w:szCs w:val="24"/>
              </w:rPr>
              <w:t>Kėlimo aukštis, m</w:t>
            </w:r>
          </w:p>
        </w:tc>
        <w:tc>
          <w:tcPr>
            <w:tcW w:w="6089" w:type="dxa"/>
            <w:hideMark/>
          </w:tcPr>
          <w:p w14:paraId="2F2B3E2B" w14:textId="07C45673" w:rsidR="00D60BE5" w:rsidRPr="009224D4" w:rsidRDefault="00D60BE5" w:rsidP="008C30D7">
            <w:pPr>
              <w:spacing w:line="276" w:lineRule="auto"/>
              <w:jc w:val="both"/>
              <w:rPr>
                <w:rFonts w:cs="Times New Roman"/>
                <w:szCs w:val="24"/>
              </w:rPr>
            </w:pPr>
            <w:r w:rsidRPr="009224D4">
              <w:rPr>
                <w:rFonts w:cs="Times New Roman"/>
                <w:szCs w:val="24"/>
              </w:rPr>
              <w:t xml:space="preserve">4,0 </w:t>
            </w:r>
          </w:p>
        </w:tc>
      </w:tr>
      <w:tr w:rsidR="00D60BE5" w:rsidRPr="001C13C7" w14:paraId="7A974556" w14:textId="77777777" w:rsidTr="001C13C7">
        <w:trPr>
          <w:trHeight w:val="315"/>
        </w:trPr>
        <w:tc>
          <w:tcPr>
            <w:tcW w:w="3539" w:type="dxa"/>
            <w:noWrap/>
            <w:hideMark/>
          </w:tcPr>
          <w:p w14:paraId="061EEBFE" w14:textId="3C105D35" w:rsidR="00D60BE5" w:rsidRPr="009224D4" w:rsidRDefault="00D60BE5" w:rsidP="008C30D7">
            <w:pPr>
              <w:spacing w:line="276" w:lineRule="auto"/>
              <w:jc w:val="both"/>
              <w:rPr>
                <w:rFonts w:cs="Times New Roman"/>
                <w:szCs w:val="24"/>
              </w:rPr>
            </w:pPr>
            <w:r w:rsidRPr="009224D4">
              <w:rPr>
                <w:rFonts w:cs="Times New Roman"/>
                <w:szCs w:val="24"/>
              </w:rPr>
              <w:t>Sustojimų skaičius</w:t>
            </w:r>
          </w:p>
        </w:tc>
        <w:tc>
          <w:tcPr>
            <w:tcW w:w="6089" w:type="dxa"/>
            <w:hideMark/>
          </w:tcPr>
          <w:p w14:paraId="6B501735" w14:textId="545B7222" w:rsidR="00D60BE5" w:rsidRPr="009224D4" w:rsidRDefault="00D60BE5" w:rsidP="008C30D7">
            <w:pPr>
              <w:spacing w:line="276" w:lineRule="auto"/>
              <w:jc w:val="both"/>
              <w:rPr>
                <w:rFonts w:cs="Times New Roman"/>
                <w:szCs w:val="24"/>
              </w:rPr>
            </w:pPr>
            <w:r w:rsidRPr="009224D4">
              <w:rPr>
                <w:rFonts w:cs="Times New Roman"/>
                <w:szCs w:val="24"/>
              </w:rPr>
              <w:t>3</w:t>
            </w:r>
          </w:p>
        </w:tc>
      </w:tr>
      <w:tr w:rsidR="00D60BE5" w:rsidRPr="001C13C7" w14:paraId="35FD3E7E" w14:textId="77777777" w:rsidTr="001C13C7">
        <w:trPr>
          <w:trHeight w:val="315"/>
        </w:trPr>
        <w:tc>
          <w:tcPr>
            <w:tcW w:w="3539" w:type="dxa"/>
            <w:noWrap/>
            <w:hideMark/>
          </w:tcPr>
          <w:p w14:paraId="184BE277" w14:textId="5ADB1FB4" w:rsidR="00D60BE5" w:rsidRPr="009224D4" w:rsidRDefault="00CF27E4" w:rsidP="008C30D7">
            <w:pPr>
              <w:spacing w:line="276" w:lineRule="auto"/>
              <w:jc w:val="both"/>
              <w:rPr>
                <w:rFonts w:cs="Times New Roman"/>
                <w:szCs w:val="24"/>
              </w:rPr>
            </w:pPr>
            <w:r w:rsidRPr="009224D4">
              <w:rPr>
                <w:rFonts w:cs="Times New Roman"/>
                <w:szCs w:val="24"/>
              </w:rPr>
              <w:t>Š</w:t>
            </w:r>
            <w:r w:rsidR="00C83945" w:rsidRPr="009224D4">
              <w:rPr>
                <w:rFonts w:cs="Times New Roman"/>
                <w:szCs w:val="24"/>
              </w:rPr>
              <w:t>achtos durų</w:t>
            </w:r>
            <w:r w:rsidR="00D60BE5" w:rsidRPr="009224D4">
              <w:rPr>
                <w:rFonts w:cs="Times New Roman"/>
                <w:szCs w:val="24"/>
              </w:rPr>
              <w:t xml:space="preserve"> skaičius</w:t>
            </w:r>
          </w:p>
        </w:tc>
        <w:tc>
          <w:tcPr>
            <w:tcW w:w="6089" w:type="dxa"/>
            <w:hideMark/>
          </w:tcPr>
          <w:p w14:paraId="323BAA33" w14:textId="22543E80" w:rsidR="00D60BE5" w:rsidRPr="009224D4" w:rsidRDefault="00D60BE5" w:rsidP="008C30D7">
            <w:pPr>
              <w:spacing w:line="276" w:lineRule="auto"/>
              <w:jc w:val="both"/>
              <w:rPr>
                <w:rFonts w:cs="Times New Roman"/>
                <w:szCs w:val="24"/>
              </w:rPr>
            </w:pPr>
            <w:r w:rsidRPr="009224D4">
              <w:rPr>
                <w:rFonts w:cs="Times New Roman"/>
                <w:szCs w:val="24"/>
              </w:rPr>
              <w:t>3</w:t>
            </w:r>
          </w:p>
        </w:tc>
      </w:tr>
      <w:tr w:rsidR="00D60BE5" w:rsidRPr="001C13C7" w14:paraId="616F185D" w14:textId="77777777" w:rsidTr="001C13C7">
        <w:trPr>
          <w:trHeight w:val="315"/>
        </w:trPr>
        <w:tc>
          <w:tcPr>
            <w:tcW w:w="3539" w:type="dxa"/>
            <w:noWrap/>
            <w:hideMark/>
          </w:tcPr>
          <w:p w14:paraId="4F534B0E" w14:textId="77777777" w:rsidR="00D60BE5" w:rsidRPr="009224D4" w:rsidRDefault="00D60BE5" w:rsidP="008C30D7">
            <w:pPr>
              <w:spacing w:line="276" w:lineRule="auto"/>
              <w:jc w:val="both"/>
              <w:rPr>
                <w:rFonts w:cs="Times New Roman"/>
                <w:szCs w:val="24"/>
              </w:rPr>
            </w:pPr>
            <w:r w:rsidRPr="009224D4">
              <w:rPr>
                <w:rFonts w:cs="Times New Roman"/>
                <w:szCs w:val="24"/>
              </w:rPr>
              <w:t>Kabinos įėjimų skaičius</w:t>
            </w:r>
          </w:p>
        </w:tc>
        <w:tc>
          <w:tcPr>
            <w:tcW w:w="6089" w:type="dxa"/>
            <w:hideMark/>
          </w:tcPr>
          <w:p w14:paraId="49732569" w14:textId="1FD2BE65" w:rsidR="00D60BE5" w:rsidRPr="009224D4" w:rsidRDefault="00D60BE5" w:rsidP="008C30D7">
            <w:pPr>
              <w:spacing w:line="276" w:lineRule="auto"/>
              <w:jc w:val="both"/>
              <w:rPr>
                <w:rFonts w:cs="Times New Roman"/>
                <w:szCs w:val="24"/>
              </w:rPr>
            </w:pPr>
            <w:r w:rsidRPr="009224D4">
              <w:rPr>
                <w:rFonts w:cs="Times New Roman"/>
                <w:szCs w:val="24"/>
              </w:rPr>
              <w:t xml:space="preserve">2 (pereinama)  </w:t>
            </w:r>
          </w:p>
        </w:tc>
      </w:tr>
      <w:tr w:rsidR="00D60BE5" w:rsidRPr="001C13C7" w14:paraId="645DEAE4" w14:textId="77777777" w:rsidTr="001C13C7">
        <w:trPr>
          <w:trHeight w:val="315"/>
        </w:trPr>
        <w:tc>
          <w:tcPr>
            <w:tcW w:w="3539" w:type="dxa"/>
            <w:noWrap/>
            <w:hideMark/>
          </w:tcPr>
          <w:p w14:paraId="570E73E9" w14:textId="0E4A3FDF" w:rsidR="00D60BE5" w:rsidRPr="009224D4" w:rsidRDefault="00012539" w:rsidP="008C30D7">
            <w:pPr>
              <w:spacing w:line="276" w:lineRule="auto"/>
              <w:jc w:val="both"/>
              <w:rPr>
                <w:rFonts w:cs="Times New Roman"/>
                <w:szCs w:val="24"/>
              </w:rPr>
            </w:pPr>
            <w:r w:rsidRPr="009224D4">
              <w:rPr>
                <w:rFonts w:cs="Times New Roman"/>
                <w:szCs w:val="24"/>
              </w:rPr>
              <w:t>Platformos</w:t>
            </w:r>
            <w:r w:rsidR="00D60BE5" w:rsidRPr="009224D4">
              <w:rPr>
                <w:rFonts w:cs="Times New Roman"/>
                <w:szCs w:val="24"/>
              </w:rPr>
              <w:t xml:space="preserve"> </w:t>
            </w:r>
            <w:r w:rsidR="00EE2DBE">
              <w:rPr>
                <w:rFonts w:cs="Times New Roman"/>
                <w:szCs w:val="24"/>
              </w:rPr>
              <w:t>matmenys</w:t>
            </w:r>
            <w:r w:rsidR="00D60BE5" w:rsidRPr="009224D4">
              <w:rPr>
                <w:rFonts w:cs="Times New Roman"/>
                <w:szCs w:val="24"/>
              </w:rPr>
              <w:t>, mm</w:t>
            </w:r>
          </w:p>
        </w:tc>
        <w:tc>
          <w:tcPr>
            <w:tcW w:w="6089" w:type="dxa"/>
            <w:hideMark/>
          </w:tcPr>
          <w:p w14:paraId="6081887C" w14:textId="778B1073" w:rsidR="00D60BE5" w:rsidRPr="009224D4" w:rsidRDefault="00EE2DBE" w:rsidP="008C30D7">
            <w:pPr>
              <w:spacing w:line="276" w:lineRule="auto"/>
              <w:jc w:val="both"/>
              <w:rPr>
                <w:rFonts w:cs="Times New Roman"/>
                <w:szCs w:val="24"/>
              </w:rPr>
            </w:pPr>
            <w:r w:rsidRPr="00EE2DBE">
              <w:rPr>
                <w:rFonts w:cs="Times New Roman"/>
                <w:szCs w:val="24"/>
              </w:rPr>
              <w:t>Platformos matmenys turi būti tokie, kad tilptų į esamą šachtą ir atitiktų LST EN 81-41:2025 reikalavimus, bet ne mažesni kaip 1400 x 1140</w:t>
            </w:r>
            <w:r>
              <w:rPr>
                <w:rFonts w:cs="Times New Roman"/>
                <w:szCs w:val="24"/>
              </w:rPr>
              <w:t xml:space="preserve"> x 2000</w:t>
            </w:r>
            <w:r w:rsidRPr="00EE2DBE">
              <w:rPr>
                <w:rFonts w:cs="Times New Roman"/>
                <w:szCs w:val="24"/>
              </w:rPr>
              <w:t xml:space="preserve"> mm.</w:t>
            </w:r>
          </w:p>
        </w:tc>
      </w:tr>
      <w:tr w:rsidR="00D60BE5" w:rsidRPr="001C13C7" w14:paraId="116888BB" w14:textId="77777777" w:rsidTr="001C13C7">
        <w:trPr>
          <w:trHeight w:val="315"/>
        </w:trPr>
        <w:tc>
          <w:tcPr>
            <w:tcW w:w="3539" w:type="dxa"/>
            <w:noWrap/>
            <w:hideMark/>
          </w:tcPr>
          <w:p w14:paraId="155063BF" w14:textId="181269C0" w:rsidR="00D60BE5" w:rsidRPr="009224D4" w:rsidRDefault="00D60BE5" w:rsidP="008C30D7">
            <w:pPr>
              <w:spacing w:line="276" w:lineRule="auto"/>
              <w:jc w:val="both"/>
              <w:rPr>
                <w:rFonts w:cs="Times New Roman"/>
                <w:szCs w:val="24"/>
              </w:rPr>
            </w:pPr>
            <w:r w:rsidRPr="009224D4">
              <w:rPr>
                <w:rFonts w:cs="Times New Roman"/>
                <w:szCs w:val="24"/>
              </w:rPr>
              <w:t xml:space="preserve">Durų </w:t>
            </w:r>
            <w:r w:rsidR="00CF27E4" w:rsidRPr="009224D4">
              <w:rPr>
                <w:rFonts w:cs="Times New Roman"/>
                <w:szCs w:val="24"/>
              </w:rPr>
              <w:t>matmenys</w:t>
            </w:r>
            <w:r w:rsidRPr="009224D4">
              <w:rPr>
                <w:rFonts w:cs="Times New Roman"/>
                <w:szCs w:val="24"/>
              </w:rPr>
              <w:t>, mm</w:t>
            </w:r>
          </w:p>
        </w:tc>
        <w:tc>
          <w:tcPr>
            <w:tcW w:w="6089" w:type="dxa"/>
            <w:hideMark/>
          </w:tcPr>
          <w:p w14:paraId="480F637D" w14:textId="122A9DFB" w:rsidR="00D60BE5" w:rsidRPr="009224D4" w:rsidRDefault="00CF27E4" w:rsidP="008C30D7">
            <w:pPr>
              <w:spacing w:line="276" w:lineRule="auto"/>
              <w:jc w:val="both"/>
              <w:rPr>
                <w:rFonts w:cs="Times New Roman"/>
                <w:szCs w:val="24"/>
              </w:rPr>
            </w:pPr>
            <w:r w:rsidRPr="009224D4">
              <w:rPr>
                <w:rFonts w:cs="Times New Roman"/>
                <w:szCs w:val="24"/>
              </w:rPr>
              <w:t>900 x 2000</w:t>
            </w:r>
            <w:r w:rsidR="00D60BE5" w:rsidRPr="009224D4">
              <w:rPr>
                <w:rFonts w:cs="Times New Roman"/>
                <w:szCs w:val="24"/>
              </w:rPr>
              <w:t xml:space="preserve"> </w:t>
            </w:r>
            <w:r w:rsidR="00FE5A17">
              <w:rPr>
                <w:rFonts w:cs="Times New Roman"/>
                <w:szCs w:val="24"/>
              </w:rPr>
              <w:t>±10</w:t>
            </w:r>
          </w:p>
        </w:tc>
      </w:tr>
      <w:tr w:rsidR="00D60BE5" w:rsidRPr="001C13C7" w14:paraId="574F68CC" w14:textId="77777777" w:rsidTr="001C13C7">
        <w:trPr>
          <w:trHeight w:val="315"/>
        </w:trPr>
        <w:tc>
          <w:tcPr>
            <w:tcW w:w="3539" w:type="dxa"/>
            <w:noWrap/>
          </w:tcPr>
          <w:p w14:paraId="59001581" w14:textId="417C0DF7" w:rsidR="00D60BE5" w:rsidRPr="009224D4" w:rsidRDefault="00111982" w:rsidP="008C30D7">
            <w:pPr>
              <w:spacing w:line="276" w:lineRule="auto"/>
              <w:jc w:val="both"/>
              <w:rPr>
                <w:rFonts w:cs="Times New Roman"/>
                <w:szCs w:val="24"/>
              </w:rPr>
            </w:pPr>
            <w:r w:rsidRPr="009224D4">
              <w:rPr>
                <w:rFonts w:cs="Times New Roman"/>
                <w:szCs w:val="24"/>
              </w:rPr>
              <w:t>Durų tipas</w:t>
            </w:r>
          </w:p>
        </w:tc>
        <w:tc>
          <w:tcPr>
            <w:tcW w:w="6089" w:type="dxa"/>
          </w:tcPr>
          <w:p w14:paraId="7345C97B" w14:textId="185D0453" w:rsidR="00D60BE5" w:rsidRPr="009224D4" w:rsidRDefault="00111982" w:rsidP="008C30D7">
            <w:pPr>
              <w:spacing w:line="276" w:lineRule="auto"/>
              <w:jc w:val="both"/>
              <w:rPr>
                <w:rFonts w:cs="Times New Roman"/>
                <w:szCs w:val="24"/>
              </w:rPr>
            </w:pPr>
            <w:r w:rsidRPr="009224D4">
              <w:rPr>
                <w:rFonts w:cs="Times New Roman"/>
                <w:szCs w:val="24"/>
              </w:rPr>
              <w:t>Varstomos panoraminės durys</w:t>
            </w:r>
          </w:p>
        </w:tc>
      </w:tr>
      <w:tr w:rsidR="00D60BE5" w:rsidRPr="001C13C7" w14:paraId="58873F78" w14:textId="77777777" w:rsidTr="001C13C7">
        <w:trPr>
          <w:trHeight w:val="315"/>
        </w:trPr>
        <w:tc>
          <w:tcPr>
            <w:tcW w:w="3539" w:type="dxa"/>
            <w:noWrap/>
            <w:hideMark/>
          </w:tcPr>
          <w:p w14:paraId="72522AFF" w14:textId="4E71D9C1" w:rsidR="00D60BE5" w:rsidRPr="009224D4" w:rsidRDefault="00111982" w:rsidP="008C30D7">
            <w:pPr>
              <w:spacing w:line="276" w:lineRule="auto"/>
              <w:jc w:val="both"/>
              <w:rPr>
                <w:rFonts w:cs="Times New Roman"/>
                <w:szCs w:val="24"/>
              </w:rPr>
            </w:pPr>
            <w:r w:rsidRPr="009224D4">
              <w:rPr>
                <w:rFonts w:cs="Times New Roman"/>
                <w:szCs w:val="24"/>
              </w:rPr>
              <w:t>Valdymas</w:t>
            </w:r>
          </w:p>
        </w:tc>
        <w:tc>
          <w:tcPr>
            <w:tcW w:w="6089" w:type="dxa"/>
            <w:hideMark/>
          </w:tcPr>
          <w:p w14:paraId="55487A43" w14:textId="1134A7D2" w:rsidR="00D60BE5" w:rsidRPr="009224D4" w:rsidRDefault="00111982" w:rsidP="008C30D7">
            <w:pPr>
              <w:spacing w:line="276" w:lineRule="auto"/>
              <w:jc w:val="both"/>
              <w:rPr>
                <w:rFonts w:cs="Times New Roman"/>
                <w:szCs w:val="24"/>
              </w:rPr>
            </w:pPr>
            <w:r w:rsidRPr="009224D4">
              <w:rPr>
                <w:rFonts w:cs="Times New Roman"/>
                <w:szCs w:val="24"/>
              </w:rPr>
              <w:t>Važiuoti nuspaudus ir laikant mygtuką</w:t>
            </w:r>
            <w:r w:rsidR="00D60BE5" w:rsidRPr="009224D4">
              <w:rPr>
                <w:rFonts w:cs="Times New Roman"/>
                <w:szCs w:val="24"/>
              </w:rPr>
              <w:t xml:space="preserve">  </w:t>
            </w:r>
          </w:p>
        </w:tc>
      </w:tr>
      <w:tr w:rsidR="00D60BE5" w:rsidRPr="001C13C7" w14:paraId="1C0613A5" w14:textId="77777777" w:rsidTr="00111982">
        <w:trPr>
          <w:trHeight w:val="315"/>
        </w:trPr>
        <w:tc>
          <w:tcPr>
            <w:tcW w:w="3539" w:type="dxa"/>
            <w:noWrap/>
          </w:tcPr>
          <w:p w14:paraId="579AC458" w14:textId="2D4C4FC6" w:rsidR="00D60BE5" w:rsidRPr="009224D4" w:rsidRDefault="00111982" w:rsidP="008C30D7">
            <w:pPr>
              <w:spacing w:line="276" w:lineRule="auto"/>
              <w:jc w:val="both"/>
              <w:rPr>
                <w:rFonts w:cs="Times New Roman"/>
                <w:szCs w:val="24"/>
              </w:rPr>
            </w:pPr>
            <w:r w:rsidRPr="009224D4">
              <w:rPr>
                <w:rFonts w:cs="Times New Roman"/>
                <w:szCs w:val="24"/>
              </w:rPr>
              <w:t>Iškvietimas</w:t>
            </w:r>
          </w:p>
        </w:tc>
        <w:tc>
          <w:tcPr>
            <w:tcW w:w="6089" w:type="dxa"/>
          </w:tcPr>
          <w:p w14:paraId="676B576E" w14:textId="2817A2E8" w:rsidR="00D60BE5" w:rsidRPr="009224D4" w:rsidRDefault="00111982" w:rsidP="008C30D7">
            <w:pPr>
              <w:spacing w:line="276" w:lineRule="auto"/>
              <w:jc w:val="both"/>
              <w:rPr>
                <w:rFonts w:cs="Times New Roman"/>
                <w:szCs w:val="24"/>
              </w:rPr>
            </w:pPr>
            <w:r w:rsidRPr="009224D4">
              <w:rPr>
                <w:rFonts w:cs="Times New Roman"/>
                <w:szCs w:val="24"/>
              </w:rPr>
              <w:t>Automatinis, nuspaudus iškvietimo mygtuką</w:t>
            </w:r>
          </w:p>
        </w:tc>
      </w:tr>
      <w:tr w:rsidR="00111982" w:rsidRPr="001C13C7" w14:paraId="18FFC5E5" w14:textId="77777777" w:rsidTr="00111982">
        <w:trPr>
          <w:trHeight w:val="315"/>
        </w:trPr>
        <w:tc>
          <w:tcPr>
            <w:tcW w:w="3539" w:type="dxa"/>
            <w:noWrap/>
          </w:tcPr>
          <w:p w14:paraId="302C5E02" w14:textId="0FD40CA3" w:rsidR="00111982" w:rsidRPr="009224D4" w:rsidRDefault="00111982" w:rsidP="008C30D7">
            <w:pPr>
              <w:spacing w:line="276" w:lineRule="auto"/>
              <w:jc w:val="both"/>
              <w:rPr>
                <w:rFonts w:cs="Times New Roman"/>
                <w:szCs w:val="24"/>
              </w:rPr>
            </w:pPr>
            <w:r w:rsidRPr="009224D4">
              <w:rPr>
                <w:rFonts w:cs="Times New Roman"/>
                <w:szCs w:val="24"/>
              </w:rPr>
              <w:t>Pavaros maitinimas</w:t>
            </w:r>
          </w:p>
        </w:tc>
        <w:tc>
          <w:tcPr>
            <w:tcW w:w="6089" w:type="dxa"/>
          </w:tcPr>
          <w:p w14:paraId="311F4DFE" w14:textId="54F58635" w:rsidR="00111982" w:rsidRPr="009224D4" w:rsidRDefault="00111982" w:rsidP="008C30D7">
            <w:pPr>
              <w:spacing w:line="276" w:lineRule="auto"/>
              <w:jc w:val="both"/>
              <w:rPr>
                <w:rFonts w:cs="Times New Roman"/>
                <w:szCs w:val="24"/>
              </w:rPr>
            </w:pPr>
            <w:r w:rsidRPr="009224D4">
              <w:rPr>
                <w:rFonts w:cs="Times New Roman"/>
                <w:szCs w:val="24"/>
              </w:rPr>
              <w:t xml:space="preserve">230V, 50Hz </w:t>
            </w:r>
          </w:p>
        </w:tc>
      </w:tr>
      <w:tr w:rsidR="00111982" w:rsidRPr="001C13C7" w14:paraId="43402416" w14:textId="77777777" w:rsidTr="00111982">
        <w:trPr>
          <w:trHeight w:val="315"/>
        </w:trPr>
        <w:tc>
          <w:tcPr>
            <w:tcW w:w="3539" w:type="dxa"/>
            <w:noWrap/>
          </w:tcPr>
          <w:p w14:paraId="275793A5" w14:textId="1E5C171B" w:rsidR="00111982" w:rsidRPr="009224D4" w:rsidRDefault="00111982" w:rsidP="008C30D7">
            <w:pPr>
              <w:spacing w:line="276" w:lineRule="auto"/>
              <w:jc w:val="both"/>
              <w:rPr>
                <w:rFonts w:cs="Times New Roman"/>
                <w:szCs w:val="24"/>
              </w:rPr>
            </w:pPr>
            <w:r w:rsidRPr="009224D4">
              <w:rPr>
                <w:rFonts w:cs="Times New Roman"/>
                <w:szCs w:val="24"/>
              </w:rPr>
              <w:t>Šachtos tipas</w:t>
            </w:r>
          </w:p>
        </w:tc>
        <w:tc>
          <w:tcPr>
            <w:tcW w:w="6089" w:type="dxa"/>
          </w:tcPr>
          <w:p w14:paraId="65C7F648" w14:textId="4DEF1F87" w:rsidR="00111982" w:rsidRPr="009224D4" w:rsidRDefault="00111982" w:rsidP="008C30D7">
            <w:pPr>
              <w:spacing w:line="276" w:lineRule="auto"/>
              <w:jc w:val="both"/>
              <w:rPr>
                <w:rFonts w:cs="Times New Roman"/>
                <w:szCs w:val="24"/>
              </w:rPr>
            </w:pPr>
            <w:r w:rsidRPr="009224D4">
              <w:rPr>
                <w:rFonts w:cs="Times New Roman"/>
                <w:szCs w:val="24"/>
              </w:rPr>
              <w:t xml:space="preserve">Gelžbetonis </w:t>
            </w:r>
          </w:p>
        </w:tc>
      </w:tr>
      <w:tr w:rsidR="00111982" w:rsidRPr="007D5FBF" w14:paraId="1DCC09D7" w14:textId="77777777" w:rsidTr="001C13C7">
        <w:trPr>
          <w:trHeight w:val="315"/>
        </w:trPr>
        <w:tc>
          <w:tcPr>
            <w:tcW w:w="3539" w:type="dxa"/>
            <w:noWrap/>
            <w:hideMark/>
          </w:tcPr>
          <w:p w14:paraId="0EB54A78" w14:textId="0FAA5FE3" w:rsidR="00111982" w:rsidRPr="007D5FBF" w:rsidRDefault="00111982" w:rsidP="008C30D7">
            <w:pPr>
              <w:spacing w:line="276" w:lineRule="auto"/>
              <w:jc w:val="both"/>
              <w:rPr>
                <w:rFonts w:cs="Times New Roman"/>
                <w:szCs w:val="24"/>
              </w:rPr>
            </w:pPr>
            <w:r w:rsidRPr="007D5FBF">
              <w:rPr>
                <w:rFonts w:cs="Times New Roman"/>
                <w:szCs w:val="24"/>
              </w:rPr>
              <w:t>Šachtos vidiniai matmenys mm</w:t>
            </w:r>
          </w:p>
        </w:tc>
        <w:tc>
          <w:tcPr>
            <w:tcW w:w="6089" w:type="dxa"/>
            <w:hideMark/>
          </w:tcPr>
          <w:p w14:paraId="5BF69557" w14:textId="45106DA1" w:rsidR="00111982" w:rsidRPr="007D5FBF" w:rsidRDefault="00EE2DBE" w:rsidP="008C30D7">
            <w:pPr>
              <w:spacing w:line="276" w:lineRule="auto"/>
              <w:jc w:val="both"/>
              <w:rPr>
                <w:rFonts w:cs="Times New Roman"/>
                <w:szCs w:val="24"/>
              </w:rPr>
            </w:pPr>
            <w:r w:rsidRPr="007D5FBF">
              <w:rPr>
                <w:rFonts w:cs="Times New Roman"/>
                <w:szCs w:val="24"/>
              </w:rPr>
              <w:t>apie 1520 x 1</w:t>
            </w:r>
            <w:r w:rsidR="00071B22" w:rsidRPr="007D5FBF">
              <w:rPr>
                <w:rFonts w:cs="Times New Roman"/>
                <w:szCs w:val="24"/>
              </w:rPr>
              <w:t>66</w:t>
            </w:r>
            <w:r w:rsidRPr="007D5FBF">
              <w:rPr>
                <w:rFonts w:cs="Times New Roman"/>
                <w:szCs w:val="24"/>
              </w:rPr>
              <w:t>0 mm (rangovas privalo patikrinti vietoje).</w:t>
            </w:r>
          </w:p>
        </w:tc>
      </w:tr>
      <w:tr w:rsidR="00111982" w:rsidRPr="001C13C7" w14:paraId="3E0EF06D" w14:textId="77777777" w:rsidTr="001C13C7">
        <w:trPr>
          <w:trHeight w:val="315"/>
        </w:trPr>
        <w:tc>
          <w:tcPr>
            <w:tcW w:w="3539" w:type="dxa"/>
            <w:noWrap/>
            <w:hideMark/>
          </w:tcPr>
          <w:p w14:paraId="37A251C6" w14:textId="4F590139" w:rsidR="00111982" w:rsidRPr="007D5FBF" w:rsidRDefault="00111982" w:rsidP="008C30D7">
            <w:pPr>
              <w:spacing w:line="276" w:lineRule="auto"/>
              <w:jc w:val="both"/>
              <w:rPr>
                <w:rFonts w:cs="Times New Roman"/>
                <w:szCs w:val="24"/>
              </w:rPr>
            </w:pPr>
            <w:r w:rsidRPr="007D5FBF">
              <w:rPr>
                <w:rFonts w:cs="Times New Roman"/>
                <w:szCs w:val="24"/>
              </w:rPr>
              <w:t>Šachtos viršutinis aukšt</w:t>
            </w:r>
            <w:r w:rsidR="00071B22" w:rsidRPr="007D5FBF">
              <w:rPr>
                <w:rFonts w:cs="Times New Roman"/>
                <w:szCs w:val="24"/>
              </w:rPr>
              <w:t>i</w:t>
            </w:r>
            <w:r w:rsidRPr="007D5FBF">
              <w:rPr>
                <w:rFonts w:cs="Times New Roman"/>
                <w:szCs w:val="24"/>
              </w:rPr>
              <w:t>s, mm</w:t>
            </w:r>
          </w:p>
        </w:tc>
        <w:tc>
          <w:tcPr>
            <w:tcW w:w="6089" w:type="dxa"/>
            <w:hideMark/>
          </w:tcPr>
          <w:p w14:paraId="6927FC82" w14:textId="6A22CE7E" w:rsidR="00111982" w:rsidRPr="009224D4" w:rsidRDefault="00EE2DBE" w:rsidP="008C30D7">
            <w:pPr>
              <w:spacing w:line="276" w:lineRule="auto"/>
              <w:jc w:val="both"/>
              <w:rPr>
                <w:rFonts w:cs="Times New Roman"/>
                <w:szCs w:val="24"/>
              </w:rPr>
            </w:pPr>
            <w:r w:rsidRPr="007D5FBF">
              <w:rPr>
                <w:rFonts w:cs="Times New Roman"/>
                <w:szCs w:val="24"/>
              </w:rPr>
              <w:t xml:space="preserve">apie </w:t>
            </w:r>
            <w:r w:rsidR="00111982" w:rsidRPr="007D5FBF">
              <w:rPr>
                <w:rFonts w:cs="Times New Roman"/>
                <w:szCs w:val="24"/>
              </w:rPr>
              <w:t xml:space="preserve">2450 </w:t>
            </w:r>
            <w:r w:rsidRPr="007D5FBF">
              <w:rPr>
                <w:rFonts w:cs="Times New Roman"/>
                <w:szCs w:val="24"/>
              </w:rPr>
              <w:t>mm (rangovas privalo patikrinti vietoje).</w:t>
            </w:r>
            <w:r w:rsidR="00111982" w:rsidRPr="009224D4">
              <w:rPr>
                <w:rFonts w:cs="Times New Roman"/>
                <w:szCs w:val="24"/>
              </w:rPr>
              <w:t xml:space="preserve"> </w:t>
            </w:r>
          </w:p>
        </w:tc>
      </w:tr>
      <w:tr w:rsidR="00111982" w:rsidRPr="001C13C7" w14:paraId="1D6C2280" w14:textId="77777777" w:rsidTr="00C83945">
        <w:trPr>
          <w:trHeight w:val="315"/>
        </w:trPr>
        <w:tc>
          <w:tcPr>
            <w:tcW w:w="3539" w:type="dxa"/>
            <w:noWrap/>
            <w:hideMark/>
          </w:tcPr>
          <w:p w14:paraId="5E2A6056" w14:textId="15C944DB" w:rsidR="00111982" w:rsidRPr="009224D4" w:rsidRDefault="00111982" w:rsidP="008C30D7">
            <w:pPr>
              <w:spacing w:line="276" w:lineRule="auto"/>
              <w:jc w:val="both"/>
              <w:rPr>
                <w:rFonts w:cs="Times New Roman"/>
                <w:szCs w:val="24"/>
              </w:rPr>
            </w:pPr>
            <w:r w:rsidRPr="009224D4">
              <w:rPr>
                <w:rFonts w:cs="Times New Roman"/>
                <w:szCs w:val="24"/>
              </w:rPr>
              <w:t>Prieduobės gylis, mm</w:t>
            </w:r>
          </w:p>
        </w:tc>
        <w:tc>
          <w:tcPr>
            <w:tcW w:w="6089" w:type="dxa"/>
          </w:tcPr>
          <w:p w14:paraId="1ABE9BCF" w14:textId="473EDB81" w:rsidR="00111982" w:rsidRPr="009224D4" w:rsidRDefault="00EE2DBE" w:rsidP="008C30D7">
            <w:pPr>
              <w:spacing w:line="276" w:lineRule="auto"/>
              <w:jc w:val="both"/>
              <w:rPr>
                <w:rFonts w:cs="Times New Roman"/>
                <w:szCs w:val="24"/>
              </w:rPr>
            </w:pPr>
            <w:r>
              <w:rPr>
                <w:rFonts w:cs="Times New Roman"/>
                <w:szCs w:val="24"/>
              </w:rPr>
              <w:t xml:space="preserve">Apie </w:t>
            </w:r>
            <w:r w:rsidR="00111982" w:rsidRPr="009224D4">
              <w:rPr>
                <w:rFonts w:cs="Times New Roman"/>
                <w:szCs w:val="24"/>
              </w:rPr>
              <w:t>350</w:t>
            </w:r>
            <w:r>
              <w:rPr>
                <w:rFonts w:cs="Times New Roman"/>
                <w:szCs w:val="24"/>
              </w:rPr>
              <w:t xml:space="preserve"> mm </w:t>
            </w:r>
            <w:r w:rsidRPr="00EE2DBE">
              <w:rPr>
                <w:rFonts w:cs="Times New Roman"/>
                <w:szCs w:val="24"/>
              </w:rPr>
              <w:t>(rangovas privalo patikrinti vietoje).</w:t>
            </w:r>
          </w:p>
        </w:tc>
      </w:tr>
      <w:tr w:rsidR="00111982" w:rsidRPr="001C13C7" w14:paraId="5B97B291" w14:textId="77777777" w:rsidTr="001C13C7">
        <w:trPr>
          <w:trHeight w:val="315"/>
        </w:trPr>
        <w:tc>
          <w:tcPr>
            <w:tcW w:w="3539" w:type="dxa"/>
            <w:noWrap/>
            <w:hideMark/>
          </w:tcPr>
          <w:p w14:paraId="58745B38" w14:textId="77777777" w:rsidR="00111982" w:rsidRPr="009224D4" w:rsidRDefault="00111982" w:rsidP="008C30D7">
            <w:pPr>
              <w:spacing w:line="276" w:lineRule="auto"/>
              <w:jc w:val="both"/>
              <w:rPr>
                <w:rFonts w:cs="Times New Roman"/>
                <w:szCs w:val="24"/>
              </w:rPr>
            </w:pPr>
            <w:r w:rsidRPr="009224D4">
              <w:rPr>
                <w:rFonts w:cs="Times New Roman"/>
                <w:szCs w:val="24"/>
              </w:rPr>
              <w:t>Mašinų patalpa</w:t>
            </w:r>
          </w:p>
        </w:tc>
        <w:tc>
          <w:tcPr>
            <w:tcW w:w="6089" w:type="dxa"/>
            <w:hideMark/>
          </w:tcPr>
          <w:p w14:paraId="02DC6191" w14:textId="3EFCD5C3" w:rsidR="00111982" w:rsidRPr="009224D4" w:rsidRDefault="00111982" w:rsidP="008C30D7">
            <w:pPr>
              <w:spacing w:line="276" w:lineRule="auto"/>
              <w:jc w:val="both"/>
              <w:rPr>
                <w:rFonts w:cs="Times New Roman"/>
                <w:szCs w:val="24"/>
              </w:rPr>
            </w:pPr>
            <w:r w:rsidRPr="009224D4">
              <w:rPr>
                <w:rFonts w:cs="Times New Roman"/>
                <w:szCs w:val="24"/>
              </w:rPr>
              <w:t xml:space="preserve">Be mašinų patalpos </w:t>
            </w:r>
          </w:p>
        </w:tc>
      </w:tr>
      <w:tr w:rsidR="00111982" w:rsidRPr="001C13C7" w14:paraId="4CF487BB" w14:textId="77777777" w:rsidTr="00111982">
        <w:trPr>
          <w:trHeight w:val="315"/>
        </w:trPr>
        <w:tc>
          <w:tcPr>
            <w:tcW w:w="3539" w:type="dxa"/>
            <w:noWrap/>
          </w:tcPr>
          <w:p w14:paraId="65AA5C09" w14:textId="073D9D07" w:rsidR="00111982" w:rsidRPr="009224D4" w:rsidRDefault="00111982" w:rsidP="008C30D7">
            <w:pPr>
              <w:spacing w:line="276" w:lineRule="auto"/>
              <w:jc w:val="both"/>
              <w:rPr>
                <w:rFonts w:cs="Times New Roman"/>
                <w:szCs w:val="24"/>
              </w:rPr>
            </w:pPr>
            <w:r w:rsidRPr="009224D4">
              <w:rPr>
                <w:rFonts w:cs="Times New Roman"/>
                <w:szCs w:val="24"/>
              </w:rPr>
              <w:t>Platformos, kabinos apdaila</w:t>
            </w:r>
          </w:p>
        </w:tc>
        <w:tc>
          <w:tcPr>
            <w:tcW w:w="6089" w:type="dxa"/>
          </w:tcPr>
          <w:p w14:paraId="5399C3AC" w14:textId="76FC1297" w:rsidR="00111982" w:rsidRPr="009224D4" w:rsidRDefault="00111982" w:rsidP="008C30D7">
            <w:pPr>
              <w:spacing w:line="276" w:lineRule="auto"/>
              <w:jc w:val="both"/>
              <w:rPr>
                <w:rFonts w:cs="Times New Roman"/>
                <w:szCs w:val="24"/>
              </w:rPr>
            </w:pPr>
            <w:r w:rsidRPr="009224D4">
              <w:rPr>
                <w:rFonts w:cs="Times New Roman"/>
                <w:szCs w:val="24"/>
              </w:rPr>
              <w:t>Nerūdijantis dažytas plienas</w:t>
            </w:r>
          </w:p>
        </w:tc>
      </w:tr>
      <w:tr w:rsidR="00257C6A" w:rsidRPr="001C13C7" w14:paraId="63DE04A0" w14:textId="77777777" w:rsidTr="00111982">
        <w:trPr>
          <w:trHeight w:val="315"/>
        </w:trPr>
        <w:tc>
          <w:tcPr>
            <w:tcW w:w="3539" w:type="dxa"/>
            <w:noWrap/>
          </w:tcPr>
          <w:p w14:paraId="5C080080" w14:textId="2F80A342" w:rsidR="00257C6A" w:rsidRPr="009224D4" w:rsidRDefault="00257C6A" w:rsidP="008C30D7">
            <w:pPr>
              <w:spacing w:line="276" w:lineRule="auto"/>
              <w:jc w:val="both"/>
              <w:rPr>
                <w:rFonts w:cs="Times New Roman"/>
                <w:szCs w:val="24"/>
              </w:rPr>
            </w:pPr>
            <w:r w:rsidRPr="009224D4">
              <w:rPr>
                <w:rFonts w:cs="Times New Roman"/>
                <w:szCs w:val="24"/>
              </w:rPr>
              <w:t>Kabinos grindys</w:t>
            </w:r>
          </w:p>
        </w:tc>
        <w:tc>
          <w:tcPr>
            <w:tcW w:w="6089" w:type="dxa"/>
          </w:tcPr>
          <w:p w14:paraId="3A081A19" w14:textId="7503F7CF" w:rsidR="00257C6A" w:rsidRPr="009224D4" w:rsidRDefault="00257C6A" w:rsidP="008C30D7">
            <w:pPr>
              <w:spacing w:line="276" w:lineRule="auto"/>
              <w:jc w:val="both"/>
              <w:rPr>
                <w:rFonts w:cs="Times New Roman"/>
                <w:szCs w:val="24"/>
              </w:rPr>
            </w:pPr>
            <w:r w:rsidRPr="009224D4">
              <w:rPr>
                <w:rFonts w:cs="Times New Roman"/>
                <w:szCs w:val="24"/>
              </w:rPr>
              <w:t xml:space="preserve">Tvirtos, neslidžios </w:t>
            </w:r>
          </w:p>
        </w:tc>
      </w:tr>
      <w:tr w:rsidR="00257C6A" w:rsidRPr="001C13C7" w14:paraId="3D85812D" w14:textId="77777777" w:rsidTr="00111982">
        <w:trPr>
          <w:trHeight w:val="315"/>
        </w:trPr>
        <w:tc>
          <w:tcPr>
            <w:tcW w:w="3539" w:type="dxa"/>
            <w:noWrap/>
          </w:tcPr>
          <w:p w14:paraId="57645C45" w14:textId="41162F78" w:rsidR="00257C6A" w:rsidRPr="009224D4" w:rsidRDefault="00257C6A" w:rsidP="008C30D7">
            <w:pPr>
              <w:spacing w:line="276" w:lineRule="auto"/>
              <w:jc w:val="both"/>
              <w:rPr>
                <w:rFonts w:cs="Times New Roman"/>
                <w:szCs w:val="24"/>
              </w:rPr>
            </w:pPr>
            <w:r w:rsidRPr="009224D4">
              <w:rPr>
                <w:rFonts w:cs="Times New Roman"/>
                <w:szCs w:val="24"/>
              </w:rPr>
              <w:t>Valdymo pultas kabinoje</w:t>
            </w:r>
          </w:p>
        </w:tc>
        <w:tc>
          <w:tcPr>
            <w:tcW w:w="6089" w:type="dxa"/>
          </w:tcPr>
          <w:p w14:paraId="40349D5B" w14:textId="6852AE4E" w:rsidR="00257C6A" w:rsidRPr="009224D4" w:rsidRDefault="00257C6A" w:rsidP="008C30D7">
            <w:pPr>
              <w:spacing w:line="276" w:lineRule="auto"/>
              <w:jc w:val="both"/>
              <w:rPr>
                <w:rFonts w:cs="Times New Roman"/>
                <w:szCs w:val="24"/>
              </w:rPr>
            </w:pPr>
            <w:r w:rsidRPr="009224D4">
              <w:rPr>
                <w:rFonts w:cs="Times New Roman"/>
                <w:szCs w:val="24"/>
              </w:rPr>
              <w:t>Nerūdijančio plieno plokštė su elektromagnetiniais mygtukais, su Brailio raštu</w:t>
            </w:r>
          </w:p>
        </w:tc>
      </w:tr>
      <w:tr w:rsidR="00257C6A" w:rsidRPr="001C13C7" w14:paraId="2F2ECC52" w14:textId="77777777" w:rsidTr="00111982">
        <w:trPr>
          <w:trHeight w:val="315"/>
        </w:trPr>
        <w:tc>
          <w:tcPr>
            <w:tcW w:w="3539" w:type="dxa"/>
            <w:noWrap/>
          </w:tcPr>
          <w:p w14:paraId="45B98260" w14:textId="280B80D0" w:rsidR="00257C6A" w:rsidRPr="009224D4" w:rsidRDefault="00257C6A" w:rsidP="008C30D7">
            <w:pPr>
              <w:spacing w:line="276" w:lineRule="auto"/>
              <w:jc w:val="both"/>
              <w:rPr>
                <w:rFonts w:cs="Times New Roman"/>
                <w:szCs w:val="24"/>
              </w:rPr>
            </w:pPr>
            <w:r w:rsidRPr="009224D4">
              <w:rPr>
                <w:rFonts w:cs="Times New Roman"/>
                <w:szCs w:val="24"/>
              </w:rPr>
              <w:t>Apšvietimas</w:t>
            </w:r>
          </w:p>
        </w:tc>
        <w:tc>
          <w:tcPr>
            <w:tcW w:w="6089" w:type="dxa"/>
          </w:tcPr>
          <w:p w14:paraId="78CB6D58" w14:textId="5C596BC6" w:rsidR="00257C6A" w:rsidRPr="009224D4" w:rsidRDefault="00257C6A" w:rsidP="008C30D7">
            <w:pPr>
              <w:spacing w:line="276" w:lineRule="auto"/>
              <w:jc w:val="both"/>
              <w:rPr>
                <w:rFonts w:cs="Times New Roman"/>
                <w:szCs w:val="24"/>
              </w:rPr>
            </w:pPr>
            <w:r w:rsidRPr="009224D4">
              <w:rPr>
                <w:rFonts w:cs="Times New Roman"/>
                <w:szCs w:val="24"/>
              </w:rPr>
              <w:t xml:space="preserve">Lubose, LED </w:t>
            </w:r>
          </w:p>
        </w:tc>
      </w:tr>
      <w:tr w:rsidR="00257C6A" w:rsidRPr="001C13C7" w14:paraId="27511BDE" w14:textId="77777777" w:rsidTr="00CF27E4">
        <w:trPr>
          <w:trHeight w:val="315"/>
        </w:trPr>
        <w:tc>
          <w:tcPr>
            <w:tcW w:w="3539" w:type="dxa"/>
            <w:noWrap/>
          </w:tcPr>
          <w:p w14:paraId="3161294D" w14:textId="37570AE8" w:rsidR="00257C6A" w:rsidRPr="009224D4" w:rsidRDefault="00257C6A" w:rsidP="008C30D7">
            <w:pPr>
              <w:spacing w:line="276" w:lineRule="auto"/>
              <w:jc w:val="both"/>
              <w:rPr>
                <w:rFonts w:cs="Times New Roman"/>
                <w:szCs w:val="24"/>
              </w:rPr>
            </w:pPr>
            <w:r w:rsidRPr="009224D4">
              <w:rPr>
                <w:rFonts w:cs="Times New Roman"/>
                <w:szCs w:val="24"/>
              </w:rPr>
              <w:t>Aukštų žymėjimas</w:t>
            </w:r>
          </w:p>
        </w:tc>
        <w:tc>
          <w:tcPr>
            <w:tcW w:w="6089" w:type="dxa"/>
          </w:tcPr>
          <w:p w14:paraId="777A3BB2" w14:textId="214A3016" w:rsidR="00257C6A" w:rsidRPr="009224D4" w:rsidRDefault="00257C6A" w:rsidP="008C30D7">
            <w:pPr>
              <w:spacing w:line="276" w:lineRule="auto"/>
              <w:jc w:val="both"/>
              <w:rPr>
                <w:rFonts w:cs="Times New Roman"/>
                <w:szCs w:val="24"/>
              </w:rPr>
            </w:pPr>
            <w:r w:rsidRPr="009224D4">
              <w:rPr>
                <w:rFonts w:cs="Times New Roman"/>
                <w:szCs w:val="24"/>
              </w:rPr>
              <w:t>1, 2, 3</w:t>
            </w:r>
          </w:p>
        </w:tc>
      </w:tr>
      <w:tr w:rsidR="00257C6A" w:rsidRPr="001C13C7" w14:paraId="1AB8043D" w14:textId="77777777" w:rsidTr="00111982">
        <w:trPr>
          <w:trHeight w:val="315"/>
        </w:trPr>
        <w:tc>
          <w:tcPr>
            <w:tcW w:w="3539" w:type="dxa"/>
            <w:noWrap/>
          </w:tcPr>
          <w:p w14:paraId="19D470E3" w14:textId="3600797E" w:rsidR="00257C6A" w:rsidRPr="009224D4" w:rsidRDefault="00257C6A" w:rsidP="008C30D7">
            <w:pPr>
              <w:spacing w:line="276" w:lineRule="auto"/>
              <w:jc w:val="both"/>
              <w:rPr>
                <w:rFonts w:cs="Times New Roman"/>
                <w:szCs w:val="24"/>
              </w:rPr>
            </w:pPr>
            <w:r w:rsidRPr="009224D4">
              <w:rPr>
                <w:rFonts w:cs="Times New Roman"/>
                <w:szCs w:val="24"/>
              </w:rPr>
              <w:t>Porankis</w:t>
            </w:r>
          </w:p>
        </w:tc>
        <w:tc>
          <w:tcPr>
            <w:tcW w:w="6089" w:type="dxa"/>
          </w:tcPr>
          <w:p w14:paraId="05FB74AF" w14:textId="4B41A466" w:rsidR="00257C6A" w:rsidRPr="009224D4" w:rsidRDefault="00257C6A" w:rsidP="008C30D7">
            <w:pPr>
              <w:spacing w:line="276" w:lineRule="auto"/>
              <w:jc w:val="both"/>
              <w:rPr>
                <w:rFonts w:cs="Times New Roman"/>
                <w:szCs w:val="24"/>
              </w:rPr>
            </w:pPr>
            <w:r w:rsidRPr="009224D4">
              <w:rPr>
                <w:rFonts w:cs="Times New Roman"/>
                <w:szCs w:val="24"/>
              </w:rPr>
              <w:t xml:space="preserve">Nerūdijantis plienas, tiesus, apvalus, ant galinės sienos </w:t>
            </w:r>
          </w:p>
        </w:tc>
      </w:tr>
      <w:tr w:rsidR="00257C6A" w:rsidRPr="001C13C7" w14:paraId="1ED5262F" w14:textId="77777777" w:rsidTr="00257C6A">
        <w:trPr>
          <w:trHeight w:val="315"/>
        </w:trPr>
        <w:tc>
          <w:tcPr>
            <w:tcW w:w="3539" w:type="dxa"/>
            <w:noWrap/>
          </w:tcPr>
          <w:p w14:paraId="20876783" w14:textId="1F10DFC3" w:rsidR="00257C6A" w:rsidRPr="009224D4" w:rsidRDefault="00257C6A" w:rsidP="008C30D7">
            <w:pPr>
              <w:spacing w:line="276" w:lineRule="auto"/>
              <w:jc w:val="both"/>
              <w:rPr>
                <w:rFonts w:cs="Times New Roman"/>
                <w:szCs w:val="24"/>
              </w:rPr>
            </w:pPr>
            <w:r w:rsidRPr="009224D4">
              <w:rPr>
                <w:rFonts w:cs="Times New Roman"/>
                <w:szCs w:val="24"/>
              </w:rPr>
              <w:t>Durų kontrolė</w:t>
            </w:r>
          </w:p>
        </w:tc>
        <w:tc>
          <w:tcPr>
            <w:tcW w:w="6089" w:type="dxa"/>
          </w:tcPr>
          <w:p w14:paraId="059ACDC8" w14:textId="65650C63" w:rsidR="00257C6A" w:rsidRPr="009224D4" w:rsidRDefault="00257C6A" w:rsidP="008C30D7">
            <w:pPr>
              <w:spacing w:line="276" w:lineRule="auto"/>
              <w:jc w:val="both"/>
              <w:rPr>
                <w:rFonts w:cs="Times New Roman"/>
                <w:szCs w:val="24"/>
              </w:rPr>
            </w:pPr>
            <w:r w:rsidRPr="009224D4">
              <w:rPr>
                <w:rFonts w:cs="Times New Roman"/>
                <w:szCs w:val="24"/>
              </w:rPr>
              <w:t xml:space="preserve">Foto barjeru per visą durų aukštį </w:t>
            </w:r>
          </w:p>
        </w:tc>
      </w:tr>
      <w:tr w:rsidR="00257C6A" w:rsidRPr="001C13C7" w14:paraId="568BE82D" w14:textId="77777777" w:rsidTr="00111982">
        <w:trPr>
          <w:trHeight w:val="315"/>
        </w:trPr>
        <w:tc>
          <w:tcPr>
            <w:tcW w:w="3539" w:type="dxa"/>
            <w:noWrap/>
          </w:tcPr>
          <w:p w14:paraId="72269936" w14:textId="7797D5E9" w:rsidR="00257C6A" w:rsidRPr="009224D4" w:rsidRDefault="00257C6A" w:rsidP="008C30D7">
            <w:pPr>
              <w:spacing w:line="276" w:lineRule="auto"/>
              <w:jc w:val="both"/>
              <w:rPr>
                <w:szCs w:val="24"/>
              </w:rPr>
            </w:pPr>
            <w:r w:rsidRPr="009224D4">
              <w:rPr>
                <w:szCs w:val="24"/>
              </w:rPr>
              <w:t xml:space="preserve">Durų priešgaisrinės klasifikacijos reikalavimai </w:t>
            </w:r>
          </w:p>
        </w:tc>
        <w:tc>
          <w:tcPr>
            <w:tcW w:w="6089" w:type="dxa"/>
          </w:tcPr>
          <w:p w14:paraId="4DD0990A" w14:textId="16F633F3" w:rsidR="00257C6A" w:rsidRPr="009224D4" w:rsidRDefault="00257C6A" w:rsidP="008C30D7">
            <w:pPr>
              <w:spacing w:line="276" w:lineRule="auto"/>
              <w:jc w:val="both"/>
              <w:rPr>
                <w:szCs w:val="24"/>
              </w:rPr>
            </w:pPr>
            <w:r w:rsidRPr="009224D4">
              <w:rPr>
                <w:szCs w:val="24"/>
              </w:rPr>
              <w:t>Netaikoma</w:t>
            </w:r>
          </w:p>
        </w:tc>
      </w:tr>
      <w:tr w:rsidR="00257C6A" w:rsidRPr="001C13C7" w14:paraId="7DE81AED" w14:textId="77777777" w:rsidTr="00257C6A">
        <w:trPr>
          <w:trHeight w:val="315"/>
        </w:trPr>
        <w:tc>
          <w:tcPr>
            <w:tcW w:w="3539" w:type="dxa"/>
            <w:noWrap/>
          </w:tcPr>
          <w:p w14:paraId="5056F47E" w14:textId="293FB866" w:rsidR="00257C6A" w:rsidRPr="009224D4" w:rsidRDefault="00257C6A" w:rsidP="008C30D7">
            <w:pPr>
              <w:spacing w:line="276" w:lineRule="auto"/>
              <w:jc w:val="both"/>
              <w:rPr>
                <w:szCs w:val="24"/>
              </w:rPr>
            </w:pPr>
            <w:r w:rsidRPr="009224D4">
              <w:rPr>
                <w:szCs w:val="24"/>
              </w:rPr>
              <w:t>Atitikimas standartams</w:t>
            </w:r>
          </w:p>
        </w:tc>
        <w:tc>
          <w:tcPr>
            <w:tcW w:w="6089" w:type="dxa"/>
          </w:tcPr>
          <w:p w14:paraId="32EE6010" w14:textId="0C985EC2" w:rsidR="006E61AC" w:rsidRPr="006E61AC" w:rsidRDefault="00611F51" w:rsidP="00611F51">
            <w:pPr>
              <w:spacing w:line="276" w:lineRule="auto"/>
              <w:rPr>
                <w:szCs w:val="24"/>
              </w:rPr>
            </w:pPr>
            <w:r w:rsidRPr="00611F51">
              <w:rPr>
                <w:szCs w:val="24"/>
              </w:rPr>
              <w:t>– LST EN 81-41:2025 (EN 81-41:2024) ar lygiaverčiai;</w:t>
            </w:r>
            <w:r w:rsidRPr="00611F51">
              <w:rPr>
                <w:szCs w:val="24"/>
              </w:rPr>
              <w:br/>
              <w:t xml:space="preserve">– 2014/30/ES (Electromagnetic Compatibility) ar </w:t>
            </w:r>
            <w:r w:rsidRPr="00611F51">
              <w:rPr>
                <w:szCs w:val="24"/>
              </w:rPr>
              <w:lastRenderedPageBreak/>
              <w:t>lygiaverčiai;</w:t>
            </w:r>
            <w:r w:rsidRPr="00611F51">
              <w:rPr>
                <w:szCs w:val="24"/>
              </w:rPr>
              <w:br/>
              <w:t>– ES mašinų saugos reikalavimams: Direktyva 2006/42/EB (Mašinų direktyva) ir (ar) Reglamentas (ES) 2023/1230 dėl mašinų (taikomas pagal įrenginio pateikimo rinkai datą), ar lygiaverčiai.</w:t>
            </w:r>
          </w:p>
        </w:tc>
      </w:tr>
      <w:tr w:rsidR="00257C6A" w:rsidRPr="001C13C7" w14:paraId="3F5074F5" w14:textId="77777777" w:rsidTr="00257C6A">
        <w:trPr>
          <w:trHeight w:val="315"/>
        </w:trPr>
        <w:tc>
          <w:tcPr>
            <w:tcW w:w="3539" w:type="dxa"/>
            <w:noWrap/>
          </w:tcPr>
          <w:p w14:paraId="4C5E037D" w14:textId="4C4E9BBA" w:rsidR="00257C6A" w:rsidRPr="009224D4" w:rsidRDefault="00686704" w:rsidP="008C30D7">
            <w:pPr>
              <w:spacing w:line="276" w:lineRule="auto"/>
              <w:jc w:val="both"/>
              <w:rPr>
                <w:szCs w:val="24"/>
              </w:rPr>
            </w:pPr>
            <w:r w:rsidRPr="009224D4">
              <w:rPr>
                <w:szCs w:val="24"/>
              </w:rPr>
              <w:lastRenderedPageBreak/>
              <w:t>Kiti reikalavimai</w:t>
            </w:r>
          </w:p>
        </w:tc>
        <w:tc>
          <w:tcPr>
            <w:tcW w:w="6089" w:type="dxa"/>
          </w:tcPr>
          <w:p w14:paraId="4DB8A2F5" w14:textId="4402FD78" w:rsidR="00257C6A" w:rsidRPr="009224D4" w:rsidRDefault="00257C6A" w:rsidP="008C30D7">
            <w:pPr>
              <w:spacing w:line="276" w:lineRule="auto"/>
              <w:jc w:val="both"/>
              <w:rPr>
                <w:szCs w:val="24"/>
              </w:rPr>
            </w:pPr>
            <w:r w:rsidRPr="009224D4">
              <w:rPr>
                <w:szCs w:val="24"/>
              </w:rPr>
              <w:t>Avarinis stabdymo mygtukas</w:t>
            </w:r>
          </w:p>
        </w:tc>
      </w:tr>
      <w:tr w:rsidR="00257C6A" w:rsidRPr="001C13C7" w14:paraId="537E5D31" w14:textId="77777777" w:rsidTr="00257C6A">
        <w:trPr>
          <w:trHeight w:val="315"/>
        </w:trPr>
        <w:tc>
          <w:tcPr>
            <w:tcW w:w="3539" w:type="dxa"/>
            <w:noWrap/>
          </w:tcPr>
          <w:p w14:paraId="0CA3C0AF" w14:textId="0B3D135E" w:rsidR="00257C6A" w:rsidRPr="009224D4" w:rsidRDefault="00257C6A" w:rsidP="008C30D7">
            <w:pPr>
              <w:spacing w:line="276" w:lineRule="auto"/>
              <w:jc w:val="both"/>
              <w:rPr>
                <w:szCs w:val="24"/>
              </w:rPr>
            </w:pPr>
          </w:p>
        </w:tc>
        <w:tc>
          <w:tcPr>
            <w:tcW w:w="6089" w:type="dxa"/>
          </w:tcPr>
          <w:p w14:paraId="0123BFB6" w14:textId="67F2AF4B" w:rsidR="00257C6A" w:rsidRPr="009224D4" w:rsidRDefault="00686704" w:rsidP="008C30D7">
            <w:pPr>
              <w:spacing w:line="276" w:lineRule="auto"/>
              <w:jc w:val="both"/>
              <w:rPr>
                <w:szCs w:val="24"/>
              </w:rPr>
            </w:pPr>
            <w:r w:rsidRPr="009224D4">
              <w:rPr>
                <w:szCs w:val="24"/>
              </w:rPr>
              <w:t>Avarinis apšvietimas</w:t>
            </w:r>
          </w:p>
        </w:tc>
      </w:tr>
      <w:tr w:rsidR="00257C6A" w:rsidRPr="001C13C7" w14:paraId="3D5E1868" w14:textId="77777777" w:rsidTr="00257C6A">
        <w:trPr>
          <w:trHeight w:val="315"/>
        </w:trPr>
        <w:tc>
          <w:tcPr>
            <w:tcW w:w="3539" w:type="dxa"/>
            <w:noWrap/>
          </w:tcPr>
          <w:p w14:paraId="31CA03DC" w14:textId="37C474C9" w:rsidR="00257C6A" w:rsidRPr="009224D4" w:rsidRDefault="00611F51" w:rsidP="008C30D7">
            <w:pPr>
              <w:spacing w:line="276" w:lineRule="auto"/>
              <w:jc w:val="both"/>
              <w:rPr>
                <w:szCs w:val="24"/>
              </w:rPr>
            </w:pPr>
            <w:r w:rsidRPr="00611F51">
              <w:rPr>
                <w:szCs w:val="24"/>
              </w:rPr>
              <w:t>Dispečerinė sistema</w:t>
            </w:r>
          </w:p>
        </w:tc>
        <w:tc>
          <w:tcPr>
            <w:tcW w:w="6089" w:type="dxa"/>
          </w:tcPr>
          <w:p w14:paraId="2E02D2CF" w14:textId="4D46265F" w:rsidR="00257C6A" w:rsidRPr="009224D4" w:rsidRDefault="00611F51" w:rsidP="008C30D7">
            <w:pPr>
              <w:spacing w:line="276" w:lineRule="auto"/>
              <w:jc w:val="both"/>
              <w:rPr>
                <w:szCs w:val="24"/>
              </w:rPr>
            </w:pPr>
            <w:r>
              <w:rPr>
                <w:szCs w:val="24"/>
              </w:rPr>
              <w:t>A</w:t>
            </w:r>
            <w:r w:rsidRPr="00611F51">
              <w:rPr>
                <w:szCs w:val="24"/>
              </w:rPr>
              <w:t>varinio ryšio priemonė kabinoje, užtikrinanti dvipusį balso ryšį su atsakingu darbuotoju arba dispečerine 24/7 (pvz., per GSM modulį), su automatinio pagalbos iškvietimo funkcija.</w:t>
            </w:r>
          </w:p>
        </w:tc>
      </w:tr>
      <w:tr w:rsidR="00257C6A" w:rsidRPr="001C13C7" w14:paraId="08244BC9" w14:textId="77777777" w:rsidTr="00257C6A">
        <w:trPr>
          <w:trHeight w:val="315"/>
        </w:trPr>
        <w:tc>
          <w:tcPr>
            <w:tcW w:w="3539" w:type="dxa"/>
            <w:noWrap/>
          </w:tcPr>
          <w:p w14:paraId="5DDB1303" w14:textId="2862DF24" w:rsidR="00257C6A" w:rsidRPr="009224D4" w:rsidRDefault="00257C6A" w:rsidP="008C30D7">
            <w:pPr>
              <w:spacing w:line="276" w:lineRule="auto"/>
              <w:jc w:val="both"/>
              <w:rPr>
                <w:szCs w:val="24"/>
              </w:rPr>
            </w:pPr>
          </w:p>
        </w:tc>
        <w:tc>
          <w:tcPr>
            <w:tcW w:w="6089" w:type="dxa"/>
          </w:tcPr>
          <w:p w14:paraId="38755400" w14:textId="40FB7E18" w:rsidR="00257C6A" w:rsidRPr="009224D4" w:rsidRDefault="001B454E" w:rsidP="008C30D7">
            <w:pPr>
              <w:spacing w:line="276" w:lineRule="auto"/>
              <w:jc w:val="both"/>
              <w:rPr>
                <w:szCs w:val="24"/>
              </w:rPr>
            </w:pPr>
            <w:r>
              <w:rPr>
                <w:szCs w:val="24"/>
              </w:rPr>
              <w:t>Automatinis d</w:t>
            </w:r>
            <w:r w:rsidR="00686704" w:rsidRPr="009224D4">
              <w:rPr>
                <w:szCs w:val="24"/>
              </w:rPr>
              <w:t>urų užraktas</w:t>
            </w:r>
          </w:p>
        </w:tc>
      </w:tr>
      <w:tr w:rsidR="00257C6A" w:rsidRPr="001C13C7" w14:paraId="399087EF" w14:textId="77777777" w:rsidTr="00257C6A">
        <w:trPr>
          <w:trHeight w:val="315"/>
        </w:trPr>
        <w:tc>
          <w:tcPr>
            <w:tcW w:w="3539" w:type="dxa"/>
            <w:noWrap/>
          </w:tcPr>
          <w:p w14:paraId="737C11F1" w14:textId="5329D384" w:rsidR="00257C6A" w:rsidRPr="009224D4" w:rsidRDefault="00257C6A" w:rsidP="008C30D7">
            <w:pPr>
              <w:spacing w:line="276" w:lineRule="auto"/>
              <w:jc w:val="both"/>
              <w:rPr>
                <w:szCs w:val="24"/>
              </w:rPr>
            </w:pPr>
          </w:p>
        </w:tc>
        <w:tc>
          <w:tcPr>
            <w:tcW w:w="6089" w:type="dxa"/>
          </w:tcPr>
          <w:p w14:paraId="79C94608" w14:textId="38746126" w:rsidR="00257C6A" w:rsidRPr="009224D4" w:rsidRDefault="00602EE4" w:rsidP="008C30D7">
            <w:pPr>
              <w:spacing w:line="276" w:lineRule="auto"/>
              <w:jc w:val="both"/>
              <w:rPr>
                <w:szCs w:val="24"/>
              </w:rPr>
            </w:pPr>
            <w:r w:rsidRPr="009224D4">
              <w:rPr>
                <w:szCs w:val="24"/>
              </w:rPr>
              <w:t>Gaisro atveju -</w:t>
            </w:r>
            <w:r w:rsidR="00686704" w:rsidRPr="009224D4">
              <w:rPr>
                <w:szCs w:val="24"/>
              </w:rPr>
              <w:t xml:space="preserve"> </w:t>
            </w:r>
            <w:r w:rsidR="00611F51" w:rsidRPr="00611F51">
              <w:rPr>
                <w:szCs w:val="24"/>
              </w:rPr>
              <w:t>automatinis platformos nuvažiavimas į pagrindinį (evakuacinį) aukštą ir jos sustabdymas</w:t>
            </w:r>
            <w:r w:rsidR="00611F51">
              <w:rPr>
                <w:szCs w:val="24"/>
              </w:rPr>
              <w:t>.</w:t>
            </w:r>
          </w:p>
        </w:tc>
      </w:tr>
      <w:tr w:rsidR="00257C6A" w:rsidRPr="001C13C7" w14:paraId="27EFF5EC" w14:textId="77777777" w:rsidTr="00257C6A">
        <w:trPr>
          <w:trHeight w:val="315"/>
        </w:trPr>
        <w:tc>
          <w:tcPr>
            <w:tcW w:w="3539" w:type="dxa"/>
            <w:noWrap/>
          </w:tcPr>
          <w:p w14:paraId="424B614E" w14:textId="7EC39AA1" w:rsidR="00257C6A" w:rsidRPr="009224D4" w:rsidRDefault="00257C6A" w:rsidP="008C30D7">
            <w:pPr>
              <w:spacing w:line="276" w:lineRule="auto"/>
              <w:jc w:val="both"/>
              <w:rPr>
                <w:szCs w:val="24"/>
              </w:rPr>
            </w:pPr>
          </w:p>
        </w:tc>
        <w:tc>
          <w:tcPr>
            <w:tcW w:w="6089" w:type="dxa"/>
          </w:tcPr>
          <w:p w14:paraId="40F3F3D6" w14:textId="77777777" w:rsidR="0037698C" w:rsidRPr="009224D4" w:rsidRDefault="00686704" w:rsidP="008C30D7">
            <w:pPr>
              <w:spacing w:line="276" w:lineRule="auto"/>
              <w:jc w:val="both"/>
              <w:rPr>
                <w:b/>
                <w:bCs/>
                <w:szCs w:val="24"/>
              </w:rPr>
            </w:pPr>
            <w:r w:rsidRPr="009224D4">
              <w:rPr>
                <w:b/>
                <w:bCs/>
                <w:szCs w:val="24"/>
              </w:rPr>
              <w:t>Į pasiūlymo kainą įeina</w:t>
            </w:r>
            <w:r w:rsidR="0037698C" w:rsidRPr="009224D4">
              <w:rPr>
                <w:b/>
                <w:bCs/>
                <w:szCs w:val="24"/>
              </w:rPr>
              <w:t>:</w:t>
            </w:r>
          </w:p>
          <w:p w14:paraId="78857398" w14:textId="798E0307" w:rsidR="0037698C" w:rsidRPr="009224D4" w:rsidRDefault="009224D4" w:rsidP="008C30D7">
            <w:pPr>
              <w:pStyle w:val="Sraopastraipa"/>
              <w:numPr>
                <w:ilvl w:val="0"/>
                <w:numId w:val="5"/>
              </w:numPr>
              <w:spacing w:line="276" w:lineRule="auto"/>
              <w:ind w:left="38" w:hanging="142"/>
              <w:jc w:val="both"/>
              <w:rPr>
                <w:szCs w:val="24"/>
              </w:rPr>
            </w:pPr>
            <w:r w:rsidRPr="009224D4">
              <w:rPr>
                <w:szCs w:val="24"/>
              </w:rPr>
              <w:t xml:space="preserve"> </w:t>
            </w:r>
            <w:r w:rsidR="00686704" w:rsidRPr="009224D4">
              <w:rPr>
                <w:szCs w:val="24"/>
              </w:rPr>
              <w:t>vis</w:t>
            </w:r>
            <w:r w:rsidR="0037698C" w:rsidRPr="009224D4">
              <w:rPr>
                <w:szCs w:val="24"/>
              </w:rPr>
              <w:t>i</w:t>
            </w:r>
            <w:r w:rsidR="00686704" w:rsidRPr="009224D4">
              <w:rPr>
                <w:szCs w:val="24"/>
              </w:rPr>
              <w:t xml:space="preserve"> seno </w:t>
            </w:r>
            <w:r w:rsidR="0037698C" w:rsidRPr="009224D4">
              <w:rPr>
                <w:szCs w:val="24"/>
              </w:rPr>
              <w:t xml:space="preserve">keltuvo </w:t>
            </w:r>
            <w:r w:rsidR="00686704" w:rsidRPr="009224D4">
              <w:rPr>
                <w:szCs w:val="24"/>
              </w:rPr>
              <w:t>demontavimo</w:t>
            </w:r>
            <w:r w:rsidR="0037698C" w:rsidRPr="009224D4">
              <w:rPr>
                <w:szCs w:val="24"/>
              </w:rPr>
              <w:t xml:space="preserve"> darbai</w:t>
            </w:r>
            <w:r w:rsidR="0037201F">
              <w:rPr>
                <w:szCs w:val="24"/>
              </w:rPr>
              <w:t>, išvežimas</w:t>
            </w:r>
            <w:r w:rsidR="0037698C" w:rsidRPr="009224D4">
              <w:rPr>
                <w:szCs w:val="24"/>
              </w:rPr>
              <w:t xml:space="preserve"> ir</w:t>
            </w:r>
            <w:r w:rsidR="0037201F">
              <w:rPr>
                <w:szCs w:val="24"/>
              </w:rPr>
              <w:t xml:space="preserve"> </w:t>
            </w:r>
            <w:r w:rsidR="00686704" w:rsidRPr="009224D4">
              <w:rPr>
                <w:szCs w:val="24"/>
              </w:rPr>
              <w:t>ut</w:t>
            </w:r>
            <w:r w:rsidR="0037698C" w:rsidRPr="009224D4">
              <w:rPr>
                <w:szCs w:val="24"/>
              </w:rPr>
              <w:t>i</w:t>
            </w:r>
            <w:r w:rsidR="00686704" w:rsidRPr="009224D4">
              <w:rPr>
                <w:szCs w:val="24"/>
              </w:rPr>
              <w:t>lizavi</w:t>
            </w:r>
            <w:r w:rsidR="0037698C" w:rsidRPr="009224D4">
              <w:rPr>
                <w:szCs w:val="24"/>
              </w:rPr>
              <w:t>mas;</w:t>
            </w:r>
          </w:p>
          <w:p w14:paraId="2479F224" w14:textId="08C1FD4D" w:rsidR="0037698C" w:rsidRPr="009224D4" w:rsidRDefault="00686704" w:rsidP="008C30D7">
            <w:pPr>
              <w:pStyle w:val="Sraopastraipa"/>
              <w:numPr>
                <w:ilvl w:val="0"/>
                <w:numId w:val="5"/>
              </w:numPr>
              <w:spacing w:line="276" w:lineRule="auto"/>
              <w:ind w:left="38" w:hanging="142"/>
              <w:jc w:val="both"/>
              <w:rPr>
                <w:szCs w:val="24"/>
              </w:rPr>
            </w:pPr>
            <w:r w:rsidRPr="009224D4">
              <w:rPr>
                <w:szCs w:val="24"/>
              </w:rPr>
              <w:t xml:space="preserve">naujo </w:t>
            </w:r>
            <w:r w:rsidR="0037698C" w:rsidRPr="009224D4">
              <w:rPr>
                <w:szCs w:val="24"/>
              </w:rPr>
              <w:t>keltuvo</w:t>
            </w:r>
            <w:r w:rsidRPr="009224D4">
              <w:rPr>
                <w:szCs w:val="24"/>
              </w:rPr>
              <w:t xml:space="preserve"> </w:t>
            </w:r>
            <w:r w:rsidR="009224D4" w:rsidRPr="009224D4">
              <w:rPr>
                <w:szCs w:val="24"/>
              </w:rPr>
              <w:t>transportavimo</w:t>
            </w:r>
            <w:r w:rsidRPr="009224D4">
              <w:rPr>
                <w:szCs w:val="24"/>
              </w:rPr>
              <w:t>, montavimo, su montavimo darbais susiję statybos ir vidaus patalpų apdailos darbai</w:t>
            </w:r>
            <w:r w:rsidR="009224D4" w:rsidRPr="009224D4">
              <w:rPr>
                <w:szCs w:val="24"/>
              </w:rPr>
              <w:t>;</w:t>
            </w:r>
          </w:p>
          <w:p w14:paraId="18C46C5A" w14:textId="77777777" w:rsidR="009224D4" w:rsidRPr="009224D4" w:rsidRDefault="009224D4" w:rsidP="008C30D7">
            <w:pPr>
              <w:pStyle w:val="Sraopastraipa"/>
              <w:numPr>
                <w:ilvl w:val="0"/>
                <w:numId w:val="5"/>
              </w:numPr>
              <w:spacing w:line="276" w:lineRule="auto"/>
              <w:ind w:left="38" w:hanging="142"/>
              <w:jc w:val="both"/>
              <w:rPr>
                <w:szCs w:val="24"/>
              </w:rPr>
            </w:pPr>
            <w:r w:rsidRPr="009224D4">
              <w:rPr>
                <w:szCs w:val="24"/>
              </w:rPr>
              <w:t>keltuvo gamyklinių brėžinių parengimas ir pateikimas užsakovui;</w:t>
            </w:r>
          </w:p>
          <w:p w14:paraId="4216264F" w14:textId="514487AF" w:rsidR="0037698C" w:rsidRPr="009224D4" w:rsidRDefault="00686704" w:rsidP="008C30D7">
            <w:pPr>
              <w:pStyle w:val="Sraopastraipa"/>
              <w:numPr>
                <w:ilvl w:val="0"/>
                <w:numId w:val="5"/>
              </w:numPr>
              <w:spacing w:line="276" w:lineRule="auto"/>
              <w:ind w:left="38" w:hanging="142"/>
              <w:jc w:val="both"/>
              <w:rPr>
                <w:szCs w:val="24"/>
              </w:rPr>
            </w:pPr>
            <w:r w:rsidRPr="009224D4">
              <w:rPr>
                <w:szCs w:val="24"/>
              </w:rPr>
              <w:t xml:space="preserve">visos </w:t>
            </w:r>
            <w:r w:rsidR="0037698C" w:rsidRPr="009224D4">
              <w:rPr>
                <w:szCs w:val="24"/>
              </w:rPr>
              <w:t>darbams</w:t>
            </w:r>
            <w:r w:rsidRPr="009224D4">
              <w:rPr>
                <w:szCs w:val="24"/>
              </w:rPr>
              <w:t xml:space="preserve"> reikalingos medžiagos ir tvirtinimo detalės,</w:t>
            </w:r>
          </w:p>
          <w:p w14:paraId="2765E8D9" w14:textId="77777777" w:rsidR="009224D4" w:rsidRPr="009224D4" w:rsidRDefault="0037698C" w:rsidP="008C30D7">
            <w:pPr>
              <w:pStyle w:val="Sraopastraipa"/>
              <w:numPr>
                <w:ilvl w:val="0"/>
                <w:numId w:val="5"/>
              </w:numPr>
              <w:spacing w:line="276" w:lineRule="auto"/>
              <w:ind w:left="38" w:hanging="142"/>
              <w:jc w:val="both"/>
              <w:rPr>
                <w:szCs w:val="24"/>
              </w:rPr>
            </w:pPr>
            <w:r w:rsidRPr="009224D4">
              <w:rPr>
                <w:szCs w:val="24"/>
              </w:rPr>
              <w:t>keltuvo</w:t>
            </w:r>
            <w:r w:rsidR="00686704" w:rsidRPr="009224D4">
              <w:rPr>
                <w:szCs w:val="24"/>
              </w:rPr>
              <w:t xml:space="preserve"> </w:t>
            </w:r>
            <w:r w:rsidR="009224D4" w:rsidRPr="009224D4">
              <w:rPr>
                <w:szCs w:val="24"/>
              </w:rPr>
              <w:t>derinimas, paleidimas ir pridavimas po montavimo akredituotai potencialiai pavojingų įrenginių tikrinimo</w:t>
            </w:r>
          </w:p>
          <w:p w14:paraId="3A336518" w14:textId="77777777" w:rsidR="00257C6A" w:rsidRDefault="009224D4" w:rsidP="00D6048B">
            <w:pPr>
              <w:pStyle w:val="Sraopastraipa"/>
              <w:spacing w:line="276" w:lineRule="auto"/>
              <w:ind w:left="38"/>
              <w:jc w:val="both"/>
              <w:rPr>
                <w:szCs w:val="24"/>
              </w:rPr>
            </w:pPr>
            <w:r w:rsidRPr="009224D4">
              <w:rPr>
                <w:szCs w:val="24"/>
              </w:rPr>
              <w:t>įstaigai ir užsakovui.</w:t>
            </w:r>
          </w:p>
          <w:p w14:paraId="2A339FCB" w14:textId="399A0BA4" w:rsidR="00611F51" w:rsidRPr="00611F51" w:rsidRDefault="00611F51" w:rsidP="00611F51">
            <w:pPr>
              <w:pStyle w:val="Sraopastraipa"/>
              <w:numPr>
                <w:ilvl w:val="1"/>
                <w:numId w:val="7"/>
              </w:numPr>
              <w:spacing w:line="276" w:lineRule="auto"/>
              <w:ind w:left="38" w:hanging="104"/>
              <w:jc w:val="both"/>
              <w:rPr>
                <w:szCs w:val="24"/>
              </w:rPr>
            </w:pPr>
            <w:r w:rsidRPr="00611F51">
              <w:rPr>
                <w:szCs w:val="24"/>
              </w:rPr>
              <w:t>CE atitikties deklaracija (su nuoroda į taikytus standartus ir direktyvas / reglamentą);</w:t>
            </w:r>
          </w:p>
          <w:p w14:paraId="1985FE19" w14:textId="63A03E95" w:rsidR="00611F51" w:rsidRPr="00611F51" w:rsidRDefault="00611F51" w:rsidP="00611F51">
            <w:pPr>
              <w:pStyle w:val="Sraopastraipa"/>
              <w:numPr>
                <w:ilvl w:val="1"/>
                <w:numId w:val="7"/>
              </w:numPr>
              <w:spacing w:line="276" w:lineRule="auto"/>
              <w:ind w:left="38" w:hanging="104"/>
              <w:jc w:val="both"/>
              <w:rPr>
                <w:szCs w:val="24"/>
              </w:rPr>
            </w:pPr>
            <w:r w:rsidRPr="00611F51">
              <w:rPr>
                <w:szCs w:val="24"/>
              </w:rPr>
              <w:t>naudotojo instrukcija lietuvių kalba;</w:t>
            </w:r>
          </w:p>
          <w:p w14:paraId="4471C645" w14:textId="158DBC23" w:rsidR="00611F51" w:rsidRPr="00611F51" w:rsidRDefault="00611F51" w:rsidP="00611F51">
            <w:pPr>
              <w:pStyle w:val="Sraopastraipa"/>
              <w:numPr>
                <w:ilvl w:val="1"/>
                <w:numId w:val="7"/>
              </w:numPr>
              <w:spacing w:line="276" w:lineRule="auto"/>
              <w:ind w:left="38" w:hanging="104"/>
              <w:jc w:val="both"/>
              <w:rPr>
                <w:szCs w:val="24"/>
              </w:rPr>
            </w:pPr>
            <w:r w:rsidRPr="00611F51">
              <w:rPr>
                <w:szCs w:val="24"/>
              </w:rPr>
              <w:t>techninės priežiūros ir periodinių patikrų rekomendacijos;</w:t>
            </w:r>
          </w:p>
          <w:p w14:paraId="60E0B797" w14:textId="023A4654" w:rsidR="00611F51" w:rsidRPr="009224D4" w:rsidRDefault="00611F51" w:rsidP="00611F51">
            <w:pPr>
              <w:pStyle w:val="Sraopastraipa"/>
              <w:numPr>
                <w:ilvl w:val="1"/>
                <w:numId w:val="7"/>
              </w:numPr>
              <w:spacing w:line="276" w:lineRule="auto"/>
              <w:ind w:left="38" w:hanging="104"/>
              <w:jc w:val="both"/>
              <w:rPr>
                <w:szCs w:val="24"/>
              </w:rPr>
            </w:pPr>
            <w:r w:rsidRPr="00611F51">
              <w:rPr>
                <w:szCs w:val="24"/>
              </w:rPr>
              <w:t xml:space="preserve">asmenų, kurie eksploatuos keltuvą, </w:t>
            </w:r>
            <w:r w:rsidRPr="00611F51">
              <w:rPr>
                <w:b/>
                <w:bCs/>
                <w:szCs w:val="24"/>
              </w:rPr>
              <w:t>apmokymas</w:t>
            </w:r>
            <w:r w:rsidRPr="00611F51">
              <w:rPr>
                <w:szCs w:val="24"/>
              </w:rPr>
              <w:t xml:space="preserve"> vietoje.</w:t>
            </w:r>
          </w:p>
        </w:tc>
      </w:tr>
      <w:tr w:rsidR="00257C6A" w:rsidRPr="001C13C7" w14:paraId="796B08AF" w14:textId="77777777" w:rsidTr="00257C6A">
        <w:trPr>
          <w:trHeight w:val="315"/>
        </w:trPr>
        <w:tc>
          <w:tcPr>
            <w:tcW w:w="3539" w:type="dxa"/>
            <w:noWrap/>
          </w:tcPr>
          <w:p w14:paraId="3BBA1EF3" w14:textId="65111A6C" w:rsidR="00257C6A" w:rsidRPr="009224D4" w:rsidRDefault="00257C6A" w:rsidP="008C30D7">
            <w:pPr>
              <w:spacing w:line="276" w:lineRule="auto"/>
              <w:jc w:val="both"/>
              <w:rPr>
                <w:szCs w:val="24"/>
              </w:rPr>
            </w:pPr>
          </w:p>
        </w:tc>
        <w:tc>
          <w:tcPr>
            <w:tcW w:w="6089" w:type="dxa"/>
          </w:tcPr>
          <w:p w14:paraId="7DF60DAD" w14:textId="77777777" w:rsidR="008C30D7" w:rsidRDefault="00686704" w:rsidP="008C30D7">
            <w:pPr>
              <w:spacing w:line="276" w:lineRule="auto"/>
              <w:jc w:val="both"/>
              <w:rPr>
                <w:szCs w:val="24"/>
              </w:rPr>
            </w:pPr>
            <w:r w:rsidRPr="009224D4">
              <w:rPr>
                <w:szCs w:val="24"/>
              </w:rPr>
              <w:t xml:space="preserve">Tiekėjas gali siūlyti ir alternatyvių, tačiau ne žemesnių techninių parametrų gaminį, kartu pateikdamas įrodymus, kad alternatyvūs parametrai yra lygiaverčiai ar aukštesni. </w:t>
            </w:r>
          </w:p>
          <w:p w14:paraId="6E421D4D" w14:textId="61B52916" w:rsidR="00257C6A" w:rsidRPr="009224D4" w:rsidRDefault="00686704" w:rsidP="008C30D7">
            <w:pPr>
              <w:spacing w:line="276" w:lineRule="auto"/>
              <w:jc w:val="both"/>
              <w:rPr>
                <w:szCs w:val="24"/>
              </w:rPr>
            </w:pPr>
            <w:r w:rsidRPr="009224D4">
              <w:rPr>
                <w:szCs w:val="24"/>
              </w:rPr>
              <w:t>Jei perkamai prekei yra taikomi reikalavimai, numatyti galiojančiuose privalomuosiuose teisės aktuose, tačiau nėra įrašyti šioje specifikacijoje, laikoma, kad tokie reikalavimai yra keliami ir šioje specifikacijoje aprašytai prekei.</w:t>
            </w:r>
          </w:p>
        </w:tc>
      </w:tr>
      <w:tr w:rsidR="00257C6A" w:rsidRPr="001C13C7" w14:paraId="6BB3D69F" w14:textId="77777777" w:rsidTr="001C13C7">
        <w:trPr>
          <w:trHeight w:val="315"/>
        </w:trPr>
        <w:tc>
          <w:tcPr>
            <w:tcW w:w="3539" w:type="dxa"/>
            <w:noWrap/>
          </w:tcPr>
          <w:p w14:paraId="1C238BE1" w14:textId="111C72A6" w:rsidR="00257C6A" w:rsidRPr="009224D4" w:rsidRDefault="00257C6A" w:rsidP="008C30D7">
            <w:pPr>
              <w:spacing w:line="276" w:lineRule="auto"/>
              <w:rPr>
                <w:szCs w:val="24"/>
              </w:rPr>
            </w:pPr>
          </w:p>
        </w:tc>
        <w:tc>
          <w:tcPr>
            <w:tcW w:w="6089" w:type="dxa"/>
          </w:tcPr>
          <w:p w14:paraId="1AB9F9E0" w14:textId="60CD0984" w:rsidR="00257C6A" w:rsidRPr="009224D4" w:rsidRDefault="00686704" w:rsidP="008C30D7">
            <w:pPr>
              <w:spacing w:line="276" w:lineRule="auto"/>
              <w:jc w:val="both"/>
              <w:rPr>
                <w:szCs w:val="24"/>
              </w:rPr>
            </w:pPr>
            <w:r w:rsidRPr="009224D4">
              <w:rPr>
                <w:szCs w:val="24"/>
              </w:rPr>
              <w:t xml:space="preserve">Techninėje specifikacijoje nurodyti standartų ar prekės ženklų pavadinimai yra laikyti orientaciniais ir gali būti pakeisti lygiaverčiais.  </w:t>
            </w:r>
          </w:p>
        </w:tc>
      </w:tr>
      <w:tr w:rsidR="00257C6A" w:rsidRPr="001C13C7" w14:paraId="66E430DA" w14:textId="77777777" w:rsidTr="009224D4">
        <w:trPr>
          <w:trHeight w:val="133"/>
        </w:trPr>
        <w:tc>
          <w:tcPr>
            <w:tcW w:w="3539" w:type="dxa"/>
            <w:noWrap/>
            <w:hideMark/>
          </w:tcPr>
          <w:p w14:paraId="2579164C" w14:textId="77777777" w:rsidR="009224D4" w:rsidRPr="009224D4" w:rsidRDefault="009224D4" w:rsidP="008C30D7">
            <w:pPr>
              <w:spacing w:line="276" w:lineRule="auto"/>
              <w:jc w:val="both"/>
              <w:rPr>
                <w:szCs w:val="24"/>
              </w:rPr>
            </w:pPr>
            <w:r w:rsidRPr="009224D4">
              <w:rPr>
                <w:szCs w:val="24"/>
              </w:rPr>
              <w:t>Garantiniai terminai:</w:t>
            </w:r>
          </w:p>
          <w:p w14:paraId="1A390934" w14:textId="1C1427FB" w:rsidR="00257C6A" w:rsidRPr="001C13C7" w:rsidRDefault="00257C6A" w:rsidP="008C30D7">
            <w:pPr>
              <w:spacing w:line="276" w:lineRule="auto"/>
              <w:jc w:val="both"/>
              <w:rPr>
                <w:sz w:val="22"/>
              </w:rPr>
            </w:pPr>
          </w:p>
        </w:tc>
        <w:tc>
          <w:tcPr>
            <w:tcW w:w="6089" w:type="dxa"/>
          </w:tcPr>
          <w:p w14:paraId="621E74F9" w14:textId="25DE1A3E" w:rsidR="009224D4" w:rsidRPr="009224D4" w:rsidRDefault="0037698C" w:rsidP="008C30D7">
            <w:pPr>
              <w:spacing w:line="276" w:lineRule="auto"/>
              <w:jc w:val="both"/>
              <w:rPr>
                <w:szCs w:val="24"/>
              </w:rPr>
            </w:pPr>
            <w:r w:rsidRPr="009224D4">
              <w:rPr>
                <w:szCs w:val="24"/>
              </w:rPr>
              <w:t xml:space="preserve">Gamintojo garantija įrenginiui </w:t>
            </w:r>
            <w:r w:rsidR="009224D4" w:rsidRPr="009224D4">
              <w:rPr>
                <w:szCs w:val="24"/>
              </w:rPr>
              <w:t>–</w:t>
            </w:r>
            <w:r w:rsidRPr="009224D4">
              <w:rPr>
                <w:szCs w:val="24"/>
              </w:rPr>
              <w:t xml:space="preserve"> </w:t>
            </w:r>
            <w:r w:rsidR="009224D4" w:rsidRPr="009224D4">
              <w:rPr>
                <w:szCs w:val="24"/>
              </w:rPr>
              <w:t xml:space="preserve">ne mažiau kaip </w:t>
            </w:r>
            <w:r w:rsidRPr="009224D4">
              <w:rPr>
                <w:szCs w:val="24"/>
              </w:rPr>
              <w:t xml:space="preserve">2 metai, </w:t>
            </w:r>
          </w:p>
          <w:p w14:paraId="1922CB76" w14:textId="3E6E9424" w:rsidR="00257C6A" w:rsidRPr="001C13C7" w:rsidRDefault="0037698C" w:rsidP="008C30D7">
            <w:pPr>
              <w:spacing w:line="276" w:lineRule="auto"/>
              <w:jc w:val="both"/>
              <w:rPr>
                <w:sz w:val="22"/>
              </w:rPr>
            </w:pPr>
            <w:r w:rsidRPr="009224D4">
              <w:rPr>
                <w:szCs w:val="24"/>
              </w:rPr>
              <w:t xml:space="preserve">Kitos garantijos </w:t>
            </w:r>
            <w:r w:rsidR="00421939">
              <w:rPr>
                <w:szCs w:val="24"/>
              </w:rPr>
              <w:t>–</w:t>
            </w:r>
            <w:r w:rsidRPr="009224D4">
              <w:rPr>
                <w:szCs w:val="24"/>
              </w:rPr>
              <w:t xml:space="preserve"> pagal LR Statybos reglamentą</w:t>
            </w:r>
            <w:r w:rsidR="009224D4">
              <w:rPr>
                <w:szCs w:val="24"/>
              </w:rPr>
              <w:t>.</w:t>
            </w:r>
          </w:p>
        </w:tc>
      </w:tr>
      <w:tr w:rsidR="004642F0" w:rsidRPr="001C13C7" w14:paraId="1FA7B733" w14:textId="77777777" w:rsidTr="009224D4">
        <w:trPr>
          <w:trHeight w:val="133"/>
        </w:trPr>
        <w:tc>
          <w:tcPr>
            <w:tcW w:w="3539" w:type="dxa"/>
            <w:noWrap/>
          </w:tcPr>
          <w:p w14:paraId="7F5E19FB" w14:textId="54A5FB42" w:rsidR="004642F0" w:rsidRDefault="004642F0" w:rsidP="004642F0">
            <w:pPr>
              <w:spacing w:line="276" w:lineRule="auto"/>
              <w:jc w:val="both"/>
              <w:rPr>
                <w:szCs w:val="24"/>
              </w:rPr>
            </w:pPr>
            <w:r>
              <w:rPr>
                <w:szCs w:val="24"/>
              </w:rPr>
              <w:t>Seno keltuvo išmontavimo ir naujo keltuvo sumontavimo terminas (po prekės pristatymo)</w:t>
            </w:r>
            <w:r w:rsidR="00BC5D44">
              <w:rPr>
                <w:szCs w:val="24"/>
              </w:rPr>
              <w:t>:</w:t>
            </w:r>
          </w:p>
        </w:tc>
        <w:tc>
          <w:tcPr>
            <w:tcW w:w="6089" w:type="dxa"/>
          </w:tcPr>
          <w:p w14:paraId="5817AF2A" w14:textId="06A32F0A" w:rsidR="004642F0" w:rsidRPr="009224D4" w:rsidRDefault="004642F0" w:rsidP="004642F0">
            <w:pPr>
              <w:spacing w:line="276" w:lineRule="auto"/>
              <w:jc w:val="both"/>
              <w:rPr>
                <w:szCs w:val="24"/>
              </w:rPr>
            </w:pPr>
            <w:r w:rsidRPr="009224D4">
              <w:rPr>
                <w:szCs w:val="24"/>
              </w:rPr>
              <w:t>3</w:t>
            </w:r>
            <w:r>
              <w:rPr>
                <w:szCs w:val="24"/>
              </w:rPr>
              <w:t>–</w:t>
            </w:r>
            <w:r w:rsidRPr="009224D4">
              <w:rPr>
                <w:szCs w:val="24"/>
              </w:rPr>
              <w:t>5 savaitės</w:t>
            </w:r>
          </w:p>
        </w:tc>
      </w:tr>
    </w:tbl>
    <w:p w14:paraId="7DA4FA9C" w14:textId="7351E88E" w:rsidR="00D37C91" w:rsidRDefault="00D37C91" w:rsidP="008C30D7">
      <w:pPr>
        <w:spacing w:after="0" w:line="360" w:lineRule="auto"/>
        <w:jc w:val="both"/>
        <w:rPr>
          <w:szCs w:val="24"/>
        </w:rPr>
      </w:pPr>
    </w:p>
    <w:p w14:paraId="7ADDC998" w14:textId="77777777" w:rsidR="003418AF" w:rsidRDefault="003418AF" w:rsidP="0062586F">
      <w:pPr>
        <w:spacing w:line="278" w:lineRule="auto"/>
        <w:jc w:val="both"/>
        <w:rPr>
          <w:b/>
        </w:rPr>
      </w:pPr>
    </w:p>
    <w:p w14:paraId="7319FDCF" w14:textId="77777777" w:rsidR="003418AF" w:rsidRDefault="003418AF" w:rsidP="0062586F">
      <w:pPr>
        <w:spacing w:line="278" w:lineRule="auto"/>
        <w:jc w:val="both"/>
        <w:rPr>
          <w:b/>
        </w:rPr>
      </w:pPr>
    </w:p>
    <w:p w14:paraId="2700A2F1" w14:textId="298BCBE6" w:rsidR="0062586F" w:rsidRPr="0062586F" w:rsidRDefault="0062586F" w:rsidP="0062586F">
      <w:pPr>
        <w:spacing w:line="278" w:lineRule="auto"/>
        <w:jc w:val="both"/>
        <w:rPr>
          <w:b/>
        </w:rPr>
      </w:pPr>
      <w:r w:rsidRPr="0062586F">
        <w:rPr>
          <w:b/>
        </w:rPr>
        <w:t>Kiti reikalavimai</w:t>
      </w:r>
      <w:r>
        <w:rPr>
          <w:b/>
        </w:rPr>
        <w:t>:</w:t>
      </w:r>
    </w:p>
    <w:p w14:paraId="3407ACD0" w14:textId="68541A69" w:rsidR="0062586F" w:rsidRPr="003C66C6" w:rsidRDefault="0062586F" w:rsidP="0062586F">
      <w:pPr>
        <w:spacing w:line="278" w:lineRule="auto"/>
        <w:jc w:val="both"/>
      </w:pPr>
      <w:r w:rsidRPr="003C66C6">
        <w:t xml:space="preserve">Tiekėjas privalo </w:t>
      </w:r>
      <w:r w:rsidR="003418AF">
        <w:t xml:space="preserve">visus </w:t>
      </w:r>
      <w:r w:rsidRPr="003C66C6">
        <w:t xml:space="preserve">darbus atlikti naudodamasis savo įrankiais, mechanizmais ir medžiagomis. Visos </w:t>
      </w:r>
      <w:r>
        <w:t xml:space="preserve">įrengimo </w:t>
      </w:r>
      <w:r w:rsidRPr="003C66C6">
        <w:t>darbų metu naudojamos medžiagos</w:t>
      </w:r>
      <w:r>
        <w:t xml:space="preserve"> </w:t>
      </w:r>
      <w:r w:rsidRPr="003C66C6">
        <w:t>turi būti nauj</w:t>
      </w:r>
      <w:r>
        <w:t>os</w:t>
      </w:r>
      <w:r w:rsidRPr="003C66C6">
        <w:t xml:space="preserve"> ir anksčiau nenaudot</w:t>
      </w:r>
      <w:r>
        <w:t>os</w:t>
      </w:r>
      <w:r w:rsidRPr="003C66C6">
        <w:t>.</w:t>
      </w:r>
    </w:p>
    <w:p w14:paraId="257D7198" w14:textId="77777777" w:rsidR="0062586F" w:rsidRPr="003C66C6" w:rsidRDefault="0062586F" w:rsidP="0062586F">
      <w:pPr>
        <w:spacing w:line="278" w:lineRule="auto"/>
        <w:jc w:val="both"/>
      </w:pPr>
      <w:r w:rsidRPr="003C66C6">
        <w:t>Tiekėjas darbų vykdymo metu privalo nepažeisti šalia darbų zonos esančių komunikacijų, pastato konstrukcijų, apdailos bei patalpose esančių įrenginių. Pažeidęs šiuos objektus, Tiekėjas privalo savo lėšomis pašalinti pažeidimus per Užsakovo nustatytą terminą. Tiekėjas taip pat privalo užtikrinti žmonių saugumą darbų zonoje ir jos aplinkoje bei atsako už bet kokius su darbais susijusius pavojus.</w:t>
      </w:r>
    </w:p>
    <w:p w14:paraId="587B9960" w14:textId="38BB7D87" w:rsidR="0062586F" w:rsidRDefault="0062586F" w:rsidP="0062586F">
      <w:pPr>
        <w:spacing w:line="278" w:lineRule="auto"/>
        <w:jc w:val="both"/>
      </w:pPr>
      <w:r w:rsidRPr="003C66C6">
        <w:t>Tiekėjas privalo į darbų kainą įskaičiuoti visas reikalingas priemones, įrangą, medžiagas, paviršių apsaugos priemones bei kitas su darbų atlikimu susijusias išlaidas.</w:t>
      </w:r>
      <w:r w:rsidR="002F5C5B">
        <w:t xml:space="preserve"> </w:t>
      </w:r>
    </w:p>
    <w:p w14:paraId="18B7EAD1" w14:textId="77777777" w:rsidR="0062586F" w:rsidRPr="003C66C6" w:rsidRDefault="0062586F" w:rsidP="0062586F">
      <w:pPr>
        <w:spacing w:line="278" w:lineRule="auto"/>
        <w:jc w:val="both"/>
      </w:pPr>
      <w:r w:rsidRPr="003C66C6">
        <w:t>Tiekėjas, atlikęs darbus, privalo iki darbų perdavimo</w:t>
      </w:r>
      <w:r>
        <w:t>–</w:t>
      </w:r>
      <w:r w:rsidRPr="003C66C6">
        <w:t>priėmimo akto pasirašymo išgabenti visas statybines atliekas, išvalyti darbo vietą ir perduoti Užsakovui visą reikiamą dokumentaciją.</w:t>
      </w:r>
    </w:p>
    <w:p w14:paraId="62B81FD4" w14:textId="77777777" w:rsidR="0062586F" w:rsidRPr="003C66C6" w:rsidRDefault="0062586F" w:rsidP="0062586F">
      <w:pPr>
        <w:spacing w:line="278" w:lineRule="auto"/>
        <w:jc w:val="both"/>
      </w:pPr>
      <w:r w:rsidRPr="003C66C6">
        <w:t xml:space="preserve">Tiekėjas, gavęs nusiskundimų dėl triukšmo iš </w:t>
      </w:r>
      <w:r>
        <w:t>BĮ „Vilniaus Lakštingalos namai“ darbuotojų</w:t>
      </w:r>
      <w:r w:rsidRPr="003C66C6">
        <w:t xml:space="preserve">, privalo imtis veiksmingų triukšmo mažinimo priemonių. </w:t>
      </w:r>
    </w:p>
    <w:p w14:paraId="4CA9E1EE" w14:textId="77777777" w:rsidR="0062586F" w:rsidRPr="003C66C6" w:rsidRDefault="0062586F" w:rsidP="0062586F">
      <w:pPr>
        <w:spacing w:line="278" w:lineRule="auto"/>
        <w:jc w:val="both"/>
      </w:pPr>
      <w:r w:rsidRPr="003C66C6">
        <w:t>Tiekėjas privalo kiekvieną dieną po darbų išsivalyti ir susitvarkyti darbų zoną.</w:t>
      </w:r>
    </w:p>
    <w:p w14:paraId="2C4D401A" w14:textId="77777777" w:rsidR="0062586F" w:rsidRPr="003C66C6" w:rsidRDefault="0062586F" w:rsidP="0062586F">
      <w:pPr>
        <w:spacing w:line="278" w:lineRule="auto"/>
        <w:jc w:val="both"/>
      </w:pPr>
      <w:r w:rsidRPr="003C66C6">
        <w:t xml:space="preserve">Tiekėjas privalo </w:t>
      </w:r>
      <w:r>
        <w:t>p</w:t>
      </w:r>
      <w:r w:rsidRPr="003C66C6">
        <w:t xml:space="preserve">ateikti visą techninę dokumentaciją, kaip nustatyta Lietuvos Respublikos galiojančiuose norminiuose aktuose (pasai, įrenginio bandymo protokolai, varžų matavimo protokolai, pripažinimo tinkamu naudoti pažyma, techninio patikrinimo ataskaita, eksploatacijos ir vartotojų instrukcijos ir kt. valstybine kalba). Tiekėjas ant neįgaliųjų keltuvo turi pažymėti informaciją apie sumontavimo datą ir Tiekėją, kuris sumontavo įrangą. </w:t>
      </w:r>
    </w:p>
    <w:p w14:paraId="2AA0FAB7" w14:textId="77777777" w:rsidR="0062586F" w:rsidRDefault="0062586F" w:rsidP="0062586F">
      <w:pPr>
        <w:spacing w:line="278" w:lineRule="auto"/>
        <w:jc w:val="both"/>
      </w:pPr>
      <w:r w:rsidRPr="003C66C6">
        <w:t>Darbų vykdymui taikomas Lietuvos Respublikos aplinkos ministro 2011 m. birželio 28 d. įsakymu Nr. D1-508 (aktuali redakcija) patvirtinto Aplinkos apsaugos kriterijų taikymo, vykdant žaliuosius pirkimus, tvarkos aprašo 4.4.4.3 punkte numatytas aplinkosauginis principas – prekei pagaminti, paslaugai teikti ar darbams atlikti naudojama mažiau ar nenaudojama pavojingųjų cheminių medžiagų, neteršiama aplinka ir nekeliamas pavojus sveikatai, t. y. tiekėjas darbų metu:</w:t>
      </w:r>
    </w:p>
    <w:p w14:paraId="7CBF0D14" w14:textId="7031D186" w:rsidR="0062586F" w:rsidRPr="003C66C6" w:rsidRDefault="0062586F" w:rsidP="00C35D9C">
      <w:pPr>
        <w:pStyle w:val="Sraopastraipa"/>
        <w:numPr>
          <w:ilvl w:val="0"/>
          <w:numId w:val="10"/>
        </w:numPr>
        <w:tabs>
          <w:tab w:val="left" w:pos="426"/>
        </w:tabs>
        <w:spacing w:line="278" w:lineRule="auto"/>
        <w:ind w:left="425" w:hanging="425"/>
        <w:jc w:val="both"/>
      </w:pPr>
      <w:r w:rsidRPr="003C66C6">
        <w:t>transportuojant visas darbų vietoje susidarančias statybines atliekas iš darbų vietos naudoja daugkartinius konteinerius, išskyrus kai susidarančios atliekos turi būti perdirbamos ar vežamos į MBA;</w:t>
      </w:r>
    </w:p>
    <w:p w14:paraId="4865A6DC" w14:textId="2768189D" w:rsidR="0062586F" w:rsidRPr="003C66C6" w:rsidRDefault="0062586F" w:rsidP="00C35D9C">
      <w:pPr>
        <w:pStyle w:val="Sraopastraipa"/>
        <w:numPr>
          <w:ilvl w:val="0"/>
          <w:numId w:val="10"/>
        </w:numPr>
        <w:tabs>
          <w:tab w:val="left" w:pos="426"/>
        </w:tabs>
        <w:spacing w:after="0" w:line="278" w:lineRule="auto"/>
        <w:ind w:left="425" w:hanging="425"/>
        <w:jc w:val="both"/>
      </w:pPr>
      <w:r w:rsidRPr="003C66C6">
        <w:t>mažina statybinių medžiagų ir gaminių pakuočių atliekas (visos pakuotės grąžinamos tiekėjui pakartotiniam naudojimui, perdirbimui ar kitokiam naudojimui);</w:t>
      </w:r>
    </w:p>
    <w:p w14:paraId="7EBF23A7" w14:textId="77777777" w:rsidR="0062586F" w:rsidRDefault="0062586F" w:rsidP="00C35D9C">
      <w:pPr>
        <w:numPr>
          <w:ilvl w:val="0"/>
          <w:numId w:val="10"/>
        </w:numPr>
        <w:tabs>
          <w:tab w:val="left" w:pos="426"/>
        </w:tabs>
        <w:spacing w:after="0" w:line="278" w:lineRule="auto"/>
        <w:ind w:left="425" w:hanging="425"/>
        <w:jc w:val="both"/>
      </w:pPr>
      <w:r w:rsidRPr="003C66C6">
        <w:t>pakartotinai naudoja, perdirba ar kitaip naudoja darbų atlikimo procese susidariusias atliekas.</w:t>
      </w:r>
    </w:p>
    <w:p w14:paraId="3544DF97" w14:textId="15C7BEEF" w:rsidR="00C35D9C" w:rsidRPr="00071B22" w:rsidRDefault="00C35D9C" w:rsidP="00C35D9C">
      <w:pPr>
        <w:numPr>
          <w:ilvl w:val="0"/>
          <w:numId w:val="10"/>
        </w:numPr>
        <w:tabs>
          <w:tab w:val="left" w:pos="426"/>
        </w:tabs>
        <w:spacing w:after="0" w:line="278" w:lineRule="auto"/>
        <w:ind w:left="425" w:hanging="425"/>
        <w:jc w:val="both"/>
      </w:pPr>
      <w:r w:rsidRPr="00C35D9C">
        <w:t>Visos statybinės atliekos turi būti perduodamos įmonėms, turinčioms teisę tvarkyti tokias atliekas pagal sutartis dėl jų naudojimo ir šalinimo vadovaujantis atliekų tvarkymo įstatymais ir taisyklėmis</w:t>
      </w:r>
      <w:r w:rsidR="007D5FBF">
        <w:t>.</w:t>
      </w:r>
    </w:p>
    <w:p w14:paraId="29D600EA" w14:textId="63341E8E" w:rsidR="0062586F" w:rsidRPr="003C66C6" w:rsidRDefault="0062586F" w:rsidP="0062586F">
      <w:pPr>
        <w:tabs>
          <w:tab w:val="left" w:pos="426"/>
        </w:tabs>
        <w:spacing w:after="0" w:line="360" w:lineRule="auto"/>
        <w:jc w:val="center"/>
        <w:rPr>
          <w:lang w:val="en-US"/>
        </w:rPr>
      </w:pPr>
      <w:r>
        <w:t>___________________</w:t>
      </w:r>
    </w:p>
    <w:sectPr w:rsidR="0062586F" w:rsidRPr="003C66C6" w:rsidSect="0062586F">
      <w:headerReference w:type="default" r:id="rId7"/>
      <w:pgSz w:w="11906" w:h="16838"/>
      <w:pgMar w:top="1135" w:right="567" w:bottom="96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AC27" w14:textId="77777777" w:rsidR="00E6353D" w:rsidRDefault="00E6353D" w:rsidP="008372DE">
      <w:pPr>
        <w:spacing w:after="0" w:line="240" w:lineRule="auto"/>
      </w:pPr>
      <w:r>
        <w:separator/>
      </w:r>
    </w:p>
  </w:endnote>
  <w:endnote w:type="continuationSeparator" w:id="0">
    <w:p w14:paraId="478C628E" w14:textId="77777777" w:rsidR="00E6353D" w:rsidRDefault="00E6353D" w:rsidP="00837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CA40" w14:textId="77777777" w:rsidR="00E6353D" w:rsidRDefault="00E6353D" w:rsidP="008372DE">
      <w:pPr>
        <w:spacing w:after="0" w:line="240" w:lineRule="auto"/>
      </w:pPr>
      <w:r>
        <w:separator/>
      </w:r>
    </w:p>
  </w:footnote>
  <w:footnote w:type="continuationSeparator" w:id="0">
    <w:p w14:paraId="41B82F6D" w14:textId="77777777" w:rsidR="00E6353D" w:rsidRDefault="00E6353D" w:rsidP="00837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658009"/>
      <w:docPartObj>
        <w:docPartGallery w:val="Page Numbers (Top of Page)"/>
        <w:docPartUnique/>
      </w:docPartObj>
    </w:sdtPr>
    <w:sdtContent>
      <w:p w14:paraId="3749EA1F" w14:textId="28354C54" w:rsidR="0062586F" w:rsidRDefault="0062586F">
        <w:pPr>
          <w:pStyle w:val="Antrats"/>
          <w:jc w:val="center"/>
        </w:pPr>
        <w:r>
          <w:fldChar w:fldCharType="begin"/>
        </w:r>
        <w:r>
          <w:instrText>PAGE   \* MERGEFORMAT</w:instrText>
        </w:r>
        <w:r>
          <w:fldChar w:fldCharType="separate"/>
        </w:r>
        <w:r>
          <w:t>2</w:t>
        </w:r>
        <w:r>
          <w:fldChar w:fldCharType="end"/>
        </w:r>
      </w:p>
    </w:sdtContent>
  </w:sdt>
  <w:p w14:paraId="1E4EF623" w14:textId="77777777" w:rsidR="0062586F" w:rsidRDefault="006258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297A"/>
    <w:multiLevelType w:val="hybridMultilevel"/>
    <w:tmpl w:val="BEC6568E"/>
    <w:lvl w:ilvl="0" w:tplc="8A6274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77D5E79"/>
    <w:multiLevelType w:val="hybridMultilevel"/>
    <w:tmpl w:val="FC583E98"/>
    <w:lvl w:ilvl="0" w:tplc="4CC8E5C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AA358E"/>
    <w:multiLevelType w:val="hybridMultilevel"/>
    <w:tmpl w:val="B1326D02"/>
    <w:lvl w:ilvl="0" w:tplc="58F642F2">
      <w:start w:val="5"/>
      <w:numFmt w:val="bullet"/>
      <w:lvlText w:val="-"/>
      <w:lvlJc w:val="left"/>
      <w:pPr>
        <w:ind w:left="758" w:hanging="360"/>
      </w:pPr>
      <w:rPr>
        <w:rFonts w:ascii="Times New Roman" w:eastAsia="Times New Roman" w:hAnsi="Times New Roman" w:cs="Times New Roman" w:hint="default"/>
      </w:rPr>
    </w:lvl>
    <w:lvl w:ilvl="1" w:tplc="04270003">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 w15:restartNumberingAfterBreak="0">
    <w:nsid w:val="298D434F"/>
    <w:multiLevelType w:val="hybridMultilevel"/>
    <w:tmpl w:val="D3E47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F25369"/>
    <w:multiLevelType w:val="hybridMultilevel"/>
    <w:tmpl w:val="6B52C4BE"/>
    <w:lvl w:ilvl="0" w:tplc="58F642F2">
      <w:start w:val="5"/>
      <w:numFmt w:val="bullet"/>
      <w:lvlText w:val="-"/>
      <w:lvlJc w:val="left"/>
      <w:pPr>
        <w:ind w:left="720" w:hanging="360"/>
      </w:pPr>
      <w:rPr>
        <w:rFonts w:ascii="Times New Roman" w:eastAsia="Times New Roman" w:hAnsi="Times New Roman" w:cs="Times New Roman" w:hint="default"/>
      </w:rPr>
    </w:lvl>
    <w:lvl w:ilvl="1" w:tplc="664A9378">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8C3B65"/>
    <w:multiLevelType w:val="hybridMultilevel"/>
    <w:tmpl w:val="2E90D602"/>
    <w:lvl w:ilvl="0" w:tplc="C1F8B952">
      <w:start w:val="2"/>
      <w:numFmt w:val="bullet"/>
      <w:lvlText w:val="-"/>
      <w:lvlJc w:val="left"/>
      <w:pPr>
        <w:ind w:left="1271" w:hanging="360"/>
      </w:pPr>
      <w:rPr>
        <w:rFonts w:ascii="Times New Roman" w:eastAsiaTheme="minorHAnsi"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abstractNum w:abstractNumId="6" w15:restartNumberingAfterBreak="0">
    <w:nsid w:val="347E0814"/>
    <w:multiLevelType w:val="hybridMultilevel"/>
    <w:tmpl w:val="ABB012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8B4259"/>
    <w:multiLevelType w:val="hybridMultilevel"/>
    <w:tmpl w:val="72745086"/>
    <w:lvl w:ilvl="0" w:tplc="FFFFFFFF">
      <w:start w:val="5"/>
      <w:numFmt w:val="bullet"/>
      <w:lvlText w:val="-"/>
      <w:lvlJc w:val="left"/>
      <w:pPr>
        <w:ind w:left="758" w:hanging="360"/>
      </w:pPr>
      <w:rPr>
        <w:rFonts w:ascii="Times New Roman" w:eastAsia="Times New Roman" w:hAnsi="Times New Roman" w:cs="Times New Roman" w:hint="default"/>
      </w:rPr>
    </w:lvl>
    <w:lvl w:ilvl="1" w:tplc="58F642F2">
      <w:start w:val="5"/>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98" w:hanging="360"/>
      </w:pPr>
      <w:rPr>
        <w:rFonts w:ascii="Wingdings" w:hAnsi="Wingdings" w:hint="default"/>
      </w:rPr>
    </w:lvl>
    <w:lvl w:ilvl="3" w:tplc="FFFFFFFF" w:tentative="1">
      <w:start w:val="1"/>
      <w:numFmt w:val="bullet"/>
      <w:lvlText w:val=""/>
      <w:lvlJc w:val="left"/>
      <w:pPr>
        <w:ind w:left="2918" w:hanging="360"/>
      </w:pPr>
      <w:rPr>
        <w:rFonts w:ascii="Symbol" w:hAnsi="Symbol" w:hint="default"/>
      </w:rPr>
    </w:lvl>
    <w:lvl w:ilvl="4" w:tplc="FFFFFFFF" w:tentative="1">
      <w:start w:val="1"/>
      <w:numFmt w:val="bullet"/>
      <w:lvlText w:val="o"/>
      <w:lvlJc w:val="left"/>
      <w:pPr>
        <w:ind w:left="3638" w:hanging="360"/>
      </w:pPr>
      <w:rPr>
        <w:rFonts w:ascii="Courier New" w:hAnsi="Courier New" w:cs="Courier New" w:hint="default"/>
      </w:rPr>
    </w:lvl>
    <w:lvl w:ilvl="5" w:tplc="FFFFFFFF" w:tentative="1">
      <w:start w:val="1"/>
      <w:numFmt w:val="bullet"/>
      <w:lvlText w:val=""/>
      <w:lvlJc w:val="left"/>
      <w:pPr>
        <w:ind w:left="4358" w:hanging="360"/>
      </w:pPr>
      <w:rPr>
        <w:rFonts w:ascii="Wingdings" w:hAnsi="Wingdings" w:hint="default"/>
      </w:rPr>
    </w:lvl>
    <w:lvl w:ilvl="6" w:tplc="FFFFFFFF" w:tentative="1">
      <w:start w:val="1"/>
      <w:numFmt w:val="bullet"/>
      <w:lvlText w:val=""/>
      <w:lvlJc w:val="left"/>
      <w:pPr>
        <w:ind w:left="5078" w:hanging="360"/>
      </w:pPr>
      <w:rPr>
        <w:rFonts w:ascii="Symbol" w:hAnsi="Symbol" w:hint="default"/>
      </w:rPr>
    </w:lvl>
    <w:lvl w:ilvl="7" w:tplc="FFFFFFFF" w:tentative="1">
      <w:start w:val="1"/>
      <w:numFmt w:val="bullet"/>
      <w:lvlText w:val="o"/>
      <w:lvlJc w:val="left"/>
      <w:pPr>
        <w:ind w:left="5798" w:hanging="360"/>
      </w:pPr>
      <w:rPr>
        <w:rFonts w:ascii="Courier New" w:hAnsi="Courier New" w:cs="Courier New" w:hint="default"/>
      </w:rPr>
    </w:lvl>
    <w:lvl w:ilvl="8" w:tplc="FFFFFFFF" w:tentative="1">
      <w:start w:val="1"/>
      <w:numFmt w:val="bullet"/>
      <w:lvlText w:val=""/>
      <w:lvlJc w:val="left"/>
      <w:pPr>
        <w:ind w:left="6518" w:hanging="360"/>
      </w:pPr>
      <w:rPr>
        <w:rFonts w:ascii="Wingdings" w:hAnsi="Wingdings" w:hint="default"/>
      </w:rPr>
    </w:lvl>
  </w:abstractNum>
  <w:abstractNum w:abstractNumId="8" w15:restartNumberingAfterBreak="0">
    <w:nsid w:val="6CCB728A"/>
    <w:multiLevelType w:val="hybridMultilevel"/>
    <w:tmpl w:val="5E3A3FA6"/>
    <w:lvl w:ilvl="0" w:tplc="DAC40C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E3B695C"/>
    <w:multiLevelType w:val="hybridMultilevel"/>
    <w:tmpl w:val="E5B2748A"/>
    <w:lvl w:ilvl="0" w:tplc="3C0C070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308168382">
    <w:abstractNumId w:val="8"/>
  </w:num>
  <w:num w:numId="2" w16cid:durableId="1405487292">
    <w:abstractNumId w:val="0"/>
  </w:num>
  <w:num w:numId="3" w16cid:durableId="177936113">
    <w:abstractNumId w:val="5"/>
  </w:num>
  <w:num w:numId="4" w16cid:durableId="1713381721">
    <w:abstractNumId w:val="9"/>
  </w:num>
  <w:num w:numId="5" w16cid:durableId="1721706529">
    <w:abstractNumId w:val="4"/>
  </w:num>
  <w:num w:numId="6" w16cid:durableId="1477455865">
    <w:abstractNumId w:val="2"/>
  </w:num>
  <w:num w:numId="7" w16cid:durableId="430514846">
    <w:abstractNumId w:val="7"/>
  </w:num>
  <w:num w:numId="8" w16cid:durableId="1388190775">
    <w:abstractNumId w:val="3"/>
  </w:num>
  <w:num w:numId="9" w16cid:durableId="486169646">
    <w:abstractNumId w:val="1"/>
  </w:num>
  <w:num w:numId="10" w16cid:durableId="301546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08"/>
    <w:rsid w:val="000031F9"/>
    <w:rsid w:val="00012539"/>
    <w:rsid w:val="000269AC"/>
    <w:rsid w:val="00027229"/>
    <w:rsid w:val="0003449E"/>
    <w:rsid w:val="00044C7E"/>
    <w:rsid w:val="000521A2"/>
    <w:rsid w:val="00065518"/>
    <w:rsid w:val="00071B22"/>
    <w:rsid w:val="00081998"/>
    <w:rsid w:val="000907E7"/>
    <w:rsid w:val="00093EC9"/>
    <w:rsid w:val="000A7294"/>
    <w:rsid w:val="000B6748"/>
    <w:rsid w:val="000C2B19"/>
    <w:rsid w:val="000F31D4"/>
    <w:rsid w:val="001055E9"/>
    <w:rsid w:val="00106BDF"/>
    <w:rsid w:val="00110FDF"/>
    <w:rsid w:val="00111982"/>
    <w:rsid w:val="00150F03"/>
    <w:rsid w:val="00162E7C"/>
    <w:rsid w:val="00166C50"/>
    <w:rsid w:val="00171763"/>
    <w:rsid w:val="001853B2"/>
    <w:rsid w:val="00194EC4"/>
    <w:rsid w:val="00195109"/>
    <w:rsid w:val="001A449A"/>
    <w:rsid w:val="001A5A09"/>
    <w:rsid w:val="001A7503"/>
    <w:rsid w:val="001A7EA3"/>
    <w:rsid w:val="001A7EE5"/>
    <w:rsid w:val="001B454E"/>
    <w:rsid w:val="001B739F"/>
    <w:rsid w:val="001C13C7"/>
    <w:rsid w:val="001C3E41"/>
    <w:rsid w:val="001D3697"/>
    <w:rsid w:val="001D461B"/>
    <w:rsid w:val="001E62CB"/>
    <w:rsid w:val="002033A9"/>
    <w:rsid w:val="0020342F"/>
    <w:rsid w:val="00216C7D"/>
    <w:rsid w:val="00223BAA"/>
    <w:rsid w:val="002354D0"/>
    <w:rsid w:val="00241651"/>
    <w:rsid w:val="00257C6A"/>
    <w:rsid w:val="00260BFE"/>
    <w:rsid w:val="00277BCD"/>
    <w:rsid w:val="002A3C78"/>
    <w:rsid w:val="002B6486"/>
    <w:rsid w:val="002C466E"/>
    <w:rsid w:val="002F5C5B"/>
    <w:rsid w:val="002F5C81"/>
    <w:rsid w:val="003211CC"/>
    <w:rsid w:val="00325508"/>
    <w:rsid w:val="0032666B"/>
    <w:rsid w:val="003418AF"/>
    <w:rsid w:val="0035446F"/>
    <w:rsid w:val="00356BF7"/>
    <w:rsid w:val="00364877"/>
    <w:rsid w:val="0037201F"/>
    <w:rsid w:val="0037624A"/>
    <w:rsid w:val="0037698C"/>
    <w:rsid w:val="00394991"/>
    <w:rsid w:val="003A58A1"/>
    <w:rsid w:val="003A7555"/>
    <w:rsid w:val="003B67E5"/>
    <w:rsid w:val="003C0A06"/>
    <w:rsid w:val="003C469C"/>
    <w:rsid w:val="003E7E92"/>
    <w:rsid w:val="003F4CF2"/>
    <w:rsid w:val="00421939"/>
    <w:rsid w:val="00422CC8"/>
    <w:rsid w:val="004473E0"/>
    <w:rsid w:val="00447666"/>
    <w:rsid w:val="004548F0"/>
    <w:rsid w:val="004642F0"/>
    <w:rsid w:val="00466258"/>
    <w:rsid w:val="004852BE"/>
    <w:rsid w:val="00496184"/>
    <w:rsid w:val="004A380A"/>
    <w:rsid w:val="004A3BB5"/>
    <w:rsid w:val="004B3F05"/>
    <w:rsid w:val="004B7A74"/>
    <w:rsid w:val="004C7838"/>
    <w:rsid w:val="004E05BF"/>
    <w:rsid w:val="004E283E"/>
    <w:rsid w:val="004E7841"/>
    <w:rsid w:val="00513295"/>
    <w:rsid w:val="00533C71"/>
    <w:rsid w:val="005444AD"/>
    <w:rsid w:val="00577CC8"/>
    <w:rsid w:val="005822BF"/>
    <w:rsid w:val="00596A51"/>
    <w:rsid w:val="005A08C1"/>
    <w:rsid w:val="005B49B7"/>
    <w:rsid w:val="005C2AC8"/>
    <w:rsid w:val="005C2CB2"/>
    <w:rsid w:val="005C475E"/>
    <w:rsid w:val="005C554A"/>
    <w:rsid w:val="005D3677"/>
    <w:rsid w:val="005E2C22"/>
    <w:rsid w:val="005E462C"/>
    <w:rsid w:val="005E6CB1"/>
    <w:rsid w:val="00602EE4"/>
    <w:rsid w:val="00611F51"/>
    <w:rsid w:val="0062586F"/>
    <w:rsid w:val="006570D5"/>
    <w:rsid w:val="006634E0"/>
    <w:rsid w:val="00672B4E"/>
    <w:rsid w:val="00677097"/>
    <w:rsid w:val="00682188"/>
    <w:rsid w:val="00686704"/>
    <w:rsid w:val="00692556"/>
    <w:rsid w:val="006957C3"/>
    <w:rsid w:val="006C062D"/>
    <w:rsid w:val="006D236B"/>
    <w:rsid w:val="006E61AC"/>
    <w:rsid w:val="007019F9"/>
    <w:rsid w:val="00711501"/>
    <w:rsid w:val="007159FF"/>
    <w:rsid w:val="0072306B"/>
    <w:rsid w:val="0072659D"/>
    <w:rsid w:val="00751675"/>
    <w:rsid w:val="00752555"/>
    <w:rsid w:val="007B6FEC"/>
    <w:rsid w:val="007C1289"/>
    <w:rsid w:val="007C1FF0"/>
    <w:rsid w:val="007D5FBF"/>
    <w:rsid w:val="007D72C2"/>
    <w:rsid w:val="008112AF"/>
    <w:rsid w:val="00820BAD"/>
    <w:rsid w:val="00835A9A"/>
    <w:rsid w:val="008372DE"/>
    <w:rsid w:val="00841199"/>
    <w:rsid w:val="00844EDF"/>
    <w:rsid w:val="00853E52"/>
    <w:rsid w:val="0087075A"/>
    <w:rsid w:val="008825A8"/>
    <w:rsid w:val="008B53DB"/>
    <w:rsid w:val="008C30D7"/>
    <w:rsid w:val="008C7708"/>
    <w:rsid w:val="008E7F98"/>
    <w:rsid w:val="00915541"/>
    <w:rsid w:val="009224D4"/>
    <w:rsid w:val="0093126B"/>
    <w:rsid w:val="00931C95"/>
    <w:rsid w:val="00941E0A"/>
    <w:rsid w:val="009439CB"/>
    <w:rsid w:val="00961753"/>
    <w:rsid w:val="00962262"/>
    <w:rsid w:val="0096748E"/>
    <w:rsid w:val="00975567"/>
    <w:rsid w:val="0099640F"/>
    <w:rsid w:val="0099707F"/>
    <w:rsid w:val="009B2167"/>
    <w:rsid w:val="009B4422"/>
    <w:rsid w:val="009F6C80"/>
    <w:rsid w:val="00A0476C"/>
    <w:rsid w:val="00A57F2B"/>
    <w:rsid w:val="00A723ED"/>
    <w:rsid w:val="00A81741"/>
    <w:rsid w:val="00A83291"/>
    <w:rsid w:val="00A922EB"/>
    <w:rsid w:val="00A966B3"/>
    <w:rsid w:val="00AA06EE"/>
    <w:rsid w:val="00AB7213"/>
    <w:rsid w:val="00AE7C22"/>
    <w:rsid w:val="00AF0C6F"/>
    <w:rsid w:val="00AF7C18"/>
    <w:rsid w:val="00B06FE2"/>
    <w:rsid w:val="00B21346"/>
    <w:rsid w:val="00B24189"/>
    <w:rsid w:val="00B4105A"/>
    <w:rsid w:val="00B42208"/>
    <w:rsid w:val="00B4750C"/>
    <w:rsid w:val="00B519DE"/>
    <w:rsid w:val="00B67895"/>
    <w:rsid w:val="00BA03A9"/>
    <w:rsid w:val="00BB12CB"/>
    <w:rsid w:val="00BB1782"/>
    <w:rsid w:val="00BB20DF"/>
    <w:rsid w:val="00BB5908"/>
    <w:rsid w:val="00BC53AF"/>
    <w:rsid w:val="00BC5D44"/>
    <w:rsid w:val="00BE66BA"/>
    <w:rsid w:val="00C00CEB"/>
    <w:rsid w:val="00C12230"/>
    <w:rsid w:val="00C32DF3"/>
    <w:rsid w:val="00C35D9C"/>
    <w:rsid w:val="00C448CC"/>
    <w:rsid w:val="00C5430C"/>
    <w:rsid w:val="00C62013"/>
    <w:rsid w:val="00C65A61"/>
    <w:rsid w:val="00C75246"/>
    <w:rsid w:val="00C83945"/>
    <w:rsid w:val="00C873F7"/>
    <w:rsid w:val="00C95345"/>
    <w:rsid w:val="00CA074C"/>
    <w:rsid w:val="00CB282F"/>
    <w:rsid w:val="00CB2839"/>
    <w:rsid w:val="00CD7AAC"/>
    <w:rsid w:val="00CF27E4"/>
    <w:rsid w:val="00CF3C11"/>
    <w:rsid w:val="00D37C91"/>
    <w:rsid w:val="00D6048B"/>
    <w:rsid w:val="00D60BE5"/>
    <w:rsid w:val="00D97524"/>
    <w:rsid w:val="00DC7BEB"/>
    <w:rsid w:val="00DE0BFF"/>
    <w:rsid w:val="00DE1AFC"/>
    <w:rsid w:val="00DE42D9"/>
    <w:rsid w:val="00E05FFA"/>
    <w:rsid w:val="00E12309"/>
    <w:rsid w:val="00E369C8"/>
    <w:rsid w:val="00E41CD7"/>
    <w:rsid w:val="00E52BC0"/>
    <w:rsid w:val="00E568BA"/>
    <w:rsid w:val="00E57E2E"/>
    <w:rsid w:val="00E6353D"/>
    <w:rsid w:val="00E660E7"/>
    <w:rsid w:val="00E72CE4"/>
    <w:rsid w:val="00E75576"/>
    <w:rsid w:val="00E7720F"/>
    <w:rsid w:val="00E827D1"/>
    <w:rsid w:val="00EA217A"/>
    <w:rsid w:val="00EB16AE"/>
    <w:rsid w:val="00EE2DBE"/>
    <w:rsid w:val="00EE4EA1"/>
    <w:rsid w:val="00EE55D8"/>
    <w:rsid w:val="00F12D5E"/>
    <w:rsid w:val="00F1713B"/>
    <w:rsid w:val="00F358EF"/>
    <w:rsid w:val="00F37251"/>
    <w:rsid w:val="00F602DD"/>
    <w:rsid w:val="00F713D2"/>
    <w:rsid w:val="00F71D80"/>
    <w:rsid w:val="00F74729"/>
    <w:rsid w:val="00F753DF"/>
    <w:rsid w:val="00F80B2D"/>
    <w:rsid w:val="00F960CC"/>
    <w:rsid w:val="00F961CE"/>
    <w:rsid w:val="00FB64D3"/>
    <w:rsid w:val="00FC2BF0"/>
    <w:rsid w:val="00FD4E68"/>
    <w:rsid w:val="00FD7E39"/>
    <w:rsid w:val="00FE4AF0"/>
    <w:rsid w:val="00FE5A17"/>
    <w:rsid w:val="00FE5C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946E"/>
  <w15:chartTrackingRefBased/>
  <w15:docId w15:val="{BADBD16D-23C8-4073-9D77-87416A39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908"/>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5541"/>
    <w:pPr>
      <w:ind w:left="720"/>
      <w:contextualSpacing/>
    </w:pPr>
  </w:style>
  <w:style w:type="paragraph" w:styleId="Antrats">
    <w:name w:val="header"/>
    <w:basedOn w:val="prastasis"/>
    <w:link w:val="AntratsDiagrama"/>
    <w:uiPriority w:val="99"/>
    <w:unhideWhenUsed/>
    <w:rsid w:val="008372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72DE"/>
    <w:rPr>
      <w:rFonts w:ascii="Times New Roman" w:hAnsi="Times New Roman"/>
      <w:kern w:val="0"/>
      <w:sz w:val="24"/>
      <w14:ligatures w14:val="none"/>
    </w:rPr>
  </w:style>
  <w:style w:type="paragraph" w:styleId="Porat">
    <w:name w:val="footer"/>
    <w:basedOn w:val="prastasis"/>
    <w:link w:val="PoratDiagrama"/>
    <w:uiPriority w:val="99"/>
    <w:unhideWhenUsed/>
    <w:rsid w:val="008372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72DE"/>
    <w:rPr>
      <w:rFonts w:ascii="Times New Roman" w:hAnsi="Times New Roman"/>
      <w:kern w:val="0"/>
      <w:sz w:val="24"/>
      <w14:ligatures w14:val="none"/>
    </w:rPr>
  </w:style>
  <w:style w:type="table" w:styleId="Lentelstinklelis">
    <w:name w:val="Table Grid"/>
    <w:basedOn w:val="prastojilentel"/>
    <w:uiPriority w:val="39"/>
    <w:rsid w:val="001C1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82846">
      <w:bodyDiv w:val="1"/>
      <w:marLeft w:val="0"/>
      <w:marRight w:val="0"/>
      <w:marTop w:val="0"/>
      <w:marBottom w:val="0"/>
      <w:divBdr>
        <w:top w:val="none" w:sz="0" w:space="0" w:color="auto"/>
        <w:left w:val="none" w:sz="0" w:space="0" w:color="auto"/>
        <w:bottom w:val="none" w:sz="0" w:space="0" w:color="auto"/>
        <w:right w:val="none" w:sz="0" w:space="0" w:color="auto"/>
      </w:divBdr>
    </w:div>
    <w:div w:id="93406935">
      <w:bodyDiv w:val="1"/>
      <w:marLeft w:val="0"/>
      <w:marRight w:val="0"/>
      <w:marTop w:val="0"/>
      <w:marBottom w:val="0"/>
      <w:divBdr>
        <w:top w:val="none" w:sz="0" w:space="0" w:color="auto"/>
        <w:left w:val="none" w:sz="0" w:space="0" w:color="auto"/>
        <w:bottom w:val="none" w:sz="0" w:space="0" w:color="auto"/>
        <w:right w:val="none" w:sz="0" w:space="0" w:color="auto"/>
      </w:divBdr>
    </w:div>
    <w:div w:id="406390108">
      <w:bodyDiv w:val="1"/>
      <w:marLeft w:val="0"/>
      <w:marRight w:val="0"/>
      <w:marTop w:val="0"/>
      <w:marBottom w:val="0"/>
      <w:divBdr>
        <w:top w:val="none" w:sz="0" w:space="0" w:color="auto"/>
        <w:left w:val="none" w:sz="0" w:space="0" w:color="auto"/>
        <w:bottom w:val="none" w:sz="0" w:space="0" w:color="auto"/>
        <w:right w:val="none" w:sz="0" w:space="0" w:color="auto"/>
      </w:divBdr>
    </w:div>
    <w:div w:id="475530448">
      <w:bodyDiv w:val="1"/>
      <w:marLeft w:val="0"/>
      <w:marRight w:val="0"/>
      <w:marTop w:val="0"/>
      <w:marBottom w:val="0"/>
      <w:divBdr>
        <w:top w:val="none" w:sz="0" w:space="0" w:color="auto"/>
        <w:left w:val="none" w:sz="0" w:space="0" w:color="auto"/>
        <w:bottom w:val="none" w:sz="0" w:space="0" w:color="auto"/>
        <w:right w:val="none" w:sz="0" w:space="0" w:color="auto"/>
      </w:divBdr>
    </w:div>
    <w:div w:id="569121311">
      <w:bodyDiv w:val="1"/>
      <w:marLeft w:val="0"/>
      <w:marRight w:val="0"/>
      <w:marTop w:val="0"/>
      <w:marBottom w:val="0"/>
      <w:divBdr>
        <w:top w:val="none" w:sz="0" w:space="0" w:color="auto"/>
        <w:left w:val="none" w:sz="0" w:space="0" w:color="auto"/>
        <w:bottom w:val="none" w:sz="0" w:space="0" w:color="auto"/>
        <w:right w:val="none" w:sz="0" w:space="0" w:color="auto"/>
      </w:divBdr>
    </w:div>
    <w:div w:id="653262952">
      <w:bodyDiv w:val="1"/>
      <w:marLeft w:val="0"/>
      <w:marRight w:val="0"/>
      <w:marTop w:val="0"/>
      <w:marBottom w:val="0"/>
      <w:divBdr>
        <w:top w:val="none" w:sz="0" w:space="0" w:color="auto"/>
        <w:left w:val="none" w:sz="0" w:space="0" w:color="auto"/>
        <w:bottom w:val="none" w:sz="0" w:space="0" w:color="auto"/>
        <w:right w:val="none" w:sz="0" w:space="0" w:color="auto"/>
      </w:divBdr>
    </w:div>
    <w:div w:id="896892661">
      <w:bodyDiv w:val="1"/>
      <w:marLeft w:val="0"/>
      <w:marRight w:val="0"/>
      <w:marTop w:val="0"/>
      <w:marBottom w:val="0"/>
      <w:divBdr>
        <w:top w:val="none" w:sz="0" w:space="0" w:color="auto"/>
        <w:left w:val="none" w:sz="0" w:space="0" w:color="auto"/>
        <w:bottom w:val="none" w:sz="0" w:space="0" w:color="auto"/>
        <w:right w:val="none" w:sz="0" w:space="0" w:color="auto"/>
      </w:divBdr>
    </w:div>
    <w:div w:id="904871944">
      <w:bodyDiv w:val="1"/>
      <w:marLeft w:val="0"/>
      <w:marRight w:val="0"/>
      <w:marTop w:val="0"/>
      <w:marBottom w:val="0"/>
      <w:divBdr>
        <w:top w:val="none" w:sz="0" w:space="0" w:color="auto"/>
        <w:left w:val="none" w:sz="0" w:space="0" w:color="auto"/>
        <w:bottom w:val="none" w:sz="0" w:space="0" w:color="auto"/>
        <w:right w:val="none" w:sz="0" w:space="0" w:color="auto"/>
      </w:divBdr>
    </w:div>
    <w:div w:id="1012027172">
      <w:bodyDiv w:val="1"/>
      <w:marLeft w:val="0"/>
      <w:marRight w:val="0"/>
      <w:marTop w:val="0"/>
      <w:marBottom w:val="0"/>
      <w:divBdr>
        <w:top w:val="none" w:sz="0" w:space="0" w:color="auto"/>
        <w:left w:val="none" w:sz="0" w:space="0" w:color="auto"/>
        <w:bottom w:val="none" w:sz="0" w:space="0" w:color="auto"/>
        <w:right w:val="none" w:sz="0" w:space="0" w:color="auto"/>
      </w:divBdr>
    </w:div>
    <w:div w:id="1289358498">
      <w:bodyDiv w:val="1"/>
      <w:marLeft w:val="0"/>
      <w:marRight w:val="0"/>
      <w:marTop w:val="0"/>
      <w:marBottom w:val="0"/>
      <w:divBdr>
        <w:top w:val="none" w:sz="0" w:space="0" w:color="auto"/>
        <w:left w:val="none" w:sz="0" w:space="0" w:color="auto"/>
        <w:bottom w:val="none" w:sz="0" w:space="0" w:color="auto"/>
        <w:right w:val="none" w:sz="0" w:space="0" w:color="auto"/>
      </w:divBdr>
    </w:div>
    <w:div w:id="1682009095">
      <w:bodyDiv w:val="1"/>
      <w:marLeft w:val="0"/>
      <w:marRight w:val="0"/>
      <w:marTop w:val="0"/>
      <w:marBottom w:val="0"/>
      <w:divBdr>
        <w:top w:val="none" w:sz="0" w:space="0" w:color="auto"/>
        <w:left w:val="none" w:sz="0" w:space="0" w:color="auto"/>
        <w:bottom w:val="none" w:sz="0" w:space="0" w:color="auto"/>
        <w:right w:val="none" w:sz="0" w:space="0" w:color="auto"/>
      </w:divBdr>
    </w:div>
    <w:div w:id="1730807953">
      <w:bodyDiv w:val="1"/>
      <w:marLeft w:val="0"/>
      <w:marRight w:val="0"/>
      <w:marTop w:val="0"/>
      <w:marBottom w:val="0"/>
      <w:divBdr>
        <w:top w:val="none" w:sz="0" w:space="0" w:color="auto"/>
        <w:left w:val="none" w:sz="0" w:space="0" w:color="auto"/>
        <w:bottom w:val="none" w:sz="0" w:space="0" w:color="auto"/>
        <w:right w:val="none" w:sz="0" w:space="0" w:color="auto"/>
      </w:divBdr>
    </w:div>
    <w:div w:id="1803618848">
      <w:bodyDiv w:val="1"/>
      <w:marLeft w:val="0"/>
      <w:marRight w:val="0"/>
      <w:marTop w:val="0"/>
      <w:marBottom w:val="0"/>
      <w:divBdr>
        <w:top w:val="none" w:sz="0" w:space="0" w:color="auto"/>
        <w:left w:val="none" w:sz="0" w:space="0" w:color="auto"/>
        <w:bottom w:val="none" w:sz="0" w:space="0" w:color="auto"/>
        <w:right w:val="none" w:sz="0" w:space="0" w:color="auto"/>
      </w:divBdr>
    </w:div>
    <w:div w:id="1911842293">
      <w:bodyDiv w:val="1"/>
      <w:marLeft w:val="0"/>
      <w:marRight w:val="0"/>
      <w:marTop w:val="0"/>
      <w:marBottom w:val="0"/>
      <w:divBdr>
        <w:top w:val="none" w:sz="0" w:space="0" w:color="auto"/>
        <w:left w:val="none" w:sz="0" w:space="0" w:color="auto"/>
        <w:bottom w:val="none" w:sz="0" w:space="0" w:color="auto"/>
        <w:right w:val="none" w:sz="0" w:space="0" w:color="auto"/>
      </w:divBdr>
    </w:div>
    <w:div w:id="21330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525235-48E1-4C17-B908-957BBFFB8F85}"/>
</file>

<file path=customXml/itemProps2.xml><?xml version="1.0" encoding="utf-8"?>
<ds:datastoreItem xmlns:ds="http://schemas.openxmlformats.org/officeDocument/2006/customXml" ds:itemID="{4D1E9510-A113-47B0-B7A2-1EE471E581AA}"/>
</file>

<file path=customXml/itemProps3.xml><?xml version="1.0" encoding="utf-8"?>
<ds:datastoreItem xmlns:ds="http://schemas.openxmlformats.org/officeDocument/2006/customXml" ds:itemID="{6829828F-EA0D-46D1-85EF-BCC32941D5FE}"/>
</file>

<file path=docProps/app.xml><?xml version="1.0" encoding="utf-8"?>
<Properties xmlns="http://schemas.openxmlformats.org/officeDocument/2006/extended-properties" xmlns:vt="http://schemas.openxmlformats.org/officeDocument/2006/docPropsVTypes">
  <Template>Normal</Template>
  <TotalTime>4</TotalTime>
  <Pages>3</Pages>
  <Words>4309</Words>
  <Characters>2457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Zaleckas</dc:creator>
  <cp:keywords/>
  <dc:description/>
  <cp:lastModifiedBy>Mindaugas Juknevičius</cp:lastModifiedBy>
  <cp:revision>3</cp:revision>
  <cp:lastPrinted>2025-09-23T11:24:00Z</cp:lastPrinted>
  <dcterms:created xsi:type="dcterms:W3CDTF">2026-02-18T08:08:00Z</dcterms:created>
  <dcterms:modified xsi:type="dcterms:W3CDTF">2026-02-24T05:25:00Z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